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7AA5E" w14:textId="627F2B39" w:rsidR="00501862" w:rsidRPr="00003E26" w:rsidRDefault="00501862" w:rsidP="005B6531">
      <w:pPr>
        <w:spacing w:before="120" w:after="120" w:line="240" w:lineRule="auto"/>
        <w:rPr>
          <w:rFonts w:cs="Arial"/>
          <w:b/>
          <w:sz w:val="28"/>
          <w:szCs w:val="28"/>
        </w:rPr>
      </w:pPr>
      <w:bookmarkStart w:id="0" w:name="BkMod_000"/>
      <w:r>
        <w:rPr>
          <w:b/>
          <w:sz w:val="28"/>
        </w:rPr>
        <w:t>Prü</w:t>
      </w:r>
      <w:r w:rsidR="00A030F9">
        <w:rPr>
          <w:b/>
          <w:sz w:val="28"/>
        </w:rPr>
        <w:t>fpunkte zu den anderen Risiken im Zusammenhang mit Compliance-Fragen</w:t>
      </w:r>
    </w:p>
    <w:p w14:paraId="669FC1F2" w14:textId="77777777" w:rsidR="00501862" w:rsidRPr="00DB7CF3" w:rsidRDefault="00501862" w:rsidP="008362E0">
      <w:pPr>
        <w:spacing w:before="120" w:after="120" w:line="240" w:lineRule="auto"/>
        <w:rPr>
          <w:rFonts w:cs="Arial"/>
          <w:b/>
        </w:rPr>
      </w:pPr>
      <w:r>
        <w:rPr>
          <w:b/>
        </w:rPr>
        <w:t>Übersicht</w:t>
      </w:r>
    </w:p>
    <w:tbl>
      <w:tblPr>
        <w:tblStyle w:val="Tabellenraster"/>
        <w:tblW w:w="0" w:type="auto"/>
        <w:tblInd w:w="108" w:type="dxa"/>
        <w:tblLook w:val="04A0" w:firstRow="1" w:lastRow="0" w:firstColumn="1" w:lastColumn="0" w:noHBand="0" w:noVBand="1"/>
      </w:tblPr>
      <w:tblGrid>
        <w:gridCol w:w="2600"/>
        <w:gridCol w:w="11285"/>
      </w:tblGrid>
      <w:tr w:rsidR="00501862" w:rsidRPr="00AF6AA5" w14:paraId="685F18BB" w14:textId="77777777" w:rsidTr="00297AFE">
        <w:tc>
          <w:tcPr>
            <w:tcW w:w="2600" w:type="dxa"/>
            <w:shd w:val="pct10" w:color="auto" w:fill="auto"/>
          </w:tcPr>
          <w:p w14:paraId="19E04D0A" w14:textId="77777777" w:rsidR="00501862" w:rsidRPr="009D4673" w:rsidRDefault="00501862" w:rsidP="008362E0">
            <w:pPr>
              <w:tabs>
                <w:tab w:val="left" w:pos="1418"/>
              </w:tabs>
              <w:spacing w:before="60" w:after="60" w:line="240" w:lineRule="auto"/>
              <w:rPr>
                <w:rFonts w:cs="Arial"/>
                <w:b/>
              </w:rPr>
            </w:pPr>
            <w:r>
              <w:rPr>
                <w:b/>
              </w:rPr>
              <w:t>Prüfgebiet</w:t>
            </w:r>
          </w:p>
        </w:tc>
        <w:tc>
          <w:tcPr>
            <w:tcW w:w="11285" w:type="dxa"/>
            <w:shd w:val="pct10" w:color="auto" w:fill="auto"/>
          </w:tcPr>
          <w:p w14:paraId="4CF8303B" w14:textId="77777777" w:rsidR="00501862" w:rsidRPr="009D4673" w:rsidRDefault="00501862" w:rsidP="008362E0">
            <w:pPr>
              <w:tabs>
                <w:tab w:val="left" w:pos="1859"/>
              </w:tabs>
              <w:spacing w:before="60" w:after="60" w:line="240" w:lineRule="auto"/>
              <w:rPr>
                <w:rFonts w:cs="Arial"/>
                <w:b/>
              </w:rPr>
            </w:pPr>
            <w:r>
              <w:rPr>
                <w:b/>
              </w:rPr>
              <w:t>G</w:t>
            </w:r>
            <w:bookmarkStart w:id="1" w:name="_GoBack"/>
            <w:bookmarkEnd w:id="1"/>
            <w:r>
              <w:rPr>
                <w:b/>
              </w:rPr>
              <w:t>eschäftsrisiken – Risikomanagement / Andere Risiken im Zusammenhang mit Compliance-Fragen</w:t>
            </w:r>
          </w:p>
        </w:tc>
      </w:tr>
      <w:tr w:rsidR="00501862" w:rsidRPr="009D4673" w14:paraId="6EBDDAD9" w14:textId="77777777" w:rsidTr="00297AFE">
        <w:tc>
          <w:tcPr>
            <w:tcW w:w="2600" w:type="dxa"/>
            <w:shd w:val="pct10" w:color="auto" w:fill="auto"/>
          </w:tcPr>
          <w:p w14:paraId="23449AD9" w14:textId="77777777" w:rsidR="00501862" w:rsidRPr="009D4673" w:rsidRDefault="00501862" w:rsidP="008362E0">
            <w:pPr>
              <w:tabs>
                <w:tab w:val="left" w:pos="1418"/>
              </w:tabs>
              <w:spacing w:before="60" w:after="60" w:line="240" w:lineRule="auto"/>
              <w:rPr>
                <w:rFonts w:cs="Arial"/>
                <w:b/>
              </w:rPr>
            </w:pPr>
            <w:r>
              <w:rPr>
                <w:b/>
              </w:rPr>
              <w:t>Prüftiefe</w:t>
            </w:r>
          </w:p>
        </w:tc>
        <w:tc>
          <w:tcPr>
            <w:tcW w:w="11285" w:type="dxa"/>
            <w:shd w:val="pct10" w:color="auto" w:fill="auto"/>
          </w:tcPr>
          <w:p w14:paraId="19F5334D" w14:textId="50F38827" w:rsidR="00501862" w:rsidRPr="009D4673" w:rsidRDefault="00501862" w:rsidP="008362E0">
            <w:pPr>
              <w:tabs>
                <w:tab w:val="left" w:pos="1859"/>
              </w:tabs>
              <w:spacing w:before="60" w:after="60" w:line="240" w:lineRule="auto"/>
              <w:rPr>
                <w:rFonts w:cs="Arial"/>
              </w:rPr>
            </w:pPr>
            <w:r>
              <w:rPr>
                <w:highlight w:val="yellow"/>
              </w:rPr>
              <w:t>[Prüfung / kritische Beurteilung]</w:t>
            </w:r>
            <w:r w:rsidR="002A25BF" w:rsidRPr="002A25BF">
              <w:rPr>
                <w:rStyle w:val="Funotenzeichen"/>
              </w:rPr>
              <w:footnoteReference w:id="2"/>
            </w:r>
          </w:p>
        </w:tc>
      </w:tr>
      <w:tr w:rsidR="00501862" w:rsidRPr="00AF6AA5" w14:paraId="59B47E74" w14:textId="77777777" w:rsidTr="00297AFE">
        <w:tc>
          <w:tcPr>
            <w:tcW w:w="2600" w:type="dxa"/>
          </w:tcPr>
          <w:p w14:paraId="0481BAC9" w14:textId="77777777" w:rsidR="00500041" w:rsidRPr="00EB30C0" w:rsidRDefault="00500041" w:rsidP="00500041">
            <w:pPr>
              <w:tabs>
                <w:tab w:val="left" w:pos="1418"/>
              </w:tabs>
              <w:spacing w:before="60" w:after="60" w:line="240" w:lineRule="auto"/>
              <w:rPr>
                <w:rFonts w:cs="Arial"/>
                <w:b/>
              </w:rPr>
            </w:pPr>
            <w:r>
              <w:rPr>
                <w:b/>
              </w:rPr>
              <w:t>Vorschriften</w:t>
            </w:r>
          </w:p>
          <w:p w14:paraId="7FE75F8C" w14:textId="77777777" w:rsidR="00501862" w:rsidRPr="00500041" w:rsidRDefault="00500041" w:rsidP="00500041">
            <w:pPr>
              <w:tabs>
                <w:tab w:val="left" w:pos="1418"/>
              </w:tabs>
              <w:spacing w:before="60" w:after="60" w:line="240" w:lineRule="auto"/>
              <w:rPr>
                <w:rFonts w:cs="Arial"/>
              </w:rPr>
            </w:pPr>
            <w:r>
              <w:t>(Liste ist nicht abschliessend)</w:t>
            </w:r>
          </w:p>
        </w:tc>
        <w:tc>
          <w:tcPr>
            <w:tcW w:w="11285" w:type="dxa"/>
          </w:tcPr>
          <w:p w14:paraId="51B51AE4" w14:textId="0E89FC8A" w:rsidR="00032DC8" w:rsidRDefault="00032DC8" w:rsidP="00032DC8">
            <w:pPr>
              <w:tabs>
                <w:tab w:val="left" w:pos="1859"/>
              </w:tabs>
              <w:spacing w:before="60" w:after="60" w:line="240" w:lineRule="auto"/>
            </w:pPr>
            <w:r>
              <w:t>Art. 3 Abs. 2 Bst. a Bankengesetz (BankG)</w:t>
            </w:r>
          </w:p>
          <w:p w14:paraId="17FE6BD9" w14:textId="77777777" w:rsidR="00032DC8" w:rsidRDefault="00032DC8" w:rsidP="00032DC8">
            <w:pPr>
              <w:tabs>
                <w:tab w:val="left" w:pos="1859"/>
              </w:tabs>
              <w:spacing w:before="60" w:after="60" w:line="240" w:lineRule="auto"/>
            </w:pPr>
            <w:r>
              <w:t>Art. 9 Finanzinstitutsgesetz (FINIG)</w:t>
            </w:r>
          </w:p>
          <w:p w14:paraId="3AB17617" w14:textId="263E8CD4" w:rsidR="00032DC8" w:rsidRDefault="00032DC8" w:rsidP="00032DC8">
            <w:pPr>
              <w:tabs>
                <w:tab w:val="left" w:pos="1859"/>
              </w:tabs>
              <w:spacing w:before="60" w:line="240" w:lineRule="auto"/>
            </w:pPr>
            <w:r>
              <w:t>Art. 12 Bankenverordnung (BankV)</w:t>
            </w:r>
          </w:p>
          <w:p w14:paraId="495D19C4" w14:textId="77777777" w:rsidR="00032DC8" w:rsidRDefault="00032DC8" w:rsidP="00032DC8">
            <w:pPr>
              <w:tabs>
                <w:tab w:val="left" w:pos="1859"/>
              </w:tabs>
              <w:spacing w:before="60" w:after="60" w:line="240" w:lineRule="auto"/>
            </w:pPr>
            <w:r>
              <w:t>Art. 12 und 66 – 68 Finanzinstitutsverordnung (FINIV)</w:t>
            </w:r>
          </w:p>
          <w:p w14:paraId="0B35BCB4" w14:textId="27F21C78" w:rsidR="0024574E" w:rsidRPr="009D4673" w:rsidRDefault="0024574E" w:rsidP="00032DC8">
            <w:pPr>
              <w:tabs>
                <w:tab w:val="left" w:pos="1859"/>
              </w:tabs>
              <w:spacing w:before="60" w:after="60" w:line="240" w:lineRule="auto"/>
              <w:rPr>
                <w:rFonts w:cs="Arial"/>
              </w:rPr>
            </w:pPr>
            <w:r w:rsidRPr="00297AFE">
              <w:t>Art.</w:t>
            </w:r>
            <w:r w:rsidR="00C61473" w:rsidRPr="00297AFE">
              <w:t xml:space="preserve"> 12 Abs. 2</w:t>
            </w:r>
            <w:r w:rsidR="00C61473" w:rsidRPr="00297AFE">
              <w:rPr>
                <w:vertAlign w:val="superscript"/>
              </w:rPr>
              <w:t>bis</w:t>
            </w:r>
            <w:r w:rsidR="00C61473" w:rsidRPr="00297AFE">
              <w:t xml:space="preserve"> </w:t>
            </w:r>
            <w:r w:rsidR="00032DC8">
              <w:t xml:space="preserve">BankV </w:t>
            </w:r>
            <w:r w:rsidR="00C61473" w:rsidRPr="00297AFE">
              <w:t>in Verbindung mit Art.</w:t>
            </w:r>
            <w:r w:rsidRPr="00297AFE">
              <w:t xml:space="preserve"> 56</w:t>
            </w:r>
            <w:r w:rsidR="00925785" w:rsidRPr="00297AFE">
              <w:t>, 61a</w:t>
            </w:r>
            <w:r w:rsidR="005E0046" w:rsidRPr="00297AFE">
              <w:t xml:space="preserve"> Bankeninsolvenzv</w:t>
            </w:r>
            <w:r w:rsidRPr="00297AFE">
              <w:t>erordnung</w:t>
            </w:r>
            <w:r w:rsidR="005E0046" w:rsidRPr="00297AFE">
              <w:t>-FINMA</w:t>
            </w:r>
            <w:r w:rsidRPr="00297AFE">
              <w:t xml:space="preserve"> (BIV</w:t>
            </w:r>
            <w:r w:rsidR="005E0046" w:rsidRPr="00297AFE">
              <w:t>-FINMA</w:t>
            </w:r>
            <w:r w:rsidRPr="00297AFE">
              <w:t>)</w:t>
            </w:r>
          </w:p>
          <w:p w14:paraId="2794ED08" w14:textId="77777777" w:rsidR="00CA6AD9" w:rsidRDefault="00CA6AD9" w:rsidP="008362E0">
            <w:pPr>
              <w:tabs>
                <w:tab w:val="left" w:pos="1859"/>
              </w:tabs>
              <w:spacing w:before="60" w:after="60" w:line="240" w:lineRule="auto"/>
            </w:pPr>
            <w:r>
              <w:t xml:space="preserve">FINMA-Rundschreiben </w:t>
            </w:r>
            <w:r w:rsidR="002C3059">
              <w:t>2008/21 "Op</w:t>
            </w:r>
            <w:r w:rsidR="00F96472">
              <w:t>erationelle Risiken – Banken" (FINMA-RS 08/21</w:t>
            </w:r>
            <w:r w:rsidR="002C3059">
              <w:t xml:space="preserve"> / Rz 136.2 - 136.5) </w:t>
            </w:r>
          </w:p>
          <w:p w14:paraId="175602C2" w14:textId="3232C79D" w:rsidR="002C3059" w:rsidRPr="009D4673" w:rsidRDefault="002C3059" w:rsidP="00032DC8">
            <w:pPr>
              <w:tabs>
                <w:tab w:val="left" w:pos="1859"/>
              </w:tabs>
              <w:spacing w:before="60" w:after="60" w:line="240" w:lineRule="auto"/>
              <w:rPr>
                <w:rFonts w:cs="Arial"/>
              </w:rPr>
            </w:pPr>
            <w:r>
              <w:t>FINMA-Rundschreiben 2017/6 "Direktübermittlung</w:t>
            </w:r>
            <w:r w:rsidRPr="003009BB">
              <w:t xml:space="preserve">" </w:t>
            </w:r>
            <w:r w:rsidR="00032DC8">
              <w:t>(FINMA</w:t>
            </w:r>
            <w:r w:rsidR="00F96472" w:rsidRPr="003009BB">
              <w:t>-RS 17/6)</w:t>
            </w:r>
          </w:p>
        </w:tc>
      </w:tr>
      <w:tr w:rsidR="00501862" w:rsidRPr="009D4673" w14:paraId="010C56BC" w14:textId="77777777" w:rsidTr="00297AFE">
        <w:trPr>
          <w:trHeight w:val="2160"/>
        </w:trPr>
        <w:tc>
          <w:tcPr>
            <w:tcW w:w="2600" w:type="dxa"/>
          </w:tcPr>
          <w:p w14:paraId="7C6407E5" w14:textId="77777777" w:rsidR="00501862" w:rsidRDefault="00501862" w:rsidP="008362E0">
            <w:pPr>
              <w:tabs>
                <w:tab w:val="left" w:pos="1418"/>
              </w:tabs>
              <w:spacing w:before="60" w:after="60" w:line="240" w:lineRule="auto"/>
              <w:rPr>
                <w:rFonts w:cs="Arial"/>
                <w:b/>
              </w:rPr>
            </w:pPr>
            <w:r>
              <w:rPr>
                <w:b/>
              </w:rPr>
              <w:t>Sign-offs:</w:t>
            </w:r>
          </w:p>
          <w:p w14:paraId="248FE1A4" w14:textId="77777777" w:rsidR="009448DA" w:rsidRDefault="009448DA" w:rsidP="008362E0">
            <w:pPr>
              <w:tabs>
                <w:tab w:val="left" w:pos="1418"/>
              </w:tabs>
              <w:spacing w:before="60" w:after="60" w:line="240" w:lineRule="auto"/>
              <w:rPr>
                <w:rFonts w:cs="Arial"/>
                <w:b/>
              </w:rPr>
            </w:pPr>
          </w:p>
          <w:p w14:paraId="3ED01763" w14:textId="77777777" w:rsidR="009448DA" w:rsidRDefault="009448DA" w:rsidP="008362E0">
            <w:pPr>
              <w:tabs>
                <w:tab w:val="left" w:pos="1418"/>
              </w:tabs>
              <w:spacing w:before="60" w:after="60" w:line="240" w:lineRule="auto"/>
              <w:rPr>
                <w:rFonts w:cs="Arial"/>
                <w:b/>
              </w:rPr>
            </w:pPr>
          </w:p>
          <w:p w14:paraId="501DFD64" w14:textId="77777777" w:rsidR="009448DA" w:rsidRDefault="009448DA" w:rsidP="008362E0">
            <w:pPr>
              <w:tabs>
                <w:tab w:val="left" w:pos="1418"/>
              </w:tabs>
              <w:spacing w:before="60" w:after="60" w:line="240" w:lineRule="auto"/>
              <w:rPr>
                <w:rFonts w:cs="Arial"/>
                <w:b/>
              </w:rPr>
            </w:pPr>
          </w:p>
          <w:p w14:paraId="298EC9A9" w14:textId="77777777" w:rsidR="009448DA" w:rsidRDefault="009448DA" w:rsidP="008362E0">
            <w:pPr>
              <w:tabs>
                <w:tab w:val="left" w:pos="1418"/>
              </w:tabs>
              <w:spacing w:before="60" w:after="60" w:line="240" w:lineRule="auto"/>
              <w:rPr>
                <w:rFonts w:cs="Arial"/>
                <w:b/>
              </w:rPr>
            </w:pPr>
          </w:p>
          <w:p w14:paraId="65DB142F" w14:textId="77777777" w:rsidR="009448DA" w:rsidRDefault="009448DA" w:rsidP="008362E0">
            <w:pPr>
              <w:tabs>
                <w:tab w:val="left" w:pos="1418"/>
              </w:tabs>
              <w:spacing w:before="60" w:after="60" w:line="240" w:lineRule="auto"/>
              <w:rPr>
                <w:rFonts w:cs="Arial"/>
                <w:b/>
              </w:rPr>
            </w:pPr>
          </w:p>
          <w:p w14:paraId="20A24D55" w14:textId="77777777" w:rsidR="009448DA" w:rsidRPr="009D4673" w:rsidRDefault="009448DA" w:rsidP="008362E0">
            <w:pPr>
              <w:tabs>
                <w:tab w:val="left" w:pos="1418"/>
              </w:tabs>
              <w:spacing w:before="60" w:after="60" w:line="240" w:lineRule="auto"/>
              <w:rPr>
                <w:rFonts w:cs="Arial"/>
                <w:b/>
              </w:rPr>
            </w:pPr>
          </w:p>
        </w:tc>
        <w:tc>
          <w:tcPr>
            <w:tcW w:w="11285" w:type="dxa"/>
          </w:tcPr>
          <w:p w14:paraId="0D7D6BD5" w14:textId="77777777" w:rsidR="00501862" w:rsidRPr="009D4673" w:rsidRDefault="00501862" w:rsidP="008362E0">
            <w:pPr>
              <w:tabs>
                <w:tab w:val="left" w:pos="1859"/>
              </w:tabs>
              <w:spacing w:before="60" w:after="60" w:line="240" w:lineRule="auto"/>
              <w:rPr>
                <w:rFonts w:cs="Arial"/>
              </w:rPr>
            </w:pPr>
          </w:p>
          <w:tbl>
            <w:tblPr>
              <w:tblStyle w:val="Tabellenraster"/>
              <w:tblW w:w="0" w:type="auto"/>
              <w:tblLook w:val="04A0" w:firstRow="1" w:lastRow="0" w:firstColumn="1" w:lastColumn="0" w:noHBand="0" w:noVBand="1"/>
            </w:tblPr>
            <w:tblGrid>
              <w:gridCol w:w="1944"/>
              <w:gridCol w:w="3537"/>
              <w:gridCol w:w="3398"/>
              <w:gridCol w:w="2180"/>
            </w:tblGrid>
            <w:tr w:rsidR="00501862" w:rsidRPr="009D4673" w14:paraId="7FDDF229" w14:textId="77777777" w:rsidTr="008E0A38">
              <w:tc>
                <w:tcPr>
                  <w:tcW w:w="2013" w:type="dxa"/>
                  <w:shd w:val="clear" w:color="auto" w:fill="D9D9D9" w:themeFill="background1" w:themeFillShade="D9"/>
                </w:tcPr>
                <w:p w14:paraId="1F9E7577" w14:textId="77777777" w:rsidR="00501862" w:rsidRPr="009D4673" w:rsidRDefault="00501862" w:rsidP="008362E0">
                  <w:pPr>
                    <w:tabs>
                      <w:tab w:val="left" w:pos="1859"/>
                    </w:tabs>
                    <w:spacing w:before="60" w:after="60" w:line="240" w:lineRule="auto"/>
                    <w:rPr>
                      <w:rFonts w:cs="Arial"/>
                      <w:b/>
                      <w:sz w:val="18"/>
                      <w:szCs w:val="18"/>
                    </w:rPr>
                  </w:pPr>
                  <w:r>
                    <w:rPr>
                      <w:b/>
                      <w:sz w:val="18"/>
                    </w:rPr>
                    <w:t>Sign-offs</w:t>
                  </w:r>
                </w:p>
              </w:tc>
              <w:tc>
                <w:tcPr>
                  <w:tcW w:w="3685" w:type="dxa"/>
                  <w:shd w:val="clear" w:color="auto" w:fill="D9D9D9" w:themeFill="background1" w:themeFillShade="D9"/>
                </w:tcPr>
                <w:p w14:paraId="1D0D1AB8" w14:textId="77777777" w:rsidR="00501862" w:rsidRPr="009D4673" w:rsidRDefault="00501862" w:rsidP="008362E0">
                  <w:pPr>
                    <w:tabs>
                      <w:tab w:val="left" w:pos="1859"/>
                    </w:tabs>
                    <w:spacing w:before="60" w:after="60" w:line="240" w:lineRule="auto"/>
                    <w:jc w:val="center"/>
                    <w:rPr>
                      <w:rFonts w:cs="Arial"/>
                      <w:b/>
                      <w:sz w:val="18"/>
                      <w:szCs w:val="18"/>
                    </w:rPr>
                  </w:pPr>
                  <w:r>
                    <w:rPr>
                      <w:b/>
                      <w:sz w:val="18"/>
                    </w:rPr>
                    <w:t>Name</w:t>
                  </w:r>
                </w:p>
              </w:tc>
              <w:tc>
                <w:tcPr>
                  <w:tcW w:w="3544" w:type="dxa"/>
                  <w:shd w:val="clear" w:color="auto" w:fill="D9D9D9" w:themeFill="background1" w:themeFillShade="D9"/>
                </w:tcPr>
                <w:p w14:paraId="1AC6B912" w14:textId="77777777" w:rsidR="00501862" w:rsidRPr="009D4673" w:rsidRDefault="00501862" w:rsidP="008362E0">
                  <w:pPr>
                    <w:tabs>
                      <w:tab w:val="left" w:pos="1859"/>
                    </w:tabs>
                    <w:spacing w:before="60" w:after="60" w:line="240" w:lineRule="auto"/>
                    <w:jc w:val="center"/>
                    <w:rPr>
                      <w:rFonts w:cs="Arial"/>
                      <w:b/>
                      <w:sz w:val="18"/>
                      <w:szCs w:val="18"/>
                    </w:rPr>
                  </w:pPr>
                  <w:r>
                    <w:rPr>
                      <w:b/>
                      <w:sz w:val="18"/>
                    </w:rPr>
                    <w:t>Funktion</w:t>
                  </w:r>
                </w:p>
              </w:tc>
              <w:tc>
                <w:tcPr>
                  <w:tcW w:w="2228" w:type="dxa"/>
                  <w:shd w:val="clear" w:color="auto" w:fill="D9D9D9" w:themeFill="background1" w:themeFillShade="D9"/>
                </w:tcPr>
                <w:p w14:paraId="54B6B22B" w14:textId="77777777" w:rsidR="00501862" w:rsidRPr="009D4673" w:rsidRDefault="00501862" w:rsidP="008362E0">
                  <w:pPr>
                    <w:tabs>
                      <w:tab w:val="left" w:pos="1859"/>
                    </w:tabs>
                    <w:spacing w:before="60" w:after="60" w:line="240" w:lineRule="auto"/>
                    <w:jc w:val="center"/>
                    <w:rPr>
                      <w:rFonts w:cs="Arial"/>
                      <w:b/>
                      <w:sz w:val="18"/>
                      <w:szCs w:val="18"/>
                    </w:rPr>
                  </w:pPr>
                  <w:r>
                    <w:rPr>
                      <w:b/>
                      <w:sz w:val="18"/>
                    </w:rPr>
                    <w:t>Datum</w:t>
                  </w:r>
                </w:p>
              </w:tc>
            </w:tr>
            <w:tr w:rsidR="00501862" w:rsidRPr="009D4673" w14:paraId="210D37EB" w14:textId="77777777" w:rsidTr="008E0A38">
              <w:tc>
                <w:tcPr>
                  <w:tcW w:w="2013" w:type="dxa"/>
                </w:tcPr>
                <w:p w14:paraId="00A0073C" w14:textId="77777777" w:rsidR="00501862" w:rsidRPr="009D4673" w:rsidRDefault="00501862" w:rsidP="008362E0">
                  <w:pPr>
                    <w:tabs>
                      <w:tab w:val="left" w:pos="1859"/>
                    </w:tabs>
                    <w:spacing w:before="60" w:after="60" w:line="240" w:lineRule="auto"/>
                    <w:rPr>
                      <w:rFonts w:cs="Arial"/>
                      <w:sz w:val="18"/>
                      <w:szCs w:val="18"/>
                    </w:rPr>
                  </w:pPr>
                  <w:r>
                    <w:rPr>
                      <w:sz w:val="18"/>
                    </w:rPr>
                    <w:t xml:space="preserve">Prüfer: </w:t>
                  </w:r>
                </w:p>
              </w:tc>
              <w:tc>
                <w:tcPr>
                  <w:tcW w:w="3685" w:type="dxa"/>
                </w:tcPr>
                <w:p w14:paraId="1642317C" w14:textId="77777777" w:rsidR="00501862" w:rsidRPr="009D4673" w:rsidRDefault="00501862" w:rsidP="008362E0">
                  <w:pPr>
                    <w:tabs>
                      <w:tab w:val="left" w:pos="1859"/>
                    </w:tabs>
                    <w:spacing w:before="60" w:after="60" w:line="240" w:lineRule="auto"/>
                    <w:jc w:val="center"/>
                    <w:rPr>
                      <w:rFonts w:cs="Arial"/>
                      <w:sz w:val="18"/>
                      <w:szCs w:val="18"/>
                    </w:rPr>
                  </w:pPr>
                  <w:r>
                    <w:rPr>
                      <w:sz w:val="18"/>
                      <w:highlight w:val="yellow"/>
                    </w:rPr>
                    <w:t>[Name]</w:t>
                  </w:r>
                </w:p>
              </w:tc>
              <w:tc>
                <w:tcPr>
                  <w:tcW w:w="3544" w:type="dxa"/>
                </w:tcPr>
                <w:p w14:paraId="04712DBB" w14:textId="77777777" w:rsidR="00501862" w:rsidRPr="009D4673" w:rsidRDefault="00501862" w:rsidP="008362E0">
                  <w:pPr>
                    <w:tabs>
                      <w:tab w:val="left" w:pos="1859"/>
                    </w:tabs>
                    <w:spacing w:before="60" w:after="60" w:line="240" w:lineRule="auto"/>
                    <w:jc w:val="center"/>
                    <w:rPr>
                      <w:rFonts w:cs="Arial"/>
                      <w:sz w:val="18"/>
                      <w:szCs w:val="18"/>
                    </w:rPr>
                  </w:pPr>
                  <w:r>
                    <w:rPr>
                      <w:sz w:val="18"/>
                      <w:highlight w:val="yellow"/>
                    </w:rPr>
                    <w:t>[Assistent / Senior / Manager / Senior Manager / Partner]</w:t>
                  </w:r>
                </w:p>
              </w:tc>
              <w:tc>
                <w:tcPr>
                  <w:tcW w:w="2228" w:type="dxa"/>
                </w:tcPr>
                <w:p w14:paraId="04F40916" w14:textId="77777777" w:rsidR="00501862" w:rsidRPr="009D4673" w:rsidRDefault="00501862" w:rsidP="008362E0">
                  <w:pPr>
                    <w:tabs>
                      <w:tab w:val="left" w:pos="1859"/>
                    </w:tabs>
                    <w:spacing w:before="60" w:after="60" w:line="240" w:lineRule="auto"/>
                    <w:jc w:val="center"/>
                    <w:rPr>
                      <w:rFonts w:cs="Arial"/>
                      <w:sz w:val="18"/>
                      <w:szCs w:val="18"/>
                    </w:rPr>
                  </w:pPr>
                  <w:r>
                    <w:rPr>
                      <w:sz w:val="18"/>
                      <w:highlight w:val="yellow"/>
                    </w:rPr>
                    <w:t>[TT.MM.JJJJ]</w:t>
                  </w:r>
                </w:p>
              </w:tc>
            </w:tr>
            <w:tr w:rsidR="00501862" w:rsidRPr="009D4673" w14:paraId="57952134" w14:textId="77777777" w:rsidTr="008E0A38">
              <w:tc>
                <w:tcPr>
                  <w:tcW w:w="2013" w:type="dxa"/>
                </w:tcPr>
                <w:p w14:paraId="132706EE" w14:textId="77777777" w:rsidR="00501862" w:rsidRPr="009D4673" w:rsidRDefault="00501862" w:rsidP="008362E0">
                  <w:pPr>
                    <w:tabs>
                      <w:tab w:val="left" w:pos="1859"/>
                    </w:tabs>
                    <w:spacing w:before="60" w:after="60" w:line="240" w:lineRule="auto"/>
                    <w:rPr>
                      <w:rFonts w:cs="Arial"/>
                      <w:sz w:val="18"/>
                      <w:szCs w:val="18"/>
                    </w:rPr>
                  </w:pPr>
                  <w:r>
                    <w:rPr>
                      <w:sz w:val="18"/>
                    </w:rPr>
                    <w:t>Reviewer:</w:t>
                  </w:r>
                </w:p>
              </w:tc>
              <w:tc>
                <w:tcPr>
                  <w:tcW w:w="3685" w:type="dxa"/>
                </w:tcPr>
                <w:p w14:paraId="5B419E68" w14:textId="77777777" w:rsidR="00501862" w:rsidRPr="009D4673" w:rsidRDefault="00501862" w:rsidP="008362E0">
                  <w:pPr>
                    <w:tabs>
                      <w:tab w:val="left" w:pos="1859"/>
                    </w:tabs>
                    <w:spacing w:before="60" w:after="60" w:line="240" w:lineRule="auto"/>
                    <w:jc w:val="center"/>
                    <w:rPr>
                      <w:rFonts w:cs="Arial"/>
                      <w:sz w:val="18"/>
                      <w:szCs w:val="18"/>
                      <w:highlight w:val="yellow"/>
                    </w:rPr>
                  </w:pPr>
                  <w:r>
                    <w:rPr>
                      <w:sz w:val="18"/>
                      <w:highlight w:val="yellow"/>
                    </w:rPr>
                    <w:t>[Name]</w:t>
                  </w:r>
                </w:p>
              </w:tc>
              <w:tc>
                <w:tcPr>
                  <w:tcW w:w="3544" w:type="dxa"/>
                </w:tcPr>
                <w:p w14:paraId="7F66D7FA" w14:textId="77777777" w:rsidR="00501862" w:rsidRPr="009D4673" w:rsidRDefault="00501862" w:rsidP="008362E0">
                  <w:pPr>
                    <w:tabs>
                      <w:tab w:val="left" w:pos="1859"/>
                    </w:tabs>
                    <w:spacing w:before="60" w:after="60" w:line="240" w:lineRule="auto"/>
                    <w:jc w:val="center"/>
                    <w:rPr>
                      <w:rFonts w:cs="Arial"/>
                      <w:sz w:val="18"/>
                      <w:szCs w:val="18"/>
                      <w:highlight w:val="yellow"/>
                    </w:rPr>
                  </w:pPr>
                  <w:r>
                    <w:rPr>
                      <w:sz w:val="18"/>
                      <w:highlight w:val="yellow"/>
                    </w:rPr>
                    <w:t xml:space="preserve">[Senior / Manager / Senior Manager </w:t>
                  </w:r>
                  <w:r>
                    <w:rPr>
                      <w:rFonts w:cs="Arial"/>
                      <w:sz w:val="18"/>
                      <w:szCs w:val="18"/>
                      <w:highlight w:val="yellow"/>
                    </w:rPr>
                    <w:br/>
                  </w:r>
                  <w:r>
                    <w:rPr>
                      <w:sz w:val="18"/>
                      <w:highlight w:val="yellow"/>
                    </w:rPr>
                    <w:t>/ Partner]</w:t>
                  </w:r>
                </w:p>
              </w:tc>
              <w:tc>
                <w:tcPr>
                  <w:tcW w:w="2228" w:type="dxa"/>
                </w:tcPr>
                <w:p w14:paraId="27789266" w14:textId="77777777" w:rsidR="00501862" w:rsidRPr="009D4673" w:rsidRDefault="00501862" w:rsidP="008362E0">
                  <w:pPr>
                    <w:tabs>
                      <w:tab w:val="left" w:pos="1859"/>
                    </w:tabs>
                    <w:spacing w:before="60" w:after="60" w:line="240" w:lineRule="auto"/>
                    <w:jc w:val="center"/>
                    <w:rPr>
                      <w:rFonts w:cs="Arial"/>
                      <w:sz w:val="18"/>
                      <w:szCs w:val="18"/>
                      <w:highlight w:val="yellow"/>
                    </w:rPr>
                  </w:pPr>
                  <w:r>
                    <w:rPr>
                      <w:sz w:val="18"/>
                      <w:highlight w:val="yellow"/>
                    </w:rPr>
                    <w:t>[TT.MM.JJJJ]</w:t>
                  </w:r>
                </w:p>
              </w:tc>
            </w:tr>
          </w:tbl>
          <w:p w14:paraId="0F27B30B" w14:textId="77777777" w:rsidR="00501862" w:rsidRPr="009D4673" w:rsidRDefault="00501862" w:rsidP="008362E0">
            <w:pPr>
              <w:tabs>
                <w:tab w:val="left" w:pos="1859"/>
              </w:tabs>
              <w:spacing w:before="60" w:after="60" w:line="240" w:lineRule="auto"/>
              <w:rPr>
                <w:rFonts w:cs="Arial"/>
              </w:rPr>
            </w:pPr>
          </w:p>
        </w:tc>
      </w:tr>
    </w:tbl>
    <w:p w14:paraId="51682471" w14:textId="77777777" w:rsidR="00501862" w:rsidRPr="0045532C" w:rsidRDefault="00501862" w:rsidP="008362E0">
      <w:pPr>
        <w:spacing w:before="120" w:after="120" w:line="240" w:lineRule="auto"/>
        <w:rPr>
          <w:rFonts w:cs="Arial"/>
        </w:rPr>
      </w:pPr>
    </w:p>
    <w:p w14:paraId="22D31B23" w14:textId="3E9AFF39" w:rsidR="00EF259F" w:rsidRDefault="00501862" w:rsidP="008362E0">
      <w:pPr>
        <w:spacing w:before="120" w:after="120" w:line="240" w:lineRule="auto"/>
        <w:jc w:val="both"/>
        <w:rPr>
          <w:b/>
        </w:rPr>
      </w:pPr>
      <w:r>
        <w:rPr>
          <w:b/>
        </w:rPr>
        <w:t>Dies ist ein Standard-Prüfprogram</w:t>
      </w:r>
      <w:r w:rsidRPr="00F07E62">
        <w:rPr>
          <w:b/>
        </w:rPr>
        <w:t>m</w:t>
      </w:r>
      <w:r w:rsidR="005557E8" w:rsidRPr="00F07E62">
        <w:rPr>
          <w:b/>
        </w:rPr>
        <w:t xml:space="preserve">, das in diesem Prüfgebiet bei jeder Intervention </w:t>
      </w:r>
      <w:r w:rsidR="000671E1">
        <w:rPr>
          <w:b/>
        </w:rPr>
        <w:t>gemäss Prü</w:t>
      </w:r>
      <w:r w:rsidR="002A25BF">
        <w:rPr>
          <w:b/>
        </w:rPr>
        <w:t>fstrategie (Rz 28</w:t>
      </w:r>
      <w:r w:rsidR="00D718A8">
        <w:rPr>
          <w:b/>
        </w:rPr>
        <w:t xml:space="preserve">ff FINMA-RS </w:t>
      </w:r>
      <w:r w:rsidR="000671E1">
        <w:rPr>
          <w:b/>
        </w:rPr>
        <w:t xml:space="preserve">13/3) </w:t>
      </w:r>
      <w:r w:rsidR="005557E8" w:rsidRPr="00F07E62">
        <w:rPr>
          <w:b/>
        </w:rPr>
        <w:t>grundsätzlich</w:t>
      </w:r>
      <w:r w:rsidR="00AC2A3B">
        <w:rPr>
          <w:b/>
        </w:rPr>
        <w:t xml:space="preserve"> </w:t>
      </w:r>
      <w:r w:rsidR="005557E8" w:rsidRPr="00F07E62">
        <w:rPr>
          <w:b/>
        </w:rPr>
        <w:t>anzuwenden ist</w:t>
      </w:r>
      <w:r w:rsidR="005557E8" w:rsidRPr="00F07E62" w:rsidDel="00A030F9">
        <w:rPr>
          <w:b/>
        </w:rPr>
        <w:t xml:space="preserve"> </w:t>
      </w:r>
      <w:r>
        <w:rPr>
          <w:b/>
        </w:rPr>
        <w:t xml:space="preserve">. Es liegt in der Verantwortung des Prüfteams, das Standard-Prüfprogramm an die spezifische Situation (Grösse, Geschäftsmodell, Organisation, Prozesse, Risikoexposure usw.) des geprüften Instituts anzupassen. Werden </w:t>
      </w:r>
      <w:r w:rsidR="00A030F9">
        <w:rPr>
          <w:b/>
        </w:rPr>
        <w:t xml:space="preserve">die angegebenen </w:t>
      </w:r>
      <w:r>
        <w:rPr>
          <w:b/>
        </w:rPr>
        <w:t>Prüfungshandlungen nicht vollständig durchgeführt, ist in den Arbeitspapieren eine aussagekräftige Erläuterung dazu anzubringen.</w:t>
      </w:r>
      <w:r w:rsidR="00A030F9">
        <w:rPr>
          <w:b/>
        </w:rPr>
        <w:t xml:space="preserve"> Die mit</w:t>
      </w:r>
      <w:r w:rsidR="003C377B">
        <w:rPr>
          <w:b/>
        </w:rPr>
        <w:t xml:space="preserve"> </w:t>
      </w:r>
      <w:r w:rsidR="00F07E62">
        <w:rPr>
          <w:b/>
        </w:rPr>
        <w:t xml:space="preserve">einem </w:t>
      </w:r>
      <w:r w:rsidR="003C377B">
        <w:rPr>
          <w:b/>
        </w:rPr>
        <w:t>Stern (*)</w:t>
      </w:r>
      <w:r w:rsidR="00A030F9">
        <w:rPr>
          <w:b/>
        </w:rPr>
        <w:t xml:space="preserve"> markierten Prüfpunkte sind bei allen Banken der Aufsichtskategorien 4 und 5 nicht anwendbar.</w:t>
      </w:r>
    </w:p>
    <w:p w14:paraId="234ADB18" w14:textId="6D2B21B5" w:rsidR="00501862" w:rsidRPr="0045532C" w:rsidRDefault="00501862" w:rsidP="008362E0">
      <w:pPr>
        <w:spacing w:before="120" w:after="120" w:line="240" w:lineRule="auto"/>
        <w:jc w:val="both"/>
        <w:rPr>
          <w:rFonts w:cs="Arial"/>
        </w:rPr>
      </w:pPr>
      <w:r>
        <w:br w:type="page"/>
      </w:r>
    </w:p>
    <w:p w14:paraId="09C3F712" w14:textId="77777777" w:rsidR="00501862" w:rsidRPr="00003E26" w:rsidRDefault="00501862" w:rsidP="008362E0">
      <w:pPr>
        <w:spacing w:before="120" w:after="120" w:line="240" w:lineRule="auto"/>
        <w:rPr>
          <w:rFonts w:cs="Arial"/>
          <w:b/>
        </w:rPr>
      </w:pPr>
      <w:r>
        <w:rPr>
          <w:b/>
        </w:rPr>
        <w:lastRenderedPageBreak/>
        <w:t>Abschliessende Zusammenfassung</w:t>
      </w:r>
    </w:p>
    <w:tbl>
      <w:tblPr>
        <w:tblStyle w:val="Tabellenraster"/>
        <w:tblW w:w="0" w:type="auto"/>
        <w:tblInd w:w="108" w:type="dxa"/>
        <w:tblLook w:val="04A0" w:firstRow="1" w:lastRow="0" w:firstColumn="1" w:lastColumn="0" w:noHBand="0" w:noVBand="1"/>
      </w:tblPr>
      <w:tblGrid>
        <w:gridCol w:w="2810"/>
        <w:gridCol w:w="11358"/>
      </w:tblGrid>
      <w:tr w:rsidR="00501862" w:rsidRPr="0045532C" w14:paraId="575A1F01" w14:textId="77777777" w:rsidTr="008E0A38">
        <w:trPr>
          <w:trHeight w:val="552"/>
          <w:tblHeader/>
        </w:trPr>
        <w:tc>
          <w:tcPr>
            <w:tcW w:w="2835" w:type="dxa"/>
            <w:shd w:val="pct15" w:color="auto" w:fill="auto"/>
          </w:tcPr>
          <w:p w14:paraId="3DEA2EBA" w14:textId="77777777" w:rsidR="00501862" w:rsidRPr="0045532C" w:rsidRDefault="00501862" w:rsidP="008362E0">
            <w:pPr>
              <w:tabs>
                <w:tab w:val="left" w:pos="1418"/>
              </w:tabs>
              <w:spacing w:before="120" w:after="120" w:line="240" w:lineRule="auto"/>
              <w:rPr>
                <w:rFonts w:cs="Arial"/>
                <w:b/>
                <w:sz w:val="16"/>
                <w:szCs w:val="16"/>
              </w:rPr>
            </w:pPr>
            <w:r>
              <w:rPr>
                <w:b/>
                <w:sz w:val="16"/>
              </w:rPr>
              <w:t>Thema</w:t>
            </w:r>
          </w:p>
        </w:tc>
        <w:tc>
          <w:tcPr>
            <w:tcW w:w="11482" w:type="dxa"/>
            <w:shd w:val="pct15" w:color="auto" w:fill="auto"/>
          </w:tcPr>
          <w:p w14:paraId="5C0F7075" w14:textId="77777777" w:rsidR="00501862" w:rsidRPr="0045532C" w:rsidRDefault="00501862" w:rsidP="008362E0">
            <w:pPr>
              <w:tabs>
                <w:tab w:val="left" w:pos="1859"/>
              </w:tabs>
              <w:spacing w:before="120" w:after="120" w:line="240" w:lineRule="auto"/>
              <w:rPr>
                <w:rFonts w:cs="Arial"/>
                <w:b/>
                <w:sz w:val="16"/>
                <w:szCs w:val="16"/>
              </w:rPr>
            </w:pPr>
            <w:r>
              <w:rPr>
                <w:b/>
                <w:sz w:val="16"/>
              </w:rPr>
              <w:t>Information / Beschreibung</w:t>
            </w:r>
          </w:p>
        </w:tc>
      </w:tr>
      <w:tr w:rsidR="00501862" w:rsidRPr="00AF6AA5" w14:paraId="6A68C202" w14:textId="77777777" w:rsidTr="008E0A38">
        <w:trPr>
          <w:trHeight w:val="1774"/>
        </w:trPr>
        <w:tc>
          <w:tcPr>
            <w:tcW w:w="2835" w:type="dxa"/>
          </w:tcPr>
          <w:p w14:paraId="376455C9" w14:textId="77777777" w:rsidR="00501862" w:rsidRDefault="004E7721" w:rsidP="008362E0">
            <w:pPr>
              <w:tabs>
                <w:tab w:val="left" w:pos="1418"/>
              </w:tabs>
              <w:spacing w:before="120" w:after="120" w:line="240" w:lineRule="auto"/>
              <w:rPr>
                <w:rFonts w:cs="Arial"/>
                <w:sz w:val="16"/>
                <w:szCs w:val="16"/>
              </w:rPr>
            </w:pPr>
            <w:r w:rsidRPr="00586141">
              <w:rPr>
                <w:sz w:val="16"/>
              </w:rPr>
              <w:t>Zusammenfassende Gesamtbeurteilung</w:t>
            </w:r>
          </w:p>
          <w:p w14:paraId="1F3BD37E" w14:textId="77777777" w:rsidR="0039072C" w:rsidRDefault="0039072C" w:rsidP="008362E0">
            <w:pPr>
              <w:tabs>
                <w:tab w:val="left" w:pos="1418"/>
              </w:tabs>
              <w:spacing w:before="120" w:after="120" w:line="240" w:lineRule="auto"/>
              <w:rPr>
                <w:rFonts w:cs="Arial"/>
                <w:sz w:val="16"/>
                <w:szCs w:val="16"/>
              </w:rPr>
            </w:pPr>
          </w:p>
          <w:p w14:paraId="552D4996" w14:textId="77777777" w:rsidR="0039072C" w:rsidRDefault="0039072C" w:rsidP="008362E0">
            <w:pPr>
              <w:tabs>
                <w:tab w:val="left" w:pos="1418"/>
              </w:tabs>
              <w:spacing w:before="120" w:after="120" w:line="240" w:lineRule="auto"/>
              <w:rPr>
                <w:rFonts w:cs="Arial"/>
                <w:sz w:val="16"/>
                <w:szCs w:val="16"/>
              </w:rPr>
            </w:pPr>
          </w:p>
          <w:p w14:paraId="456CDDE7" w14:textId="77777777" w:rsidR="0039072C" w:rsidRDefault="0039072C" w:rsidP="008362E0">
            <w:pPr>
              <w:tabs>
                <w:tab w:val="left" w:pos="1418"/>
              </w:tabs>
              <w:spacing w:before="120" w:after="120" w:line="240" w:lineRule="auto"/>
              <w:rPr>
                <w:rFonts w:cs="Arial"/>
                <w:sz w:val="16"/>
                <w:szCs w:val="16"/>
              </w:rPr>
            </w:pPr>
          </w:p>
          <w:p w14:paraId="7C89BBA9" w14:textId="77777777" w:rsidR="0039072C" w:rsidRDefault="0039072C" w:rsidP="008362E0">
            <w:pPr>
              <w:tabs>
                <w:tab w:val="left" w:pos="1418"/>
              </w:tabs>
              <w:spacing w:before="120" w:after="120" w:line="240" w:lineRule="auto"/>
              <w:rPr>
                <w:rFonts w:cs="Arial"/>
                <w:sz w:val="16"/>
                <w:szCs w:val="16"/>
              </w:rPr>
            </w:pPr>
          </w:p>
          <w:p w14:paraId="4AF12CF1" w14:textId="77777777" w:rsidR="0039072C" w:rsidRPr="0045532C" w:rsidRDefault="0039072C" w:rsidP="008362E0">
            <w:pPr>
              <w:tabs>
                <w:tab w:val="left" w:pos="1418"/>
              </w:tabs>
              <w:spacing w:before="120" w:after="120" w:line="240" w:lineRule="auto"/>
              <w:rPr>
                <w:rFonts w:cs="Arial"/>
                <w:sz w:val="16"/>
                <w:szCs w:val="16"/>
              </w:rPr>
            </w:pPr>
          </w:p>
        </w:tc>
        <w:tc>
          <w:tcPr>
            <w:tcW w:w="11482" w:type="dxa"/>
          </w:tcPr>
          <w:p w14:paraId="2155FEC8" w14:textId="77777777" w:rsidR="00501862" w:rsidRPr="00E60F3F" w:rsidRDefault="00501862" w:rsidP="008362E0">
            <w:pPr>
              <w:spacing w:before="120" w:after="120" w:line="240" w:lineRule="auto"/>
              <w:rPr>
                <w:rFonts w:cs="Arial"/>
                <w:sz w:val="6"/>
                <w:szCs w:val="6"/>
                <w:highlight w:val="yellow"/>
              </w:rPr>
            </w:pPr>
          </w:p>
          <w:tbl>
            <w:tblPr>
              <w:tblStyle w:val="Tabellenraster"/>
              <w:tblW w:w="0" w:type="auto"/>
              <w:tblLook w:val="04A0" w:firstRow="1" w:lastRow="0" w:firstColumn="1" w:lastColumn="0" w:noHBand="0" w:noVBand="1"/>
            </w:tblPr>
            <w:tblGrid>
              <w:gridCol w:w="5618"/>
              <w:gridCol w:w="5514"/>
            </w:tblGrid>
            <w:tr w:rsidR="00501862" w:rsidRPr="00E60F3F" w14:paraId="63BCBB72" w14:textId="77777777" w:rsidTr="008E0A38">
              <w:tc>
                <w:tcPr>
                  <w:tcW w:w="5681" w:type="dxa"/>
                  <w:shd w:val="clear" w:color="auto" w:fill="D9D9D9" w:themeFill="background1" w:themeFillShade="D9"/>
                  <w:tcMar>
                    <w:left w:w="0" w:type="dxa"/>
                  </w:tcMar>
                </w:tcPr>
                <w:p w14:paraId="7B1C0157" w14:textId="77777777" w:rsidR="00501862" w:rsidRPr="00E60F3F" w:rsidRDefault="00501862" w:rsidP="008362E0">
                  <w:pPr>
                    <w:tabs>
                      <w:tab w:val="left" w:pos="1859"/>
                    </w:tabs>
                    <w:spacing w:before="120" w:after="120" w:line="240" w:lineRule="auto"/>
                    <w:ind w:left="34"/>
                    <w:rPr>
                      <w:rFonts w:cs="Arial"/>
                      <w:b/>
                      <w:sz w:val="16"/>
                      <w:szCs w:val="16"/>
                    </w:rPr>
                  </w:pPr>
                  <w:r>
                    <w:rPr>
                      <w:b/>
                      <w:sz w:val="16"/>
                    </w:rPr>
                    <w:t>Bestätigung im Prüfbericht:</w:t>
                  </w:r>
                </w:p>
              </w:tc>
              <w:tc>
                <w:tcPr>
                  <w:tcW w:w="5575" w:type="dxa"/>
                  <w:shd w:val="clear" w:color="auto" w:fill="D9D9D9" w:themeFill="background1" w:themeFillShade="D9"/>
                </w:tcPr>
                <w:p w14:paraId="7C6C59C4" w14:textId="77777777" w:rsidR="00501862" w:rsidRPr="00E60F3F" w:rsidRDefault="00501862" w:rsidP="008362E0">
                  <w:pPr>
                    <w:tabs>
                      <w:tab w:val="left" w:pos="1859"/>
                    </w:tabs>
                    <w:spacing w:before="120" w:after="120" w:line="240" w:lineRule="auto"/>
                    <w:rPr>
                      <w:rFonts w:cs="Arial"/>
                      <w:b/>
                      <w:sz w:val="16"/>
                      <w:szCs w:val="16"/>
                    </w:rPr>
                  </w:pPr>
                  <w:r>
                    <w:rPr>
                      <w:b/>
                      <w:sz w:val="16"/>
                    </w:rPr>
                    <w:t>Zusammenfassung:</w:t>
                  </w:r>
                </w:p>
              </w:tc>
            </w:tr>
            <w:tr w:rsidR="00501862" w:rsidRPr="00AF6AA5" w14:paraId="6BD1DE94" w14:textId="77777777" w:rsidTr="008E0A38">
              <w:tc>
                <w:tcPr>
                  <w:tcW w:w="5681" w:type="dxa"/>
                  <w:tcMar>
                    <w:left w:w="0" w:type="dxa"/>
                  </w:tcMar>
                </w:tcPr>
                <w:p w14:paraId="5A6FFF5F" w14:textId="77777777" w:rsidR="00501862" w:rsidRPr="00A449F0" w:rsidRDefault="00501862" w:rsidP="00FB2DC8">
                  <w:pPr>
                    <w:spacing w:before="120" w:after="120" w:line="240" w:lineRule="auto"/>
                    <w:ind w:left="34"/>
                    <w:rPr>
                      <w:rFonts w:cs="Arial"/>
                      <w:sz w:val="16"/>
                      <w:szCs w:val="16"/>
                    </w:rPr>
                  </w:pPr>
                  <w:r>
                    <w:rPr>
                      <w:sz w:val="16"/>
                    </w:rPr>
                    <w:t xml:space="preserve">Bestätigung, dass die Methoden / Prozesse zur Identifikation, Messung, Bewirtschaftung und Überwachung von anderen Risiken im Zusammenhang mit Compliance-Fragen angemessen waren und im Falle der Prüftiefe </w:t>
                  </w:r>
                  <w:r w:rsidR="00FB2DC8">
                    <w:rPr>
                      <w:sz w:val="16"/>
                    </w:rPr>
                    <w:t>„</w:t>
                  </w:r>
                  <w:r>
                    <w:rPr>
                      <w:sz w:val="16"/>
                    </w:rPr>
                    <w:t>Prüfung</w:t>
                  </w:r>
                  <w:r w:rsidR="00FB2DC8">
                    <w:rPr>
                      <w:sz w:val="16"/>
                    </w:rPr>
                    <w:t>“</w:t>
                  </w:r>
                  <w:r>
                    <w:rPr>
                      <w:sz w:val="16"/>
                    </w:rPr>
                    <w:t xml:space="preserve"> zusätzlich effektiv angewendet wurden.</w:t>
                  </w:r>
                </w:p>
              </w:tc>
              <w:tc>
                <w:tcPr>
                  <w:tcW w:w="5575" w:type="dxa"/>
                </w:tcPr>
                <w:p w14:paraId="15A4BC20" w14:textId="77777777" w:rsidR="00501862" w:rsidRPr="00E60F3F" w:rsidRDefault="00501862" w:rsidP="009809D7">
                  <w:pPr>
                    <w:tabs>
                      <w:tab w:val="left" w:pos="1859"/>
                    </w:tabs>
                    <w:spacing w:before="120" w:after="120" w:line="240" w:lineRule="auto"/>
                    <w:rPr>
                      <w:rFonts w:cs="Arial"/>
                      <w:i/>
                      <w:sz w:val="16"/>
                      <w:szCs w:val="16"/>
                    </w:rPr>
                  </w:pPr>
                  <w:r>
                    <w:rPr>
                      <w:b/>
                      <w:i/>
                      <w:sz w:val="16"/>
                      <w:highlight w:val="yellow"/>
                    </w:rPr>
                    <w:t>Ja</w:t>
                  </w:r>
                  <w:r>
                    <w:rPr>
                      <w:i/>
                      <w:sz w:val="16"/>
                      <w:highlight w:val="yellow"/>
                    </w:rPr>
                    <w:t xml:space="preserve"> (Prüfung / kritische Beurteilung) / </w:t>
                  </w:r>
                  <w:r>
                    <w:rPr>
                      <w:b/>
                      <w:i/>
                      <w:sz w:val="16"/>
                      <w:highlight w:val="yellow"/>
                    </w:rPr>
                    <w:t xml:space="preserve">Nein </w:t>
                  </w:r>
                </w:p>
              </w:tc>
            </w:tr>
          </w:tbl>
          <w:p w14:paraId="6D54D47D" w14:textId="77777777" w:rsidR="00501862" w:rsidRPr="003613F7" w:rsidRDefault="00501862" w:rsidP="008362E0">
            <w:pPr>
              <w:tabs>
                <w:tab w:val="left" w:pos="1859"/>
              </w:tabs>
              <w:spacing w:before="120" w:after="120" w:line="240" w:lineRule="auto"/>
              <w:rPr>
                <w:rFonts w:cs="Arial"/>
                <w:sz w:val="16"/>
                <w:szCs w:val="16"/>
              </w:rPr>
            </w:pPr>
          </w:p>
        </w:tc>
      </w:tr>
      <w:tr w:rsidR="00501862" w:rsidRPr="0045532C" w14:paraId="6223120B" w14:textId="77777777" w:rsidTr="008E0A38">
        <w:trPr>
          <w:trHeight w:val="561"/>
        </w:trPr>
        <w:tc>
          <w:tcPr>
            <w:tcW w:w="2835" w:type="dxa"/>
          </w:tcPr>
          <w:p w14:paraId="4FE7B7A5" w14:textId="77777777" w:rsidR="00501862" w:rsidRPr="00586141" w:rsidRDefault="00501862" w:rsidP="009809D7">
            <w:pPr>
              <w:tabs>
                <w:tab w:val="left" w:pos="1418"/>
              </w:tabs>
              <w:spacing w:before="120" w:after="120" w:line="240" w:lineRule="auto"/>
              <w:rPr>
                <w:rFonts w:cs="Arial"/>
                <w:sz w:val="16"/>
                <w:szCs w:val="16"/>
              </w:rPr>
            </w:pPr>
            <w:r w:rsidRPr="00586141">
              <w:rPr>
                <w:sz w:val="16"/>
              </w:rPr>
              <w:t>Zusammenfassung der Prüfresultate</w:t>
            </w:r>
            <w:r w:rsidR="004E7721" w:rsidRPr="00586141">
              <w:rPr>
                <w:sz w:val="16"/>
              </w:rPr>
              <w:t xml:space="preserve"> / Beanstandungen und Empfehlungen</w:t>
            </w:r>
            <w:r w:rsidRPr="00586141">
              <w:rPr>
                <w:sz w:val="16"/>
              </w:rPr>
              <w:t xml:space="preserve"> </w:t>
            </w:r>
            <w:r w:rsidRPr="00586141">
              <w:rPr>
                <w:sz w:val="12"/>
              </w:rPr>
              <w:t>(ausführliche Informationen nachstehend)</w:t>
            </w:r>
          </w:p>
        </w:tc>
        <w:tc>
          <w:tcPr>
            <w:tcW w:w="11482" w:type="dxa"/>
          </w:tcPr>
          <w:p w14:paraId="077D0485" w14:textId="77777777" w:rsidR="00501862" w:rsidRPr="00DF3B47" w:rsidRDefault="00501862" w:rsidP="009809D7">
            <w:pPr>
              <w:tabs>
                <w:tab w:val="left" w:pos="1859"/>
              </w:tabs>
              <w:spacing w:before="120" w:after="120" w:line="240" w:lineRule="auto"/>
              <w:rPr>
                <w:rFonts w:cs="Arial"/>
                <w:sz w:val="16"/>
                <w:szCs w:val="16"/>
              </w:rPr>
            </w:pPr>
            <w:r w:rsidRPr="00DF3B47">
              <w:rPr>
                <w:sz w:val="16"/>
              </w:rPr>
              <w:t>[</w:t>
            </w:r>
            <w:r w:rsidRPr="00586141">
              <w:rPr>
                <w:sz w:val="16"/>
                <w:highlight w:val="yellow"/>
              </w:rPr>
              <w:t>Zusammenfassung der Prüfresultate]</w:t>
            </w:r>
            <w:r w:rsidR="004E7721" w:rsidRPr="00586141">
              <w:rPr>
                <w:sz w:val="16"/>
                <w:highlight w:val="yellow"/>
              </w:rPr>
              <w:t xml:space="preserve"> / Beanstandungen und Empfehlungen</w:t>
            </w:r>
            <w:r w:rsidR="00702BE5">
              <w:rPr>
                <w:sz w:val="16"/>
              </w:rPr>
              <w:t>]</w:t>
            </w:r>
          </w:p>
        </w:tc>
      </w:tr>
      <w:tr w:rsidR="00501862" w:rsidRPr="0045532C" w14:paraId="7F4C9680" w14:textId="77777777" w:rsidTr="008E0A38">
        <w:trPr>
          <w:trHeight w:val="561"/>
        </w:trPr>
        <w:tc>
          <w:tcPr>
            <w:tcW w:w="2835" w:type="dxa"/>
          </w:tcPr>
          <w:p w14:paraId="767824E2" w14:textId="77777777" w:rsidR="00501862" w:rsidRPr="0045532C" w:rsidRDefault="00501862" w:rsidP="008362E0">
            <w:pPr>
              <w:tabs>
                <w:tab w:val="left" w:pos="1418"/>
              </w:tabs>
              <w:spacing w:before="120" w:after="120" w:line="240" w:lineRule="auto"/>
              <w:rPr>
                <w:rFonts w:cs="Arial"/>
                <w:sz w:val="16"/>
                <w:szCs w:val="16"/>
              </w:rPr>
            </w:pPr>
            <w:r>
              <w:rPr>
                <w:sz w:val="16"/>
              </w:rPr>
              <w:t>Prüffelder, Prüfresultate und Prüfungshandlungen der Internen Revision, auf die sich die Prüfgesellschaft gestützt hat (einschliesslich Würdigung durch die Prüfgesellschaft)</w:t>
            </w:r>
          </w:p>
        </w:tc>
        <w:tc>
          <w:tcPr>
            <w:tcW w:w="11482" w:type="dxa"/>
          </w:tcPr>
          <w:p w14:paraId="7A2BD9B9" w14:textId="77777777" w:rsidR="00501862" w:rsidRPr="0045532C" w:rsidRDefault="00501862" w:rsidP="008362E0">
            <w:pPr>
              <w:spacing w:before="120" w:after="120" w:line="240" w:lineRule="auto"/>
              <w:rPr>
                <w:rFonts w:cs="Arial"/>
                <w:sz w:val="16"/>
                <w:szCs w:val="16"/>
                <w:highlight w:val="yellow"/>
              </w:rPr>
            </w:pPr>
            <w:r>
              <w:rPr>
                <w:sz w:val="16"/>
                <w:highlight w:val="yellow"/>
              </w:rPr>
              <w:t>[Beschreibung]</w:t>
            </w:r>
          </w:p>
        </w:tc>
      </w:tr>
    </w:tbl>
    <w:p w14:paraId="383695ED" w14:textId="77777777" w:rsidR="00501862" w:rsidRPr="0045532C" w:rsidRDefault="00501862" w:rsidP="008362E0">
      <w:pPr>
        <w:spacing w:before="120" w:after="120" w:line="240" w:lineRule="auto"/>
        <w:rPr>
          <w:rFonts w:cs="Arial"/>
        </w:rPr>
      </w:pPr>
      <w:r>
        <w:br w:type="page"/>
      </w:r>
    </w:p>
    <w:p w14:paraId="21226E74" w14:textId="77777777" w:rsidR="00501862" w:rsidRPr="00163FB7" w:rsidRDefault="00501862" w:rsidP="008362E0">
      <w:pPr>
        <w:spacing w:before="120" w:after="120" w:line="240" w:lineRule="auto"/>
        <w:rPr>
          <w:rFonts w:cs="Arial"/>
          <w:u w:val="single"/>
        </w:rPr>
      </w:pPr>
      <w:r>
        <w:rPr>
          <w:b/>
        </w:rPr>
        <w:lastRenderedPageBreak/>
        <w:t xml:space="preserve">Prüfprogramm – </w:t>
      </w:r>
      <w:r>
        <w:rPr>
          <w:b/>
          <w:u w:val="single"/>
        </w:rPr>
        <w:t xml:space="preserve">Andere Risiken im Zusammenhang mit Compliance-Fragen </w:t>
      </w:r>
      <w:r>
        <w:rPr>
          <w:u w:val="single"/>
        </w:rPr>
        <w:t>– Change Management</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
        <w:gridCol w:w="1596"/>
        <w:gridCol w:w="3969"/>
        <w:gridCol w:w="3827"/>
        <w:gridCol w:w="3402"/>
        <w:gridCol w:w="992"/>
      </w:tblGrid>
      <w:tr w:rsidR="00501862" w:rsidRPr="00DB7CF3" w14:paraId="0BBE75E8" w14:textId="77777777" w:rsidTr="00810864">
        <w:trPr>
          <w:tblHeader/>
        </w:trPr>
        <w:tc>
          <w:tcPr>
            <w:tcW w:w="531" w:type="dxa"/>
            <w:tcBorders>
              <w:bottom w:val="single" w:sz="4" w:space="0" w:color="auto"/>
            </w:tcBorders>
            <w:shd w:val="pct20" w:color="auto" w:fill="auto"/>
          </w:tcPr>
          <w:p w14:paraId="40F42B50" w14:textId="77777777" w:rsidR="00501862" w:rsidRPr="00DB7CF3" w:rsidRDefault="00501862" w:rsidP="008362E0">
            <w:pPr>
              <w:spacing w:before="120" w:after="120" w:line="240" w:lineRule="auto"/>
              <w:rPr>
                <w:rFonts w:cs="Arial"/>
                <w:b/>
                <w:sz w:val="16"/>
                <w:szCs w:val="16"/>
              </w:rPr>
            </w:pPr>
            <w:r>
              <w:rPr>
                <w:b/>
                <w:sz w:val="16"/>
              </w:rPr>
              <w:t>Nr.</w:t>
            </w:r>
          </w:p>
        </w:tc>
        <w:tc>
          <w:tcPr>
            <w:tcW w:w="1596" w:type="dxa"/>
            <w:tcBorders>
              <w:bottom w:val="single" w:sz="4" w:space="0" w:color="auto"/>
            </w:tcBorders>
            <w:shd w:val="pct20" w:color="auto" w:fill="auto"/>
          </w:tcPr>
          <w:p w14:paraId="722E675D" w14:textId="77777777" w:rsidR="00501862" w:rsidRPr="00DB7CF3" w:rsidRDefault="00501862" w:rsidP="008362E0">
            <w:pPr>
              <w:spacing w:before="120" w:after="120" w:line="240" w:lineRule="auto"/>
              <w:rPr>
                <w:rFonts w:cs="Arial"/>
                <w:b/>
                <w:sz w:val="16"/>
                <w:szCs w:val="16"/>
              </w:rPr>
            </w:pPr>
            <w:r>
              <w:rPr>
                <w:b/>
                <w:sz w:val="16"/>
              </w:rPr>
              <w:t>Thema</w:t>
            </w:r>
          </w:p>
        </w:tc>
        <w:tc>
          <w:tcPr>
            <w:tcW w:w="3969" w:type="dxa"/>
            <w:tcBorders>
              <w:bottom w:val="single" w:sz="4" w:space="0" w:color="auto"/>
            </w:tcBorders>
            <w:shd w:val="pct20" w:color="auto" w:fill="auto"/>
          </w:tcPr>
          <w:p w14:paraId="794049AD" w14:textId="1878E71A" w:rsidR="00501862" w:rsidRPr="00DB7CF3" w:rsidRDefault="00501862" w:rsidP="003530ED">
            <w:pPr>
              <w:spacing w:before="120" w:after="120" w:line="240" w:lineRule="auto"/>
              <w:rPr>
                <w:rFonts w:cs="Arial"/>
                <w:b/>
                <w:sz w:val="16"/>
                <w:szCs w:val="16"/>
              </w:rPr>
            </w:pPr>
            <w:r>
              <w:rPr>
                <w:b/>
                <w:sz w:val="16"/>
              </w:rPr>
              <w:t xml:space="preserve">Prüfungshandlungen für Prüftiefe </w:t>
            </w:r>
            <w:r w:rsidR="003530ED">
              <w:rPr>
                <w:b/>
                <w:sz w:val="16"/>
              </w:rPr>
              <w:t>„</w:t>
            </w:r>
            <w:r>
              <w:rPr>
                <w:b/>
                <w:sz w:val="16"/>
              </w:rPr>
              <w:t>kritische Beurteilung</w:t>
            </w:r>
            <w:r w:rsidR="003530ED">
              <w:rPr>
                <w:b/>
                <w:sz w:val="16"/>
              </w:rPr>
              <w:t>“</w:t>
            </w:r>
          </w:p>
        </w:tc>
        <w:tc>
          <w:tcPr>
            <w:tcW w:w="3827" w:type="dxa"/>
            <w:tcBorders>
              <w:bottom w:val="single" w:sz="4" w:space="0" w:color="auto"/>
            </w:tcBorders>
            <w:shd w:val="pct20" w:color="auto" w:fill="auto"/>
          </w:tcPr>
          <w:p w14:paraId="32576B75" w14:textId="71469467" w:rsidR="00501862" w:rsidRPr="00DB7CF3" w:rsidRDefault="00501862" w:rsidP="00A66BB2">
            <w:pPr>
              <w:spacing w:before="120" w:after="120" w:line="240" w:lineRule="auto"/>
              <w:rPr>
                <w:rFonts w:cs="Arial"/>
                <w:b/>
                <w:sz w:val="16"/>
                <w:szCs w:val="16"/>
              </w:rPr>
            </w:pPr>
            <w:r>
              <w:rPr>
                <w:b/>
                <w:sz w:val="16"/>
                <w:u w:val="single"/>
              </w:rPr>
              <w:t>Zusätzliche</w:t>
            </w:r>
            <w:r>
              <w:rPr>
                <w:b/>
                <w:sz w:val="16"/>
              </w:rPr>
              <w:t xml:space="preserve"> Prüfungshandlungen für Prüftiefe </w:t>
            </w:r>
            <w:r w:rsidR="003530ED">
              <w:rPr>
                <w:b/>
                <w:sz w:val="16"/>
              </w:rPr>
              <w:t>„</w:t>
            </w:r>
            <w:r>
              <w:rPr>
                <w:b/>
                <w:sz w:val="16"/>
              </w:rPr>
              <w:t>Prüfung</w:t>
            </w:r>
            <w:r w:rsidR="003530ED">
              <w:rPr>
                <w:b/>
                <w:sz w:val="16"/>
              </w:rPr>
              <w:t>“</w:t>
            </w:r>
          </w:p>
        </w:tc>
        <w:tc>
          <w:tcPr>
            <w:tcW w:w="3402" w:type="dxa"/>
            <w:tcBorders>
              <w:bottom w:val="single" w:sz="4" w:space="0" w:color="auto"/>
            </w:tcBorders>
            <w:shd w:val="pct20" w:color="auto" w:fill="auto"/>
          </w:tcPr>
          <w:p w14:paraId="5EC239D9" w14:textId="77777777" w:rsidR="00501862" w:rsidRPr="00DB7CF3" w:rsidRDefault="00501862" w:rsidP="008362E0">
            <w:pPr>
              <w:spacing w:before="120" w:after="120" w:line="240" w:lineRule="auto"/>
              <w:rPr>
                <w:rFonts w:cs="Arial"/>
                <w:b/>
                <w:sz w:val="16"/>
                <w:szCs w:val="16"/>
              </w:rPr>
            </w:pPr>
            <w:r>
              <w:rPr>
                <w:b/>
                <w:sz w:val="16"/>
              </w:rPr>
              <w:t>Durchgeführte Prüfungshandlungen / Feststellungen</w:t>
            </w:r>
          </w:p>
        </w:tc>
        <w:tc>
          <w:tcPr>
            <w:tcW w:w="992" w:type="dxa"/>
            <w:tcBorders>
              <w:bottom w:val="single" w:sz="4" w:space="0" w:color="auto"/>
            </w:tcBorders>
            <w:shd w:val="pct20" w:color="auto" w:fill="auto"/>
          </w:tcPr>
          <w:p w14:paraId="5C322B92" w14:textId="77777777" w:rsidR="00501862" w:rsidRPr="00DB7CF3" w:rsidRDefault="00501862" w:rsidP="008362E0">
            <w:pPr>
              <w:spacing w:before="120" w:after="120" w:line="240" w:lineRule="auto"/>
              <w:rPr>
                <w:rFonts w:cs="Arial"/>
                <w:b/>
                <w:sz w:val="16"/>
                <w:szCs w:val="16"/>
              </w:rPr>
            </w:pPr>
            <w:r>
              <w:rPr>
                <w:b/>
                <w:sz w:val="16"/>
              </w:rPr>
              <w:t>Arbeitspapiere Ref.:</w:t>
            </w:r>
          </w:p>
        </w:tc>
      </w:tr>
      <w:tr w:rsidR="00501862" w:rsidRPr="00F72EE5" w14:paraId="407FDA65" w14:textId="77777777" w:rsidTr="008E0A38">
        <w:tc>
          <w:tcPr>
            <w:tcW w:w="14317" w:type="dxa"/>
            <w:gridSpan w:val="6"/>
            <w:shd w:val="pct10" w:color="auto" w:fill="auto"/>
          </w:tcPr>
          <w:p w14:paraId="24BDEE0B" w14:textId="77777777" w:rsidR="00501862" w:rsidRPr="00604F75" w:rsidRDefault="00501862" w:rsidP="008362E0">
            <w:pPr>
              <w:spacing w:before="120" w:after="120" w:line="240" w:lineRule="auto"/>
              <w:rPr>
                <w:rFonts w:cs="Arial"/>
                <w:i/>
                <w:sz w:val="16"/>
                <w:szCs w:val="16"/>
                <w:lang w:val="en-US"/>
              </w:rPr>
            </w:pPr>
            <w:r w:rsidRPr="00604F75">
              <w:rPr>
                <w:i/>
                <w:sz w:val="16"/>
                <w:lang w:val="en-US"/>
              </w:rPr>
              <w:t>Confirmation that methods / processes for identification, measurement, management and monitoring of other risks in connection with compliance issues were adequate and, in case of the audit depth “audit”, were applied effectively.</w:t>
            </w:r>
          </w:p>
          <w:p w14:paraId="2561EEA5" w14:textId="77777777" w:rsidR="00501862" w:rsidRPr="00E21810" w:rsidRDefault="00501862" w:rsidP="008362E0">
            <w:pPr>
              <w:spacing w:before="120" w:after="120" w:line="240" w:lineRule="auto"/>
              <w:rPr>
                <w:bCs/>
                <w:i/>
                <w:sz w:val="16"/>
                <w:szCs w:val="16"/>
              </w:rPr>
            </w:pPr>
            <w:r>
              <w:rPr>
                <w:i/>
                <w:sz w:val="16"/>
              </w:rPr>
              <w:t xml:space="preserve">Bestätigung, dass die Methoden / Prozesse zur Identifikation, Messung, Bewirtschaftung und Überwachung von anderen </w:t>
            </w:r>
            <w:r w:rsidR="00800A3D">
              <w:rPr>
                <w:i/>
                <w:sz w:val="16"/>
              </w:rPr>
              <w:t xml:space="preserve">Risiken </w:t>
            </w:r>
            <w:r>
              <w:rPr>
                <w:i/>
                <w:sz w:val="16"/>
              </w:rPr>
              <w:t>im Zusammenhang mit Compliance-Fragen angemessen waren und im Falle der Prüftiefe „Prüfung“ effektiv angewendet wurden.</w:t>
            </w:r>
          </w:p>
          <w:p w14:paraId="390CF0D4" w14:textId="77777777" w:rsidR="00501862" w:rsidRPr="00604F75" w:rsidRDefault="00501862" w:rsidP="008362E0">
            <w:pPr>
              <w:spacing w:before="120" w:after="120" w:line="240" w:lineRule="auto"/>
              <w:rPr>
                <w:bCs/>
                <w:i/>
                <w:sz w:val="16"/>
                <w:szCs w:val="16"/>
                <w:lang w:val="fr-CH"/>
              </w:rPr>
            </w:pPr>
            <w:r w:rsidRPr="00DF3B47">
              <w:rPr>
                <w:i/>
                <w:sz w:val="16"/>
                <w:lang w:val="fr-CH"/>
              </w:rPr>
              <w:t>Confirmation que les méthodes / processus relatifs à l’identification, la mesure, la gestion et la surveillance des autres risques en lien avec les questions de compliance ont été appropriés et en cas d’étendue d’audit « audit</w:t>
            </w:r>
            <w:r w:rsidR="000F2A96">
              <w:rPr>
                <w:i/>
                <w:sz w:val="16"/>
                <w:lang w:val="fr-CH"/>
              </w:rPr>
              <w:t xml:space="preserve"> </w:t>
            </w:r>
            <w:r w:rsidR="000F2A96">
              <w:rPr>
                <w:bCs/>
                <w:i/>
                <w:sz w:val="16"/>
                <w:szCs w:val="16"/>
                <w:lang w:val="fr-CH"/>
              </w:rPr>
              <w:t>»</w:t>
            </w:r>
            <w:r w:rsidRPr="00DF3B47">
              <w:rPr>
                <w:i/>
                <w:sz w:val="16"/>
                <w:lang w:val="fr-CH"/>
              </w:rPr>
              <w:t xml:space="preserve"> ont été effectivement appliqués.</w:t>
            </w:r>
          </w:p>
        </w:tc>
      </w:tr>
      <w:tr w:rsidR="00501862" w:rsidRPr="00AF6AA5" w14:paraId="3D2FD788" w14:textId="77777777" w:rsidTr="00810864">
        <w:tc>
          <w:tcPr>
            <w:tcW w:w="531" w:type="dxa"/>
            <w:vMerge w:val="restart"/>
            <w:shd w:val="clear" w:color="auto" w:fill="auto"/>
          </w:tcPr>
          <w:p w14:paraId="03EA2551" w14:textId="77777777" w:rsidR="00501862" w:rsidRPr="00604F75" w:rsidRDefault="00501862" w:rsidP="008362E0">
            <w:pPr>
              <w:spacing w:before="120" w:after="120" w:line="240" w:lineRule="auto"/>
              <w:rPr>
                <w:rFonts w:cs="Arial"/>
                <w:sz w:val="16"/>
                <w:szCs w:val="16"/>
                <w:lang w:val="fr-CH"/>
              </w:rPr>
            </w:pPr>
          </w:p>
        </w:tc>
        <w:tc>
          <w:tcPr>
            <w:tcW w:w="1596" w:type="dxa"/>
            <w:vMerge w:val="restart"/>
            <w:shd w:val="clear" w:color="auto" w:fill="auto"/>
          </w:tcPr>
          <w:p w14:paraId="48A658FC" w14:textId="05AFD4FF" w:rsidR="00501862" w:rsidRPr="001513B6" w:rsidRDefault="00501862" w:rsidP="00F61ADA">
            <w:pPr>
              <w:spacing w:before="120" w:after="120" w:line="240" w:lineRule="auto"/>
              <w:rPr>
                <w:rFonts w:cs="Arial"/>
                <w:b/>
                <w:sz w:val="16"/>
                <w:szCs w:val="16"/>
              </w:rPr>
            </w:pPr>
            <w:r>
              <w:rPr>
                <w:b/>
                <w:sz w:val="16"/>
              </w:rPr>
              <w:t>Rechtliches und regulatorisches Change Management</w:t>
            </w:r>
            <w:r w:rsidR="00A030F9">
              <w:rPr>
                <w:rStyle w:val="Funotenzeichen"/>
                <w:b/>
                <w:sz w:val="16"/>
              </w:rPr>
              <w:footnoteReference w:id="3"/>
            </w:r>
          </w:p>
        </w:tc>
        <w:tc>
          <w:tcPr>
            <w:tcW w:w="3969" w:type="dxa"/>
            <w:shd w:val="clear" w:color="auto" w:fill="auto"/>
          </w:tcPr>
          <w:p w14:paraId="30B09D1B" w14:textId="4D4AADB5" w:rsidR="00501862" w:rsidRPr="00DE68E5" w:rsidRDefault="00501862" w:rsidP="00F61ADA">
            <w:pPr>
              <w:pStyle w:val="Bullet"/>
              <w:numPr>
                <w:ilvl w:val="0"/>
                <w:numId w:val="0"/>
              </w:numPr>
              <w:spacing w:before="120" w:after="120"/>
              <w:rPr>
                <w:i/>
              </w:rPr>
            </w:pPr>
            <w:r>
              <w:rPr>
                <w:i/>
              </w:rPr>
              <w:t>Beurteilung der Angemessenheit der Methoden / Prozesse zur Id</w:t>
            </w:r>
            <w:r w:rsidRPr="001A2BD4">
              <w:rPr>
                <w:i/>
              </w:rPr>
              <w:t xml:space="preserve">entifikation, Messung, Bewirtschaftung und Überwachung </w:t>
            </w:r>
            <w:r w:rsidRPr="001E73CB">
              <w:rPr>
                <w:i/>
              </w:rPr>
              <w:t xml:space="preserve">rechtlicher </w:t>
            </w:r>
            <w:r w:rsidRPr="001A2BD4">
              <w:rPr>
                <w:i/>
              </w:rPr>
              <w:t xml:space="preserve">und regulatorischer Entwicklungen sowie </w:t>
            </w:r>
            <w:r w:rsidR="005D254C" w:rsidRPr="001A2BD4">
              <w:rPr>
                <w:i/>
              </w:rPr>
              <w:t>von</w:t>
            </w:r>
            <w:r w:rsidR="00800A3D" w:rsidRPr="001A2BD4">
              <w:rPr>
                <w:i/>
              </w:rPr>
              <w:t xml:space="preserve"> </w:t>
            </w:r>
            <w:r w:rsidRPr="001A2BD4">
              <w:rPr>
                <w:i/>
              </w:rPr>
              <w:t>Änderungen</w:t>
            </w:r>
            <w:r w:rsidR="00800A3D" w:rsidRPr="001A2BD4">
              <w:rPr>
                <w:i/>
              </w:rPr>
              <w:t xml:space="preserve"> bei der</w:t>
            </w:r>
            <w:r w:rsidRPr="001A2BD4">
              <w:rPr>
                <w:i/>
              </w:rPr>
              <w:t xml:space="preserve"> Geschäftstätigkeit nach Massgabe der Grösse, der Geschäfts- und Organisationskomplexität und des Compliance-Risikos des Instituts, na</w:t>
            </w:r>
            <w:r>
              <w:rPr>
                <w:i/>
              </w:rPr>
              <w:t>mentlich:</w:t>
            </w:r>
          </w:p>
        </w:tc>
        <w:tc>
          <w:tcPr>
            <w:tcW w:w="3827" w:type="dxa"/>
            <w:shd w:val="clear" w:color="auto" w:fill="auto"/>
          </w:tcPr>
          <w:p w14:paraId="0287DB52" w14:textId="44BCDB8F" w:rsidR="00501862" w:rsidRPr="001D46BF" w:rsidRDefault="00501862" w:rsidP="008362E0">
            <w:pPr>
              <w:pStyle w:val="Bullet"/>
              <w:numPr>
                <w:ilvl w:val="0"/>
                <w:numId w:val="0"/>
              </w:numPr>
              <w:spacing w:before="120" w:after="120"/>
            </w:pPr>
          </w:p>
        </w:tc>
        <w:tc>
          <w:tcPr>
            <w:tcW w:w="3402" w:type="dxa"/>
            <w:shd w:val="clear" w:color="auto" w:fill="auto"/>
          </w:tcPr>
          <w:p w14:paraId="30F58958" w14:textId="77777777" w:rsidR="00501862" w:rsidRPr="001D46BF" w:rsidRDefault="00501862" w:rsidP="008362E0">
            <w:pPr>
              <w:spacing w:before="120" w:after="120" w:line="240" w:lineRule="auto"/>
              <w:rPr>
                <w:rFonts w:cs="Arial"/>
                <w:sz w:val="16"/>
                <w:szCs w:val="16"/>
              </w:rPr>
            </w:pPr>
          </w:p>
        </w:tc>
        <w:tc>
          <w:tcPr>
            <w:tcW w:w="992" w:type="dxa"/>
            <w:shd w:val="clear" w:color="auto" w:fill="auto"/>
          </w:tcPr>
          <w:p w14:paraId="56A2C36C" w14:textId="519B6D49" w:rsidR="00501862" w:rsidRPr="001D46BF" w:rsidRDefault="00501862" w:rsidP="00580691">
            <w:pPr>
              <w:spacing w:before="120" w:after="120" w:line="240" w:lineRule="auto"/>
              <w:rPr>
                <w:rFonts w:cs="Arial"/>
                <w:sz w:val="16"/>
                <w:szCs w:val="16"/>
              </w:rPr>
            </w:pPr>
          </w:p>
        </w:tc>
      </w:tr>
      <w:tr w:rsidR="00501862" w:rsidRPr="00AF6AA5" w14:paraId="629283D4" w14:textId="77777777" w:rsidTr="00810864">
        <w:tc>
          <w:tcPr>
            <w:tcW w:w="531" w:type="dxa"/>
            <w:vMerge/>
            <w:shd w:val="clear" w:color="auto" w:fill="auto"/>
          </w:tcPr>
          <w:p w14:paraId="6F6C5951" w14:textId="77777777" w:rsidR="00501862" w:rsidRPr="001D46BF" w:rsidRDefault="00501862" w:rsidP="008362E0">
            <w:pPr>
              <w:spacing w:before="120" w:after="120" w:line="240" w:lineRule="auto"/>
              <w:rPr>
                <w:rFonts w:cs="Arial"/>
                <w:sz w:val="16"/>
                <w:szCs w:val="16"/>
              </w:rPr>
            </w:pPr>
          </w:p>
        </w:tc>
        <w:tc>
          <w:tcPr>
            <w:tcW w:w="1596" w:type="dxa"/>
            <w:vMerge/>
            <w:shd w:val="clear" w:color="auto" w:fill="auto"/>
          </w:tcPr>
          <w:p w14:paraId="2AAB5B42" w14:textId="77777777" w:rsidR="00501862" w:rsidRPr="001D46BF" w:rsidRDefault="00501862" w:rsidP="008362E0">
            <w:pPr>
              <w:spacing w:before="120" w:after="120" w:line="240" w:lineRule="auto"/>
              <w:rPr>
                <w:rFonts w:cs="Arial"/>
                <w:b/>
                <w:sz w:val="16"/>
                <w:szCs w:val="16"/>
              </w:rPr>
            </w:pPr>
          </w:p>
        </w:tc>
        <w:tc>
          <w:tcPr>
            <w:tcW w:w="3969" w:type="dxa"/>
            <w:shd w:val="clear" w:color="auto" w:fill="auto"/>
          </w:tcPr>
          <w:p w14:paraId="0AD8BCEF" w14:textId="77777777" w:rsidR="00501862" w:rsidRDefault="00501862" w:rsidP="008362E0">
            <w:pPr>
              <w:pStyle w:val="Bullet"/>
              <w:numPr>
                <w:ilvl w:val="0"/>
                <w:numId w:val="0"/>
              </w:numPr>
              <w:spacing w:before="120" w:after="120"/>
            </w:pPr>
            <w:r>
              <w:t xml:space="preserve">Beurteilung der Angemessenheit der Prozesse des Instituts zur </w:t>
            </w:r>
          </w:p>
          <w:p w14:paraId="37D4DB04" w14:textId="3744106C" w:rsidR="00501862" w:rsidRDefault="00501862" w:rsidP="008362E0">
            <w:pPr>
              <w:pStyle w:val="Bullet"/>
              <w:numPr>
                <w:ilvl w:val="0"/>
                <w:numId w:val="10"/>
              </w:numPr>
              <w:spacing w:before="120" w:after="120"/>
              <w:ind w:left="170" w:hanging="170"/>
            </w:pPr>
            <w:r>
              <w:t xml:space="preserve">Erstellung, Qualitätssicherung und Genehmigung einer periodischen Übersicht relevanter </w:t>
            </w:r>
            <w:r w:rsidRPr="001E73CB">
              <w:t>rechtlicher</w:t>
            </w:r>
            <w:r>
              <w:t xml:space="preserve"> und regulatorischer Änderungen</w:t>
            </w:r>
          </w:p>
          <w:p w14:paraId="7BE2F926" w14:textId="51D7BA47" w:rsidR="00501862" w:rsidRDefault="00501862" w:rsidP="008362E0">
            <w:pPr>
              <w:pStyle w:val="Bullet"/>
              <w:numPr>
                <w:ilvl w:val="0"/>
                <w:numId w:val="10"/>
              </w:numPr>
              <w:spacing w:before="120" w:after="120"/>
              <w:ind w:left="170" w:hanging="170"/>
            </w:pPr>
            <w:r>
              <w:t xml:space="preserve">Durchführung einer Business Impact Analysis der relevanten </w:t>
            </w:r>
            <w:r w:rsidRPr="001E73CB">
              <w:t>rechtlichen und regulatorischen</w:t>
            </w:r>
            <w:r>
              <w:t xml:space="preserve"> Änderungen</w:t>
            </w:r>
          </w:p>
          <w:p w14:paraId="4D7D18B2" w14:textId="77777777" w:rsidR="00501862" w:rsidRPr="00686304" w:rsidRDefault="00501862" w:rsidP="008362E0">
            <w:pPr>
              <w:pStyle w:val="Bullet"/>
              <w:numPr>
                <w:ilvl w:val="0"/>
                <w:numId w:val="10"/>
              </w:numPr>
              <w:spacing w:before="120" w:after="120"/>
              <w:ind w:left="170" w:hanging="170"/>
            </w:pPr>
            <w:r>
              <w:t>zeitnahen Planung und Einleitung von Handlungen und Massnahmen, um auf Änderungen zu reagieren</w:t>
            </w:r>
            <w:r w:rsidR="00604F75">
              <w:t>.</w:t>
            </w:r>
          </w:p>
        </w:tc>
        <w:tc>
          <w:tcPr>
            <w:tcW w:w="3827" w:type="dxa"/>
            <w:shd w:val="clear" w:color="auto" w:fill="auto"/>
          </w:tcPr>
          <w:p w14:paraId="53294219" w14:textId="5CC086AB" w:rsidR="00501862" w:rsidRPr="00E802B3" w:rsidRDefault="00501862" w:rsidP="008362E0">
            <w:pPr>
              <w:pStyle w:val="Bullet"/>
              <w:numPr>
                <w:ilvl w:val="0"/>
                <w:numId w:val="0"/>
              </w:numPr>
              <w:spacing w:before="120" w:after="120"/>
            </w:pPr>
            <w:r>
              <w:t xml:space="preserve">Überprüfung der Angemessenheit / des Umfangs der vom Institut vorgenommenen Einschätzung relevanter </w:t>
            </w:r>
            <w:r w:rsidRPr="001E73CB">
              <w:t>rechtlicher und</w:t>
            </w:r>
            <w:r>
              <w:t xml:space="preserve"> regulatorischer Änderungen und Beurteilung</w:t>
            </w:r>
          </w:p>
          <w:p w14:paraId="70D9A653" w14:textId="77777777" w:rsidR="00501862" w:rsidRPr="00E802B3" w:rsidRDefault="00501862" w:rsidP="008362E0">
            <w:pPr>
              <w:pStyle w:val="Bullet"/>
              <w:numPr>
                <w:ilvl w:val="0"/>
                <w:numId w:val="11"/>
              </w:numPr>
              <w:spacing w:before="120" w:after="120"/>
              <w:ind w:left="170" w:hanging="170"/>
            </w:pPr>
            <w:r>
              <w:t>der von der Bank vorgenommenen Einschätzung der Auswirkungen auf die Geschäftstätigkeit</w:t>
            </w:r>
          </w:p>
          <w:p w14:paraId="68CEB7E9" w14:textId="77777777" w:rsidR="00501862" w:rsidRPr="00986A1C" w:rsidRDefault="00501862" w:rsidP="008362E0">
            <w:pPr>
              <w:pStyle w:val="Bullet"/>
              <w:numPr>
                <w:ilvl w:val="0"/>
                <w:numId w:val="11"/>
              </w:numPr>
              <w:spacing w:before="120" w:after="120"/>
              <w:ind w:left="170" w:hanging="170"/>
            </w:pPr>
            <w:r>
              <w:t>der Einleitung von Massnahmen als Reaktion auf die Änderung (basierend auf unserem eigenen Verständnis dieser Änderungen)</w:t>
            </w:r>
            <w:r w:rsidR="00604F75">
              <w:t>.</w:t>
            </w:r>
          </w:p>
        </w:tc>
        <w:tc>
          <w:tcPr>
            <w:tcW w:w="3402" w:type="dxa"/>
            <w:shd w:val="clear" w:color="auto" w:fill="auto"/>
          </w:tcPr>
          <w:p w14:paraId="5D7245ED" w14:textId="77777777" w:rsidR="00501862" w:rsidRPr="001D46BF" w:rsidRDefault="00501862" w:rsidP="008362E0">
            <w:pPr>
              <w:spacing w:before="120" w:after="120" w:line="240" w:lineRule="auto"/>
              <w:rPr>
                <w:rFonts w:cs="Arial"/>
                <w:sz w:val="16"/>
                <w:szCs w:val="16"/>
              </w:rPr>
            </w:pPr>
          </w:p>
        </w:tc>
        <w:tc>
          <w:tcPr>
            <w:tcW w:w="992" w:type="dxa"/>
            <w:shd w:val="clear" w:color="auto" w:fill="auto"/>
          </w:tcPr>
          <w:p w14:paraId="03F17E9A" w14:textId="77777777" w:rsidR="00501862" w:rsidRPr="001D46BF" w:rsidRDefault="00501862" w:rsidP="008362E0">
            <w:pPr>
              <w:spacing w:before="120" w:after="120" w:line="240" w:lineRule="auto"/>
              <w:rPr>
                <w:rFonts w:cs="Arial"/>
                <w:sz w:val="16"/>
                <w:szCs w:val="16"/>
              </w:rPr>
            </w:pPr>
          </w:p>
        </w:tc>
      </w:tr>
      <w:tr w:rsidR="00501862" w:rsidRPr="00AF6AA5" w14:paraId="23C3A51C" w14:textId="77777777" w:rsidTr="00810864">
        <w:tc>
          <w:tcPr>
            <w:tcW w:w="531" w:type="dxa"/>
            <w:vMerge/>
            <w:shd w:val="clear" w:color="auto" w:fill="auto"/>
          </w:tcPr>
          <w:p w14:paraId="29D84A76" w14:textId="77777777" w:rsidR="00501862" w:rsidRPr="001D46BF" w:rsidRDefault="00501862" w:rsidP="008362E0">
            <w:pPr>
              <w:spacing w:before="120" w:after="120" w:line="240" w:lineRule="auto"/>
              <w:rPr>
                <w:rFonts w:cs="Arial"/>
                <w:sz w:val="16"/>
                <w:szCs w:val="16"/>
              </w:rPr>
            </w:pPr>
          </w:p>
        </w:tc>
        <w:tc>
          <w:tcPr>
            <w:tcW w:w="1596" w:type="dxa"/>
            <w:vMerge/>
            <w:shd w:val="clear" w:color="auto" w:fill="auto"/>
          </w:tcPr>
          <w:p w14:paraId="69AD60AA" w14:textId="77777777" w:rsidR="00501862" w:rsidRPr="001D46BF" w:rsidRDefault="00501862" w:rsidP="008362E0">
            <w:pPr>
              <w:spacing w:before="120" w:after="120" w:line="240" w:lineRule="auto"/>
              <w:rPr>
                <w:rFonts w:cs="Arial"/>
                <w:b/>
                <w:sz w:val="16"/>
                <w:szCs w:val="16"/>
              </w:rPr>
            </w:pPr>
          </w:p>
        </w:tc>
        <w:tc>
          <w:tcPr>
            <w:tcW w:w="3969" w:type="dxa"/>
            <w:shd w:val="clear" w:color="auto" w:fill="auto"/>
          </w:tcPr>
          <w:p w14:paraId="3B6244C2" w14:textId="3EF1B8BD" w:rsidR="00501862" w:rsidRPr="00791040" w:rsidRDefault="00501862" w:rsidP="004F28D7">
            <w:pPr>
              <w:pStyle w:val="Bullet"/>
              <w:numPr>
                <w:ilvl w:val="0"/>
                <w:numId w:val="0"/>
              </w:numPr>
              <w:spacing w:before="120" w:after="120"/>
            </w:pPr>
            <w:r w:rsidRPr="00791040">
              <w:t xml:space="preserve">Beurteilung, ob das Institut über angemessenes Know-how und Fachwissen verfügt, um die </w:t>
            </w:r>
            <w:r w:rsidRPr="00F61ADA">
              <w:t>rechtli</w:t>
            </w:r>
            <w:r w:rsidRPr="00F61ADA">
              <w:lastRenderedPageBreak/>
              <w:t>chen und</w:t>
            </w:r>
            <w:r w:rsidRPr="00791040">
              <w:t xml:space="preserve"> regulatorischen Änderungen zu identifizieren, einschliesslich Beurteilung</w:t>
            </w:r>
            <w:r w:rsidR="003527A1" w:rsidRPr="00791040">
              <w:t>, wie</w:t>
            </w:r>
            <w:r w:rsidRPr="00791040">
              <w:t xml:space="preserve"> Information</w:t>
            </w:r>
            <w:r w:rsidR="003527A1" w:rsidRPr="00791040">
              <w:t xml:space="preserve">en </w:t>
            </w:r>
            <w:r w:rsidRPr="00791040">
              <w:t>über regulatorische Änderungen</w:t>
            </w:r>
            <w:r w:rsidR="003527A1" w:rsidRPr="00791040">
              <w:t xml:space="preserve"> eingeholt werden</w:t>
            </w:r>
            <w:r w:rsidR="00604F75" w:rsidRPr="00791040">
              <w:t>.</w:t>
            </w:r>
          </w:p>
        </w:tc>
        <w:tc>
          <w:tcPr>
            <w:tcW w:w="3827" w:type="dxa"/>
            <w:shd w:val="clear" w:color="auto" w:fill="auto"/>
          </w:tcPr>
          <w:p w14:paraId="43F488A3" w14:textId="77777777" w:rsidR="00501862" w:rsidRPr="001D46BF" w:rsidRDefault="00501862" w:rsidP="008362E0">
            <w:pPr>
              <w:pStyle w:val="Bullet"/>
              <w:numPr>
                <w:ilvl w:val="0"/>
                <w:numId w:val="0"/>
              </w:numPr>
              <w:spacing w:before="120" w:after="120"/>
            </w:pPr>
          </w:p>
        </w:tc>
        <w:tc>
          <w:tcPr>
            <w:tcW w:w="3402" w:type="dxa"/>
            <w:shd w:val="clear" w:color="auto" w:fill="auto"/>
          </w:tcPr>
          <w:p w14:paraId="172ABDF8" w14:textId="77777777" w:rsidR="00501862" w:rsidRPr="001D46BF" w:rsidRDefault="00501862" w:rsidP="008362E0">
            <w:pPr>
              <w:spacing w:before="120" w:after="120" w:line="240" w:lineRule="auto"/>
              <w:rPr>
                <w:rFonts w:cs="Arial"/>
                <w:sz w:val="16"/>
                <w:szCs w:val="16"/>
              </w:rPr>
            </w:pPr>
          </w:p>
        </w:tc>
        <w:tc>
          <w:tcPr>
            <w:tcW w:w="992" w:type="dxa"/>
            <w:shd w:val="clear" w:color="auto" w:fill="auto"/>
          </w:tcPr>
          <w:p w14:paraId="5DC68405" w14:textId="77777777" w:rsidR="00501862" w:rsidRPr="001D46BF" w:rsidRDefault="00501862" w:rsidP="008362E0">
            <w:pPr>
              <w:spacing w:before="120" w:after="120" w:line="240" w:lineRule="auto"/>
              <w:rPr>
                <w:rFonts w:cs="Arial"/>
                <w:sz w:val="16"/>
                <w:szCs w:val="16"/>
              </w:rPr>
            </w:pPr>
          </w:p>
        </w:tc>
      </w:tr>
      <w:tr w:rsidR="00501862" w:rsidRPr="00AF6AA5" w14:paraId="23DC111F" w14:textId="77777777" w:rsidTr="00810864">
        <w:tc>
          <w:tcPr>
            <w:tcW w:w="531" w:type="dxa"/>
            <w:vMerge/>
            <w:shd w:val="clear" w:color="auto" w:fill="auto"/>
          </w:tcPr>
          <w:p w14:paraId="23A1EF3A" w14:textId="77777777" w:rsidR="00501862" w:rsidRPr="001D46BF" w:rsidRDefault="00501862" w:rsidP="008362E0">
            <w:pPr>
              <w:spacing w:before="120" w:after="120" w:line="240" w:lineRule="auto"/>
              <w:rPr>
                <w:rFonts w:cs="Arial"/>
                <w:sz w:val="16"/>
                <w:szCs w:val="16"/>
              </w:rPr>
            </w:pPr>
          </w:p>
        </w:tc>
        <w:tc>
          <w:tcPr>
            <w:tcW w:w="1596" w:type="dxa"/>
            <w:vMerge/>
            <w:shd w:val="clear" w:color="auto" w:fill="auto"/>
          </w:tcPr>
          <w:p w14:paraId="1663458F" w14:textId="77777777" w:rsidR="00501862" w:rsidRPr="001D46BF" w:rsidRDefault="00501862" w:rsidP="008362E0">
            <w:pPr>
              <w:spacing w:before="120" w:after="120" w:line="240" w:lineRule="auto"/>
              <w:rPr>
                <w:rFonts w:cs="Arial"/>
                <w:b/>
                <w:sz w:val="16"/>
                <w:szCs w:val="16"/>
              </w:rPr>
            </w:pPr>
          </w:p>
        </w:tc>
        <w:tc>
          <w:tcPr>
            <w:tcW w:w="3969" w:type="dxa"/>
            <w:shd w:val="clear" w:color="auto" w:fill="auto"/>
          </w:tcPr>
          <w:p w14:paraId="79704F58" w14:textId="2B37A7B5" w:rsidR="00501862" w:rsidRPr="00791040" w:rsidRDefault="00501862" w:rsidP="004F28D7">
            <w:pPr>
              <w:pStyle w:val="Bullet"/>
              <w:numPr>
                <w:ilvl w:val="0"/>
                <w:numId w:val="0"/>
              </w:numPr>
              <w:spacing w:before="120" w:after="120"/>
            </w:pPr>
            <w:r w:rsidRPr="00791040">
              <w:t xml:space="preserve">Beurteilung der Angemessenheit der Berichterstattung an und der Überwachung durch die </w:t>
            </w:r>
            <w:r w:rsidR="00771B14" w:rsidRPr="00791040">
              <w:t>Geschäftsleitung</w:t>
            </w:r>
            <w:r w:rsidRPr="00791040">
              <w:t xml:space="preserve"> und den Verwaltungsrat </w:t>
            </w:r>
            <w:r w:rsidR="0085740B" w:rsidRPr="00791040">
              <w:t xml:space="preserve">betreffend </w:t>
            </w:r>
            <w:r w:rsidRPr="00F61ADA">
              <w:t>rechtliche und</w:t>
            </w:r>
            <w:r w:rsidRPr="00791040">
              <w:t xml:space="preserve"> regulatorische Entwicklungen und damit verbundene Änderungen und Massnahmen</w:t>
            </w:r>
            <w:r w:rsidR="0085740B" w:rsidRPr="00791040">
              <w:t xml:space="preserve"> im Hinblick auf die</w:t>
            </w:r>
            <w:r w:rsidRPr="00791040">
              <w:t xml:space="preserve"> Geschäftstätigkeit</w:t>
            </w:r>
            <w:r w:rsidR="00604F75" w:rsidRPr="00791040">
              <w:t>.</w:t>
            </w:r>
          </w:p>
        </w:tc>
        <w:tc>
          <w:tcPr>
            <w:tcW w:w="3827" w:type="dxa"/>
            <w:shd w:val="clear" w:color="auto" w:fill="auto"/>
          </w:tcPr>
          <w:p w14:paraId="64A0DF59" w14:textId="77777777" w:rsidR="00501862" w:rsidRPr="001D46BF" w:rsidRDefault="00501862" w:rsidP="008362E0">
            <w:pPr>
              <w:pStyle w:val="Bullet"/>
              <w:numPr>
                <w:ilvl w:val="0"/>
                <w:numId w:val="0"/>
              </w:numPr>
              <w:spacing w:before="120" w:after="120"/>
            </w:pPr>
          </w:p>
        </w:tc>
        <w:tc>
          <w:tcPr>
            <w:tcW w:w="3402" w:type="dxa"/>
            <w:shd w:val="clear" w:color="auto" w:fill="auto"/>
          </w:tcPr>
          <w:p w14:paraId="0AA54741" w14:textId="77777777" w:rsidR="00501862" w:rsidRPr="001D46BF" w:rsidRDefault="00501862" w:rsidP="008362E0">
            <w:pPr>
              <w:spacing w:before="120" w:after="120" w:line="240" w:lineRule="auto"/>
              <w:rPr>
                <w:rFonts w:cs="Arial"/>
                <w:sz w:val="16"/>
                <w:szCs w:val="16"/>
              </w:rPr>
            </w:pPr>
          </w:p>
        </w:tc>
        <w:tc>
          <w:tcPr>
            <w:tcW w:w="992" w:type="dxa"/>
            <w:shd w:val="clear" w:color="auto" w:fill="auto"/>
          </w:tcPr>
          <w:p w14:paraId="01AB4E00" w14:textId="77777777" w:rsidR="00501862" w:rsidRPr="001D46BF" w:rsidRDefault="00501862" w:rsidP="008362E0">
            <w:pPr>
              <w:spacing w:before="120" w:after="120" w:line="240" w:lineRule="auto"/>
              <w:rPr>
                <w:rFonts w:cs="Arial"/>
                <w:sz w:val="16"/>
                <w:szCs w:val="16"/>
              </w:rPr>
            </w:pPr>
          </w:p>
        </w:tc>
      </w:tr>
      <w:tr w:rsidR="00501862" w:rsidRPr="00AF6AA5" w14:paraId="33CABCD9" w14:textId="77777777" w:rsidTr="00810864">
        <w:trPr>
          <w:cantSplit/>
        </w:trPr>
        <w:tc>
          <w:tcPr>
            <w:tcW w:w="531" w:type="dxa"/>
            <w:vMerge w:val="restart"/>
            <w:shd w:val="clear" w:color="auto" w:fill="auto"/>
          </w:tcPr>
          <w:p w14:paraId="4C8991CE" w14:textId="77777777" w:rsidR="00501862" w:rsidRPr="001D46BF" w:rsidRDefault="00501862" w:rsidP="008362E0">
            <w:pPr>
              <w:spacing w:before="120" w:after="120" w:line="240" w:lineRule="auto"/>
              <w:rPr>
                <w:rFonts w:cs="Arial"/>
                <w:sz w:val="16"/>
                <w:szCs w:val="16"/>
              </w:rPr>
            </w:pPr>
            <w:r>
              <w:rPr>
                <w:sz w:val="16"/>
              </w:rPr>
              <w:t xml:space="preserve"> </w:t>
            </w:r>
          </w:p>
        </w:tc>
        <w:tc>
          <w:tcPr>
            <w:tcW w:w="1596" w:type="dxa"/>
            <w:vMerge w:val="restart"/>
            <w:shd w:val="clear" w:color="auto" w:fill="auto"/>
          </w:tcPr>
          <w:p w14:paraId="54AB5783" w14:textId="77777777" w:rsidR="00501862" w:rsidRPr="001D46BF" w:rsidRDefault="00501862" w:rsidP="008362E0">
            <w:pPr>
              <w:spacing w:before="120" w:after="120" w:line="240" w:lineRule="auto"/>
              <w:rPr>
                <w:rFonts w:cs="Arial"/>
                <w:b/>
                <w:sz w:val="16"/>
                <w:szCs w:val="16"/>
              </w:rPr>
            </w:pPr>
            <w:r>
              <w:rPr>
                <w:b/>
                <w:sz w:val="16"/>
              </w:rPr>
              <w:t>Neue Geschäftsaktivitäten, Produkte und Dienstleistungen</w:t>
            </w:r>
          </w:p>
        </w:tc>
        <w:tc>
          <w:tcPr>
            <w:tcW w:w="3969" w:type="dxa"/>
            <w:shd w:val="clear" w:color="auto" w:fill="auto"/>
          </w:tcPr>
          <w:p w14:paraId="4C4927F6" w14:textId="77777777" w:rsidR="00501862" w:rsidRPr="00791040" w:rsidRDefault="00501862" w:rsidP="00727808">
            <w:pPr>
              <w:pStyle w:val="Bullet"/>
              <w:numPr>
                <w:ilvl w:val="0"/>
                <w:numId w:val="0"/>
              </w:numPr>
              <w:spacing w:before="120" w:after="120"/>
            </w:pPr>
            <w:r w:rsidRPr="00791040">
              <w:rPr>
                <w:i/>
              </w:rPr>
              <w:t>Beurteilung der Angemessenheit der Methoden / Prozesse zur Identifikation, Messung, Bewirtschaftung und Überwachung von Auswirkungen aus der Einführung oder Änderung von Geschäftsaktivitäten, Produkten und Dienstleistungen nach Massgabe der Grösse, der Geschäfts</w:t>
            </w:r>
            <w:r w:rsidR="00727808" w:rsidRPr="00791040">
              <w:rPr>
                <w:i/>
              </w:rPr>
              <w:t>-</w:t>
            </w:r>
            <w:r w:rsidRPr="00791040">
              <w:rPr>
                <w:i/>
              </w:rPr>
              <w:t xml:space="preserve"> und Organisationskomplexität und des Compliance-Risikos des Instituts, namentlich</w:t>
            </w:r>
          </w:p>
        </w:tc>
        <w:tc>
          <w:tcPr>
            <w:tcW w:w="3827" w:type="dxa"/>
            <w:shd w:val="clear" w:color="auto" w:fill="auto"/>
          </w:tcPr>
          <w:p w14:paraId="2D8EED5F" w14:textId="77777777" w:rsidR="00501862" w:rsidRPr="001D46BF" w:rsidRDefault="00501862" w:rsidP="008362E0">
            <w:pPr>
              <w:pStyle w:val="Bullet"/>
              <w:numPr>
                <w:ilvl w:val="0"/>
                <w:numId w:val="0"/>
              </w:numPr>
              <w:spacing w:before="120" w:after="120"/>
            </w:pPr>
          </w:p>
        </w:tc>
        <w:tc>
          <w:tcPr>
            <w:tcW w:w="3402" w:type="dxa"/>
            <w:shd w:val="clear" w:color="auto" w:fill="auto"/>
          </w:tcPr>
          <w:p w14:paraId="5F3529A8" w14:textId="77777777" w:rsidR="00501862" w:rsidRPr="001D46BF" w:rsidRDefault="00501862" w:rsidP="008362E0">
            <w:pPr>
              <w:spacing w:before="120" w:after="120" w:line="240" w:lineRule="auto"/>
              <w:rPr>
                <w:rFonts w:cs="Arial"/>
                <w:sz w:val="16"/>
                <w:szCs w:val="16"/>
              </w:rPr>
            </w:pPr>
          </w:p>
        </w:tc>
        <w:tc>
          <w:tcPr>
            <w:tcW w:w="992" w:type="dxa"/>
            <w:shd w:val="clear" w:color="auto" w:fill="auto"/>
          </w:tcPr>
          <w:p w14:paraId="158BEB33" w14:textId="77777777" w:rsidR="00501862" w:rsidRPr="001D46BF" w:rsidRDefault="00501862" w:rsidP="008362E0">
            <w:pPr>
              <w:spacing w:before="120" w:after="120" w:line="240" w:lineRule="auto"/>
              <w:rPr>
                <w:rFonts w:cs="Arial"/>
                <w:sz w:val="16"/>
                <w:szCs w:val="16"/>
              </w:rPr>
            </w:pPr>
          </w:p>
        </w:tc>
      </w:tr>
      <w:tr w:rsidR="00501862" w:rsidRPr="00AF6AA5" w14:paraId="30512F7E" w14:textId="77777777" w:rsidTr="00810864">
        <w:tc>
          <w:tcPr>
            <w:tcW w:w="531" w:type="dxa"/>
            <w:vMerge/>
            <w:shd w:val="clear" w:color="auto" w:fill="auto"/>
          </w:tcPr>
          <w:p w14:paraId="03BBA8F4" w14:textId="77777777" w:rsidR="00501862" w:rsidRDefault="00501862" w:rsidP="008362E0">
            <w:pPr>
              <w:spacing w:before="120" w:after="120" w:line="240" w:lineRule="auto"/>
              <w:rPr>
                <w:rFonts w:cs="Arial"/>
                <w:sz w:val="16"/>
                <w:szCs w:val="16"/>
              </w:rPr>
            </w:pPr>
          </w:p>
        </w:tc>
        <w:tc>
          <w:tcPr>
            <w:tcW w:w="1596" w:type="dxa"/>
            <w:vMerge/>
            <w:shd w:val="clear" w:color="auto" w:fill="auto"/>
          </w:tcPr>
          <w:p w14:paraId="514D3D21" w14:textId="77777777" w:rsidR="00501862" w:rsidRDefault="00501862" w:rsidP="008362E0">
            <w:pPr>
              <w:spacing w:before="120" w:after="120" w:line="240" w:lineRule="auto"/>
              <w:rPr>
                <w:rFonts w:cs="Arial"/>
                <w:b/>
                <w:sz w:val="16"/>
                <w:szCs w:val="16"/>
              </w:rPr>
            </w:pPr>
          </w:p>
        </w:tc>
        <w:tc>
          <w:tcPr>
            <w:tcW w:w="3969" w:type="dxa"/>
            <w:shd w:val="clear" w:color="auto" w:fill="auto"/>
          </w:tcPr>
          <w:p w14:paraId="1B2F0670" w14:textId="77777777" w:rsidR="00501862" w:rsidRPr="00791040" w:rsidRDefault="00501862" w:rsidP="008362E0">
            <w:pPr>
              <w:pStyle w:val="Bullet"/>
              <w:numPr>
                <w:ilvl w:val="0"/>
                <w:numId w:val="0"/>
              </w:numPr>
              <w:spacing w:before="120" w:after="120"/>
            </w:pPr>
            <w:r w:rsidRPr="00791040">
              <w:t>Beurteilung der Angemessenheit und des Umfangs der Prozesse und Kontrollen des Instituts zur Bewirtschaftung von Compliance-Risiken bei der Einführung neuer Geschäftsaktivitäten, Produkte oder Dienstleistungen und zur Steuerung von Änderungen bei Geschäftsaktivitäten, Produkten oder Dienstleistungen</w:t>
            </w:r>
            <w:r w:rsidR="00604F75" w:rsidRPr="00791040">
              <w:t>.</w:t>
            </w:r>
          </w:p>
        </w:tc>
        <w:tc>
          <w:tcPr>
            <w:tcW w:w="3827" w:type="dxa"/>
            <w:shd w:val="clear" w:color="auto" w:fill="auto"/>
          </w:tcPr>
          <w:p w14:paraId="7616BC4B" w14:textId="77777777" w:rsidR="00501862" w:rsidRPr="001D46BF" w:rsidRDefault="00501862" w:rsidP="008362E0">
            <w:pPr>
              <w:pStyle w:val="Bullet"/>
              <w:numPr>
                <w:ilvl w:val="0"/>
                <w:numId w:val="0"/>
              </w:numPr>
              <w:spacing w:before="120" w:after="120"/>
            </w:pPr>
          </w:p>
        </w:tc>
        <w:tc>
          <w:tcPr>
            <w:tcW w:w="3402" w:type="dxa"/>
            <w:shd w:val="clear" w:color="auto" w:fill="auto"/>
          </w:tcPr>
          <w:p w14:paraId="61427FA2" w14:textId="77777777" w:rsidR="00501862" w:rsidRPr="001D46BF" w:rsidRDefault="00501862" w:rsidP="008362E0">
            <w:pPr>
              <w:spacing w:before="120" w:after="120" w:line="240" w:lineRule="auto"/>
              <w:rPr>
                <w:rFonts w:cs="Arial"/>
                <w:sz w:val="16"/>
                <w:szCs w:val="16"/>
              </w:rPr>
            </w:pPr>
          </w:p>
        </w:tc>
        <w:tc>
          <w:tcPr>
            <w:tcW w:w="992" w:type="dxa"/>
            <w:shd w:val="clear" w:color="auto" w:fill="auto"/>
          </w:tcPr>
          <w:p w14:paraId="4F274364" w14:textId="77777777" w:rsidR="00501862" w:rsidRPr="001D46BF" w:rsidRDefault="00501862" w:rsidP="008362E0">
            <w:pPr>
              <w:spacing w:before="120" w:after="120" w:line="240" w:lineRule="auto"/>
              <w:rPr>
                <w:rFonts w:cs="Arial"/>
                <w:sz w:val="16"/>
                <w:szCs w:val="16"/>
              </w:rPr>
            </w:pPr>
          </w:p>
        </w:tc>
      </w:tr>
      <w:tr w:rsidR="00501862" w:rsidRPr="00AF6AA5" w14:paraId="6CEF178C" w14:textId="77777777" w:rsidTr="00810864">
        <w:tc>
          <w:tcPr>
            <w:tcW w:w="531" w:type="dxa"/>
            <w:vMerge w:val="restart"/>
            <w:shd w:val="clear" w:color="auto" w:fill="auto"/>
          </w:tcPr>
          <w:p w14:paraId="3597B849" w14:textId="77777777" w:rsidR="00501862" w:rsidRPr="00C04F0F" w:rsidRDefault="00501862" w:rsidP="008362E0">
            <w:pPr>
              <w:spacing w:before="120" w:after="120" w:line="240" w:lineRule="auto"/>
              <w:rPr>
                <w:rFonts w:cs="Arial"/>
                <w:sz w:val="16"/>
                <w:szCs w:val="16"/>
              </w:rPr>
            </w:pPr>
          </w:p>
        </w:tc>
        <w:tc>
          <w:tcPr>
            <w:tcW w:w="1596" w:type="dxa"/>
            <w:vMerge w:val="restart"/>
            <w:shd w:val="clear" w:color="auto" w:fill="auto"/>
          </w:tcPr>
          <w:p w14:paraId="18859540" w14:textId="5967864F" w:rsidR="00501862" w:rsidRPr="005A0C5D" w:rsidRDefault="00501862" w:rsidP="004F28D7">
            <w:pPr>
              <w:spacing w:before="120" w:after="120" w:line="240" w:lineRule="auto"/>
              <w:rPr>
                <w:rFonts w:cs="Arial"/>
                <w:b/>
                <w:sz w:val="16"/>
                <w:szCs w:val="16"/>
              </w:rPr>
            </w:pPr>
            <w:r>
              <w:rPr>
                <w:b/>
                <w:sz w:val="16"/>
              </w:rPr>
              <w:t xml:space="preserve">Risikopolitik </w:t>
            </w:r>
          </w:p>
        </w:tc>
        <w:tc>
          <w:tcPr>
            <w:tcW w:w="3969" w:type="dxa"/>
            <w:shd w:val="clear" w:color="auto" w:fill="auto"/>
          </w:tcPr>
          <w:p w14:paraId="57BB6BBA" w14:textId="77777777" w:rsidR="00501862" w:rsidRPr="00791040" w:rsidRDefault="00501862" w:rsidP="00A07C2C">
            <w:pPr>
              <w:pStyle w:val="Bullet"/>
              <w:numPr>
                <w:ilvl w:val="0"/>
                <w:numId w:val="0"/>
              </w:numPr>
              <w:spacing w:before="120" w:after="120"/>
              <w:rPr>
                <w:i/>
              </w:rPr>
            </w:pPr>
            <w:r w:rsidRPr="00791040">
              <w:rPr>
                <w:i/>
              </w:rPr>
              <w:t>Beurteilung, ob Verantwortlichkeiten, Genehmigungskompetenzen, Berichterstattung</w:t>
            </w:r>
            <w:r w:rsidR="00727808" w:rsidRPr="00791040">
              <w:rPr>
                <w:i/>
              </w:rPr>
              <w:t>s-</w:t>
            </w:r>
            <w:r w:rsidRPr="00791040">
              <w:rPr>
                <w:i/>
              </w:rPr>
              <w:t xml:space="preserve"> und Eskalationslinien zur Steuerung rechtlicher und regulatorischer Änderungen sowie Änderungen von Geschäftsaktivitäten, Produkten und Dienstleistungen in der Risikopolitik, in internen Regelungen, Vorgaben, Handbüchern und Stellenbeschreibungen nach Massgabe der Grösse, der Geschäfts</w:t>
            </w:r>
            <w:r w:rsidR="00727808" w:rsidRPr="00791040">
              <w:rPr>
                <w:i/>
              </w:rPr>
              <w:t>-</w:t>
            </w:r>
            <w:r w:rsidRPr="00791040">
              <w:rPr>
                <w:i/>
              </w:rPr>
              <w:t xml:space="preserve"> und Organisationskomplexität und des Compliance-Risikos des Instituts angemessen definiert sind, namentlich</w:t>
            </w:r>
          </w:p>
        </w:tc>
        <w:tc>
          <w:tcPr>
            <w:tcW w:w="3827" w:type="dxa"/>
            <w:shd w:val="clear" w:color="auto" w:fill="auto"/>
          </w:tcPr>
          <w:p w14:paraId="4C20903E" w14:textId="77777777" w:rsidR="00501862" w:rsidRPr="005A0C5D" w:rsidRDefault="00501862" w:rsidP="008362E0">
            <w:pPr>
              <w:pStyle w:val="Bullet"/>
              <w:numPr>
                <w:ilvl w:val="0"/>
                <w:numId w:val="0"/>
              </w:numPr>
              <w:spacing w:before="120" w:after="120"/>
              <w:ind w:left="720"/>
            </w:pPr>
          </w:p>
        </w:tc>
        <w:tc>
          <w:tcPr>
            <w:tcW w:w="3402" w:type="dxa"/>
            <w:shd w:val="clear" w:color="auto" w:fill="auto"/>
          </w:tcPr>
          <w:p w14:paraId="184A73EA" w14:textId="77777777" w:rsidR="00501862" w:rsidRPr="005A0C5D" w:rsidRDefault="00501862" w:rsidP="008362E0">
            <w:pPr>
              <w:spacing w:before="120" w:after="120" w:line="240" w:lineRule="auto"/>
              <w:rPr>
                <w:rFonts w:cs="Arial"/>
                <w:sz w:val="16"/>
                <w:szCs w:val="16"/>
              </w:rPr>
            </w:pPr>
          </w:p>
        </w:tc>
        <w:tc>
          <w:tcPr>
            <w:tcW w:w="992" w:type="dxa"/>
            <w:shd w:val="clear" w:color="auto" w:fill="auto"/>
          </w:tcPr>
          <w:p w14:paraId="7B4DA63B" w14:textId="77777777" w:rsidR="00501862" w:rsidRPr="00C04F0F" w:rsidRDefault="00501862" w:rsidP="008362E0">
            <w:pPr>
              <w:spacing w:before="120" w:after="120" w:line="240" w:lineRule="auto"/>
            </w:pPr>
          </w:p>
        </w:tc>
      </w:tr>
      <w:tr w:rsidR="00501862" w:rsidRPr="00AF6AA5" w14:paraId="126B75C3" w14:textId="77777777" w:rsidTr="00810864">
        <w:tc>
          <w:tcPr>
            <w:tcW w:w="531" w:type="dxa"/>
            <w:vMerge/>
            <w:shd w:val="clear" w:color="auto" w:fill="auto"/>
          </w:tcPr>
          <w:p w14:paraId="2B674847" w14:textId="77777777" w:rsidR="00501862" w:rsidRPr="005A0C5D" w:rsidRDefault="00501862" w:rsidP="008362E0">
            <w:pPr>
              <w:spacing w:before="120" w:after="120" w:line="240" w:lineRule="auto"/>
              <w:rPr>
                <w:rFonts w:cs="Arial"/>
                <w:sz w:val="16"/>
                <w:szCs w:val="16"/>
              </w:rPr>
            </w:pPr>
          </w:p>
        </w:tc>
        <w:tc>
          <w:tcPr>
            <w:tcW w:w="1596" w:type="dxa"/>
            <w:vMerge/>
            <w:shd w:val="clear" w:color="auto" w:fill="auto"/>
          </w:tcPr>
          <w:p w14:paraId="344C8D5B" w14:textId="77777777" w:rsidR="00501862" w:rsidRPr="005A0C5D" w:rsidRDefault="00501862" w:rsidP="008362E0">
            <w:pPr>
              <w:spacing w:before="120" w:after="120" w:line="240" w:lineRule="auto"/>
              <w:rPr>
                <w:rFonts w:cs="Arial"/>
                <w:b/>
                <w:sz w:val="16"/>
                <w:szCs w:val="16"/>
              </w:rPr>
            </w:pPr>
          </w:p>
        </w:tc>
        <w:tc>
          <w:tcPr>
            <w:tcW w:w="3969" w:type="dxa"/>
            <w:shd w:val="clear" w:color="auto" w:fill="auto"/>
          </w:tcPr>
          <w:p w14:paraId="77D7B36C" w14:textId="77777777" w:rsidR="00501862" w:rsidRDefault="00501862" w:rsidP="008362E0">
            <w:pPr>
              <w:pStyle w:val="Bullet"/>
              <w:numPr>
                <w:ilvl w:val="0"/>
                <w:numId w:val="0"/>
              </w:numPr>
              <w:spacing w:before="120" w:after="120"/>
            </w:pPr>
            <w:r>
              <w:t>Beurteilung, ob durch interne Regeln die Zuweisung der Verantwortung für nachfolgende Punkte angemessen sichergestellt ist:</w:t>
            </w:r>
          </w:p>
          <w:p w14:paraId="290B2E7F" w14:textId="77777777" w:rsidR="007316EE" w:rsidRPr="000A2EA6" w:rsidRDefault="00501862" w:rsidP="008362E0">
            <w:pPr>
              <w:pStyle w:val="Bullet"/>
              <w:numPr>
                <w:ilvl w:val="0"/>
                <w:numId w:val="12"/>
              </w:numPr>
              <w:spacing w:before="120" w:after="120"/>
              <w:ind w:left="170" w:hanging="170"/>
            </w:pPr>
            <w:r>
              <w:t xml:space="preserve">laufende Überwachung, Identifikation und interne Berichterstattung an die </w:t>
            </w:r>
            <w:r w:rsidR="00771B14">
              <w:t>Geschäftsleitung</w:t>
            </w:r>
            <w:r>
              <w:t xml:space="preserve"> über rechtliche und regulatorische Änderungen</w:t>
            </w:r>
            <w:r w:rsidR="00586141">
              <w:t xml:space="preserve"> </w:t>
            </w:r>
          </w:p>
          <w:p w14:paraId="2D038625" w14:textId="77777777" w:rsidR="00501862" w:rsidRPr="005139DC" w:rsidRDefault="00501862" w:rsidP="008362E0">
            <w:pPr>
              <w:pStyle w:val="Bullet"/>
              <w:numPr>
                <w:ilvl w:val="0"/>
                <w:numId w:val="12"/>
              </w:numPr>
              <w:spacing w:before="120" w:after="120"/>
              <w:ind w:left="170" w:hanging="170"/>
            </w:pPr>
            <w:r>
              <w:t>Entscheidung, ob eine Business Impact Analysis für eine bestimmte rechtliche oder regulatorische Änderung notwendig ist</w:t>
            </w:r>
          </w:p>
          <w:p w14:paraId="7B3E0245" w14:textId="77777777" w:rsidR="00501862" w:rsidRPr="00685E72" w:rsidRDefault="00501862" w:rsidP="008362E0">
            <w:pPr>
              <w:pStyle w:val="Bullet"/>
              <w:numPr>
                <w:ilvl w:val="0"/>
                <w:numId w:val="12"/>
              </w:numPr>
              <w:spacing w:before="120" w:after="120"/>
              <w:ind w:left="170" w:hanging="170"/>
            </w:pPr>
            <w:r>
              <w:t>Genehmigung der Business Impact Analysis und der nachfolgenden Aktions-/Projektpläne für rechtliche und regulatorische Änderungen</w:t>
            </w:r>
            <w:r w:rsidR="00D5658F">
              <w:t>.</w:t>
            </w:r>
          </w:p>
        </w:tc>
        <w:tc>
          <w:tcPr>
            <w:tcW w:w="3827" w:type="dxa"/>
            <w:shd w:val="clear" w:color="auto" w:fill="auto"/>
          </w:tcPr>
          <w:p w14:paraId="14EA0030" w14:textId="77777777" w:rsidR="00501862" w:rsidRPr="005A0C5D" w:rsidRDefault="00501862" w:rsidP="008362E0">
            <w:pPr>
              <w:spacing w:before="120" w:after="120" w:line="240" w:lineRule="auto"/>
              <w:ind w:left="33"/>
              <w:rPr>
                <w:rFonts w:cs="Arial"/>
                <w:sz w:val="16"/>
                <w:szCs w:val="16"/>
              </w:rPr>
            </w:pPr>
          </w:p>
        </w:tc>
        <w:tc>
          <w:tcPr>
            <w:tcW w:w="3402" w:type="dxa"/>
            <w:shd w:val="clear" w:color="auto" w:fill="auto"/>
          </w:tcPr>
          <w:p w14:paraId="7015F34C" w14:textId="77777777" w:rsidR="00501862" w:rsidRPr="005A0C5D" w:rsidRDefault="00501862" w:rsidP="008362E0">
            <w:pPr>
              <w:spacing w:before="120" w:after="120" w:line="240" w:lineRule="auto"/>
              <w:rPr>
                <w:rFonts w:cs="Arial"/>
                <w:sz w:val="16"/>
                <w:szCs w:val="16"/>
              </w:rPr>
            </w:pPr>
          </w:p>
        </w:tc>
        <w:tc>
          <w:tcPr>
            <w:tcW w:w="992" w:type="dxa"/>
            <w:shd w:val="clear" w:color="auto" w:fill="auto"/>
          </w:tcPr>
          <w:p w14:paraId="15239DDA" w14:textId="77777777" w:rsidR="00501862" w:rsidRPr="00C04F0F" w:rsidRDefault="00501862" w:rsidP="008362E0">
            <w:pPr>
              <w:spacing w:before="120" w:after="120" w:line="240" w:lineRule="auto"/>
            </w:pPr>
          </w:p>
        </w:tc>
      </w:tr>
      <w:tr w:rsidR="00501862" w:rsidRPr="00AF6AA5" w14:paraId="0340C010" w14:textId="77777777" w:rsidTr="00810864">
        <w:tc>
          <w:tcPr>
            <w:tcW w:w="531" w:type="dxa"/>
            <w:vMerge/>
            <w:shd w:val="clear" w:color="auto" w:fill="auto"/>
          </w:tcPr>
          <w:p w14:paraId="3F916AD8" w14:textId="77777777" w:rsidR="00501862" w:rsidRPr="005A0C5D" w:rsidRDefault="00501862" w:rsidP="008362E0">
            <w:pPr>
              <w:spacing w:before="120" w:after="120" w:line="240" w:lineRule="auto"/>
              <w:rPr>
                <w:rFonts w:cs="Arial"/>
                <w:sz w:val="16"/>
                <w:szCs w:val="16"/>
              </w:rPr>
            </w:pPr>
          </w:p>
        </w:tc>
        <w:tc>
          <w:tcPr>
            <w:tcW w:w="1596" w:type="dxa"/>
            <w:vMerge/>
            <w:shd w:val="clear" w:color="auto" w:fill="auto"/>
          </w:tcPr>
          <w:p w14:paraId="48BCB25D" w14:textId="77777777" w:rsidR="00501862" w:rsidRPr="005A0C5D" w:rsidRDefault="00501862" w:rsidP="008362E0">
            <w:pPr>
              <w:spacing w:before="120" w:after="120" w:line="240" w:lineRule="auto"/>
              <w:rPr>
                <w:rFonts w:cs="Arial"/>
                <w:b/>
                <w:sz w:val="16"/>
                <w:szCs w:val="16"/>
              </w:rPr>
            </w:pPr>
          </w:p>
        </w:tc>
        <w:tc>
          <w:tcPr>
            <w:tcW w:w="3969" w:type="dxa"/>
            <w:shd w:val="clear" w:color="auto" w:fill="auto"/>
          </w:tcPr>
          <w:p w14:paraId="0A138815" w14:textId="77777777" w:rsidR="00501862" w:rsidRDefault="00501862" w:rsidP="008362E0">
            <w:pPr>
              <w:spacing w:before="120" w:after="120" w:line="240" w:lineRule="auto"/>
              <w:rPr>
                <w:rFonts w:cs="Arial"/>
                <w:sz w:val="16"/>
                <w:szCs w:val="16"/>
              </w:rPr>
            </w:pPr>
            <w:r>
              <w:rPr>
                <w:sz w:val="16"/>
              </w:rPr>
              <w:t>Beurteilung, ob angemessene Genehmigungskompetenzen und -verfahren für die Einführung neuer Geschäftsaktivitäten, Produkte und Dienstleistungen sowie nachfolgender Änderungen definiert wurden</w:t>
            </w:r>
            <w:r w:rsidR="00771B14">
              <w:rPr>
                <w:sz w:val="16"/>
              </w:rPr>
              <w:t>.</w:t>
            </w:r>
          </w:p>
        </w:tc>
        <w:tc>
          <w:tcPr>
            <w:tcW w:w="3827" w:type="dxa"/>
            <w:shd w:val="clear" w:color="auto" w:fill="auto"/>
          </w:tcPr>
          <w:p w14:paraId="2A584F7E" w14:textId="77777777" w:rsidR="00501862" w:rsidRPr="005A0C5D" w:rsidRDefault="00501862" w:rsidP="008362E0">
            <w:pPr>
              <w:spacing w:before="120" w:after="120" w:line="240" w:lineRule="auto"/>
              <w:ind w:left="33"/>
              <w:rPr>
                <w:rFonts w:cs="Arial"/>
                <w:sz w:val="16"/>
                <w:szCs w:val="16"/>
              </w:rPr>
            </w:pPr>
          </w:p>
        </w:tc>
        <w:tc>
          <w:tcPr>
            <w:tcW w:w="3402" w:type="dxa"/>
            <w:shd w:val="clear" w:color="auto" w:fill="auto"/>
          </w:tcPr>
          <w:p w14:paraId="18EE61A7" w14:textId="77777777" w:rsidR="00501862" w:rsidRPr="005A0C5D" w:rsidRDefault="00501862" w:rsidP="008362E0">
            <w:pPr>
              <w:spacing w:before="120" w:after="120" w:line="240" w:lineRule="auto"/>
              <w:rPr>
                <w:rFonts w:cs="Arial"/>
                <w:sz w:val="16"/>
                <w:szCs w:val="16"/>
              </w:rPr>
            </w:pPr>
          </w:p>
        </w:tc>
        <w:tc>
          <w:tcPr>
            <w:tcW w:w="992" w:type="dxa"/>
            <w:shd w:val="clear" w:color="auto" w:fill="auto"/>
          </w:tcPr>
          <w:p w14:paraId="0C250515" w14:textId="77777777" w:rsidR="00501862" w:rsidRPr="00C04F0F" w:rsidRDefault="00501862" w:rsidP="008362E0">
            <w:pPr>
              <w:spacing w:before="120" w:after="120" w:line="240" w:lineRule="auto"/>
            </w:pPr>
          </w:p>
        </w:tc>
      </w:tr>
      <w:tr w:rsidR="00501862" w:rsidRPr="00AF6AA5" w14:paraId="4F0FA772" w14:textId="77777777" w:rsidTr="00810864">
        <w:tc>
          <w:tcPr>
            <w:tcW w:w="531" w:type="dxa"/>
            <w:vMerge w:val="restart"/>
            <w:shd w:val="clear" w:color="auto" w:fill="auto"/>
          </w:tcPr>
          <w:p w14:paraId="6614D996" w14:textId="77777777" w:rsidR="00501862" w:rsidRPr="00200356" w:rsidRDefault="00501862" w:rsidP="008362E0">
            <w:pPr>
              <w:spacing w:before="120" w:after="120" w:line="240" w:lineRule="auto"/>
              <w:rPr>
                <w:rFonts w:cs="Arial"/>
                <w:sz w:val="16"/>
                <w:szCs w:val="16"/>
              </w:rPr>
            </w:pPr>
          </w:p>
        </w:tc>
        <w:tc>
          <w:tcPr>
            <w:tcW w:w="1596" w:type="dxa"/>
            <w:vMerge w:val="restart"/>
            <w:shd w:val="clear" w:color="auto" w:fill="auto"/>
          </w:tcPr>
          <w:p w14:paraId="48EC3D0A" w14:textId="73987B02" w:rsidR="00501862" w:rsidRPr="005139DC" w:rsidRDefault="00501862" w:rsidP="008249F2">
            <w:pPr>
              <w:spacing w:before="120" w:after="120" w:line="240" w:lineRule="auto"/>
              <w:rPr>
                <w:rFonts w:cs="Arial"/>
                <w:b/>
                <w:sz w:val="16"/>
                <w:szCs w:val="16"/>
              </w:rPr>
            </w:pPr>
            <w:r>
              <w:rPr>
                <w:b/>
                <w:sz w:val="16"/>
              </w:rPr>
              <w:t xml:space="preserve">Einhaltung der bestehenden Risikopolitik </w:t>
            </w:r>
          </w:p>
        </w:tc>
        <w:tc>
          <w:tcPr>
            <w:tcW w:w="3969" w:type="dxa"/>
            <w:shd w:val="clear" w:color="auto" w:fill="auto"/>
          </w:tcPr>
          <w:p w14:paraId="29EE888B" w14:textId="01BDD7D5" w:rsidR="00501862" w:rsidRPr="001D46BF" w:rsidRDefault="00501862" w:rsidP="00A030F9">
            <w:pPr>
              <w:pStyle w:val="Bullet"/>
              <w:numPr>
                <w:ilvl w:val="0"/>
                <w:numId w:val="0"/>
              </w:numPr>
              <w:spacing w:before="120" w:after="120"/>
            </w:pPr>
            <w:r>
              <w:rPr>
                <w:i/>
              </w:rPr>
              <w:t>Beurteilung, ob ein angemessener Prozess vorhanden ist, um sicherzustellen, dass die Risikopolitik im Zusammenhang mit der Steuerung rechtlicher und regulatorischer Änderungen und mit neuen Geschäftsaktivitäten, Produkten und Dienstleistungen effektiv angewendet und eingehalten wurden, namentlich</w:t>
            </w:r>
          </w:p>
        </w:tc>
        <w:tc>
          <w:tcPr>
            <w:tcW w:w="3827" w:type="dxa"/>
            <w:shd w:val="clear" w:color="auto" w:fill="auto"/>
          </w:tcPr>
          <w:p w14:paraId="3EF90327" w14:textId="77777777" w:rsidR="00501862" w:rsidRPr="001D46BF" w:rsidRDefault="00501862" w:rsidP="00747CB6">
            <w:pPr>
              <w:pStyle w:val="Bullet"/>
              <w:numPr>
                <w:ilvl w:val="0"/>
                <w:numId w:val="0"/>
              </w:numPr>
              <w:spacing w:before="120" w:after="120"/>
            </w:pPr>
            <w:r w:rsidRPr="00791040">
              <w:t xml:space="preserve">Auswahl einer Stichprobe von mindestens einer grösseren rechtlichen/regulatorischen Änderung oder mindestens einer bedeutenden neuen/angepassten Geschäftstätigkeit, eines neuen/angepassten Produkts oder einer neuen/angepassten Dienstleistung </w:t>
            </w:r>
            <w:r w:rsidR="00351A36" w:rsidRPr="00791040">
              <w:t xml:space="preserve">sowie </w:t>
            </w:r>
            <w:r w:rsidRPr="00791040">
              <w:t xml:space="preserve">Durchführung </w:t>
            </w:r>
            <w:r w:rsidR="00747CB6" w:rsidRPr="00791040">
              <w:t xml:space="preserve">von aussagebezogenen Prüfungshandlungen </w:t>
            </w:r>
            <w:r w:rsidR="00351A36" w:rsidRPr="00791040">
              <w:t>zur Bestätigung</w:t>
            </w:r>
            <w:r w:rsidRPr="00791040">
              <w:t>, dass interne Regeln und Limiten eingehalten wurden</w:t>
            </w:r>
            <w:r w:rsidR="00604F75" w:rsidRPr="00791040">
              <w:t>.</w:t>
            </w:r>
          </w:p>
        </w:tc>
        <w:tc>
          <w:tcPr>
            <w:tcW w:w="3402" w:type="dxa"/>
            <w:shd w:val="clear" w:color="auto" w:fill="auto"/>
          </w:tcPr>
          <w:p w14:paraId="71FAD405" w14:textId="77777777" w:rsidR="00501862" w:rsidRPr="001D46BF" w:rsidRDefault="00501862" w:rsidP="008362E0">
            <w:pPr>
              <w:spacing w:before="120" w:after="120" w:line="240" w:lineRule="auto"/>
              <w:rPr>
                <w:rFonts w:cs="Arial"/>
                <w:sz w:val="16"/>
                <w:szCs w:val="16"/>
              </w:rPr>
            </w:pPr>
          </w:p>
        </w:tc>
        <w:tc>
          <w:tcPr>
            <w:tcW w:w="992" w:type="dxa"/>
            <w:shd w:val="clear" w:color="auto" w:fill="auto"/>
          </w:tcPr>
          <w:p w14:paraId="3EA4B063" w14:textId="77777777" w:rsidR="00501862" w:rsidRPr="00C04F0F" w:rsidRDefault="00501862" w:rsidP="008362E0">
            <w:pPr>
              <w:spacing w:before="120" w:after="120" w:line="240" w:lineRule="auto"/>
            </w:pPr>
          </w:p>
        </w:tc>
      </w:tr>
      <w:tr w:rsidR="00501862" w:rsidRPr="00AF6AA5" w14:paraId="75C7C175" w14:textId="77777777" w:rsidTr="00810864">
        <w:tc>
          <w:tcPr>
            <w:tcW w:w="531" w:type="dxa"/>
            <w:vMerge/>
            <w:shd w:val="clear" w:color="auto" w:fill="auto"/>
          </w:tcPr>
          <w:p w14:paraId="2697A652" w14:textId="77777777" w:rsidR="00501862" w:rsidRPr="001D46BF" w:rsidRDefault="00501862" w:rsidP="008362E0">
            <w:pPr>
              <w:spacing w:before="120" w:after="120" w:line="240" w:lineRule="auto"/>
              <w:rPr>
                <w:rFonts w:cs="Arial"/>
                <w:sz w:val="16"/>
                <w:szCs w:val="16"/>
              </w:rPr>
            </w:pPr>
          </w:p>
        </w:tc>
        <w:tc>
          <w:tcPr>
            <w:tcW w:w="1596" w:type="dxa"/>
            <w:vMerge/>
            <w:shd w:val="clear" w:color="auto" w:fill="auto"/>
          </w:tcPr>
          <w:p w14:paraId="22D44C77" w14:textId="77777777" w:rsidR="00501862" w:rsidRPr="001D46BF" w:rsidRDefault="00501862" w:rsidP="008362E0">
            <w:pPr>
              <w:spacing w:before="120" w:after="120" w:line="240" w:lineRule="auto"/>
              <w:rPr>
                <w:rFonts w:cs="Arial"/>
                <w:b/>
                <w:sz w:val="16"/>
                <w:szCs w:val="16"/>
              </w:rPr>
            </w:pPr>
          </w:p>
        </w:tc>
        <w:tc>
          <w:tcPr>
            <w:tcW w:w="3969" w:type="dxa"/>
            <w:shd w:val="clear" w:color="auto" w:fill="auto"/>
          </w:tcPr>
          <w:p w14:paraId="45863F4E" w14:textId="77777777" w:rsidR="00501862" w:rsidRPr="00440BBC" w:rsidRDefault="00501862" w:rsidP="00747CB6">
            <w:pPr>
              <w:pStyle w:val="Bullet"/>
              <w:numPr>
                <w:ilvl w:val="0"/>
                <w:numId w:val="0"/>
              </w:numPr>
              <w:spacing w:before="120" w:after="120"/>
            </w:pPr>
            <w:r>
              <w:t xml:space="preserve">Identifikation und Dokumentation interner Kontrollen </w:t>
            </w:r>
            <w:r w:rsidR="002120F6">
              <w:t xml:space="preserve">im </w:t>
            </w:r>
            <w:r>
              <w:t xml:space="preserve">Zusammenhang mit der Steuerung rechtlicher und regulatorischer Änderungen und neuen/angepassten Geschäftsaktivitäten, Produkten </w:t>
            </w:r>
            <w:r w:rsidRPr="00DF3B47">
              <w:t xml:space="preserve">und Dienstleistungen </w:t>
            </w:r>
            <w:r w:rsidR="00747CB6" w:rsidRPr="00DF3B47">
              <w:t>und</w:t>
            </w:r>
            <w:r w:rsidR="002120F6" w:rsidRPr="00DF3B47">
              <w:t xml:space="preserve"> </w:t>
            </w:r>
            <w:r w:rsidRPr="00DF3B47">
              <w:t xml:space="preserve">Beurteilung </w:t>
            </w:r>
            <w:r w:rsidR="00747CB6" w:rsidRPr="00DF3B47">
              <w:t xml:space="preserve">deren Konzeption und </w:t>
            </w:r>
            <w:r w:rsidRPr="00DF3B47">
              <w:t>Umfang.</w:t>
            </w:r>
            <w:r>
              <w:t xml:space="preserve"> </w:t>
            </w:r>
          </w:p>
        </w:tc>
        <w:tc>
          <w:tcPr>
            <w:tcW w:w="3827" w:type="dxa"/>
            <w:shd w:val="clear" w:color="auto" w:fill="auto"/>
          </w:tcPr>
          <w:p w14:paraId="4A377784" w14:textId="6B0DB116" w:rsidR="00501862" w:rsidRPr="00BF1F55" w:rsidRDefault="00501862" w:rsidP="00DF3B47">
            <w:pPr>
              <w:pStyle w:val="Bullet"/>
              <w:numPr>
                <w:ilvl w:val="0"/>
                <w:numId w:val="0"/>
              </w:numPr>
              <w:spacing w:before="120" w:after="120"/>
            </w:pPr>
            <w:r w:rsidRPr="00F61ADA">
              <w:t xml:space="preserve">Durchführung von </w:t>
            </w:r>
            <w:r w:rsidR="00DF3B47" w:rsidRPr="00F61ADA">
              <w:t>Funktionsprüfungen</w:t>
            </w:r>
            <w:r w:rsidR="003E2424" w:rsidRPr="00F61ADA">
              <w:t xml:space="preserve"> </w:t>
            </w:r>
            <w:r w:rsidRPr="00F61ADA">
              <w:t>zur</w:t>
            </w:r>
            <w:r>
              <w:t xml:space="preserve"> Prüfung der operativen Wirksamkeit der internen Kontrollen, die zur Steuerung rechtlicher und regulatorischer Änderungen und bei neuen/angepassten Geschäftsaktivitäten, Produkten und Dienstleistungen durchgeführt </w:t>
            </w:r>
            <w:r w:rsidR="00747CB6" w:rsidRPr="00DF3B47">
              <w:t>wurden</w:t>
            </w:r>
            <w:r w:rsidR="00747CB6">
              <w:t>.</w:t>
            </w:r>
          </w:p>
        </w:tc>
        <w:tc>
          <w:tcPr>
            <w:tcW w:w="3402" w:type="dxa"/>
            <w:shd w:val="clear" w:color="auto" w:fill="auto"/>
          </w:tcPr>
          <w:p w14:paraId="4CF0D72C" w14:textId="77777777" w:rsidR="00501862" w:rsidRPr="001D46BF" w:rsidRDefault="00501862" w:rsidP="008362E0">
            <w:pPr>
              <w:spacing w:before="120" w:after="120" w:line="240" w:lineRule="auto"/>
              <w:rPr>
                <w:rFonts w:cs="Arial"/>
                <w:sz w:val="16"/>
                <w:szCs w:val="16"/>
              </w:rPr>
            </w:pPr>
          </w:p>
        </w:tc>
        <w:tc>
          <w:tcPr>
            <w:tcW w:w="992" w:type="dxa"/>
            <w:shd w:val="clear" w:color="auto" w:fill="auto"/>
          </w:tcPr>
          <w:p w14:paraId="4E7B931E" w14:textId="77777777" w:rsidR="00501862" w:rsidRPr="00C04F0F" w:rsidRDefault="00501862" w:rsidP="008362E0">
            <w:pPr>
              <w:spacing w:before="120" w:after="120" w:line="240" w:lineRule="auto"/>
            </w:pPr>
          </w:p>
        </w:tc>
      </w:tr>
      <w:tr w:rsidR="0022346A" w:rsidRPr="00AF6AA5" w14:paraId="51CD071F" w14:textId="77777777" w:rsidTr="00810864">
        <w:tc>
          <w:tcPr>
            <w:tcW w:w="531" w:type="dxa"/>
            <w:shd w:val="clear" w:color="auto" w:fill="auto"/>
          </w:tcPr>
          <w:p w14:paraId="0B55A45C" w14:textId="77777777" w:rsidR="0022346A" w:rsidRPr="001D46BF" w:rsidRDefault="0022346A" w:rsidP="008362E0">
            <w:pPr>
              <w:spacing w:before="120" w:after="120" w:line="240" w:lineRule="auto"/>
              <w:rPr>
                <w:rFonts w:cs="Arial"/>
                <w:sz w:val="16"/>
                <w:szCs w:val="16"/>
              </w:rPr>
            </w:pPr>
          </w:p>
        </w:tc>
        <w:tc>
          <w:tcPr>
            <w:tcW w:w="1596" w:type="dxa"/>
            <w:shd w:val="clear" w:color="auto" w:fill="auto"/>
          </w:tcPr>
          <w:p w14:paraId="6F8F24D3" w14:textId="77777777" w:rsidR="0022346A" w:rsidRPr="003009BB" w:rsidRDefault="00E240DA" w:rsidP="008362E0">
            <w:pPr>
              <w:spacing w:before="120" w:after="120" w:line="240" w:lineRule="auto"/>
              <w:rPr>
                <w:rFonts w:cs="Arial"/>
                <w:b/>
                <w:sz w:val="16"/>
                <w:szCs w:val="16"/>
              </w:rPr>
            </w:pPr>
            <w:r w:rsidRPr="003009BB">
              <w:rPr>
                <w:rFonts w:cs="Arial"/>
                <w:b/>
                <w:sz w:val="16"/>
                <w:szCs w:val="16"/>
              </w:rPr>
              <w:t xml:space="preserve">Durchsetzbarkeit des Aufschubes bei Verträgen </w:t>
            </w:r>
            <w:r w:rsidRPr="003009BB">
              <w:rPr>
                <w:rFonts w:cs="Arial"/>
                <w:b/>
                <w:sz w:val="16"/>
                <w:szCs w:val="16"/>
              </w:rPr>
              <w:lastRenderedPageBreak/>
              <w:t>nach ausländischem Recht /</w:t>
            </w:r>
            <w:r w:rsidR="000C34D0" w:rsidRPr="003009BB">
              <w:rPr>
                <w:rFonts w:cs="Arial"/>
                <w:b/>
                <w:sz w:val="16"/>
                <w:szCs w:val="16"/>
              </w:rPr>
              <w:t xml:space="preserve"> mit ausländischem</w:t>
            </w:r>
            <w:r w:rsidRPr="003009BB">
              <w:rPr>
                <w:rFonts w:cs="Arial"/>
                <w:b/>
                <w:sz w:val="16"/>
                <w:szCs w:val="16"/>
              </w:rPr>
              <w:t xml:space="preserve"> Gerichtsstand</w:t>
            </w:r>
          </w:p>
        </w:tc>
        <w:tc>
          <w:tcPr>
            <w:tcW w:w="3969" w:type="dxa"/>
            <w:shd w:val="clear" w:color="auto" w:fill="auto"/>
          </w:tcPr>
          <w:p w14:paraId="6184B6D3" w14:textId="1108DA9F" w:rsidR="0022346A" w:rsidRPr="003009BB" w:rsidRDefault="0022346A" w:rsidP="00580691">
            <w:pPr>
              <w:pStyle w:val="Bullet"/>
              <w:numPr>
                <w:ilvl w:val="0"/>
                <w:numId w:val="0"/>
              </w:numPr>
              <w:spacing w:before="120" w:after="120"/>
              <w:rPr>
                <w:i/>
              </w:rPr>
            </w:pPr>
            <w:r w:rsidRPr="003009BB">
              <w:rPr>
                <w:i/>
              </w:rPr>
              <w:lastRenderedPageBreak/>
              <w:t xml:space="preserve">Beurteilung, ob ein angemessener Prozess vorhanden ist, um die Einhaltung vom Art. </w:t>
            </w:r>
            <w:r w:rsidR="00EA0923" w:rsidRPr="003009BB">
              <w:rPr>
                <w:i/>
              </w:rPr>
              <w:t>12</w:t>
            </w:r>
            <w:r w:rsidRPr="003009BB">
              <w:rPr>
                <w:i/>
              </w:rPr>
              <w:t xml:space="preserve"> Abs. 2</w:t>
            </w:r>
            <w:r w:rsidRPr="003009BB">
              <w:rPr>
                <w:i/>
                <w:vertAlign w:val="superscript"/>
              </w:rPr>
              <w:t>bis</w:t>
            </w:r>
            <w:r w:rsidRPr="003009BB">
              <w:rPr>
                <w:i/>
              </w:rPr>
              <w:t xml:space="preserve"> </w:t>
            </w:r>
            <w:r w:rsidRPr="003009BB">
              <w:rPr>
                <w:i/>
              </w:rPr>
              <w:lastRenderedPageBreak/>
              <w:t>BankV</w:t>
            </w:r>
            <w:r w:rsidR="00BF1681">
              <w:rPr>
                <w:i/>
              </w:rPr>
              <w:t xml:space="preserve"> </w:t>
            </w:r>
            <w:r w:rsidR="00925785" w:rsidRPr="003009BB">
              <w:rPr>
                <w:i/>
              </w:rPr>
              <w:t>i.V.m. Art. 56</w:t>
            </w:r>
            <w:r w:rsidR="00E7089C" w:rsidRPr="003009BB">
              <w:rPr>
                <w:i/>
              </w:rPr>
              <w:t>, 61a</w:t>
            </w:r>
            <w:r w:rsidR="00925785" w:rsidRPr="003009BB">
              <w:rPr>
                <w:i/>
              </w:rPr>
              <w:t xml:space="preserve"> BIV-FINMA</w:t>
            </w:r>
            <w:r w:rsidRPr="003009BB">
              <w:rPr>
                <w:i/>
              </w:rPr>
              <w:t xml:space="preserve"> sicherzustellen.</w:t>
            </w:r>
          </w:p>
        </w:tc>
        <w:tc>
          <w:tcPr>
            <w:tcW w:w="3827" w:type="dxa"/>
            <w:shd w:val="clear" w:color="auto" w:fill="auto"/>
          </w:tcPr>
          <w:p w14:paraId="3B66A660" w14:textId="77777777" w:rsidR="0022346A" w:rsidRPr="003009BB" w:rsidRDefault="0022346A" w:rsidP="00DF3B47">
            <w:pPr>
              <w:pStyle w:val="Bullet"/>
              <w:numPr>
                <w:ilvl w:val="0"/>
                <w:numId w:val="0"/>
              </w:numPr>
              <w:spacing w:before="120" w:after="120"/>
            </w:pPr>
          </w:p>
        </w:tc>
        <w:tc>
          <w:tcPr>
            <w:tcW w:w="3402" w:type="dxa"/>
            <w:shd w:val="clear" w:color="auto" w:fill="auto"/>
          </w:tcPr>
          <w:p w14:paraId="6C099607" w14:textId="77777777" w:rsidR="0022346A" w:rsidRPr="001D46BF" w:rsidRDefault="0022346A" w:rsidP="008362E0">
            <w:pPr>
              <w:spacing w:before="120" w:after="120" w:line="240" w:lineRule="auto"/>
              <w:rPr>
                <w:rFonts w:cs="Arial"/>
                <w:sz w:val="16"/>
                <w:szCs w:val="16"/>
              </w:rPr>
            </w:pPr>
          </w:p>
        </w:tc>
        <w:tc>
          <w:tcPr>
            <w:tcW w:w="992" w:type="dxa"/>
            <w:shd w:val="clear" w:color="auto" w:fill="auto"/>
          </w:tcPr>
          <w:p w14:paraId="46CD6CA0" w14:textId="77777777" w:rsidR="0022346A" w:rsidRPr="00C04F0F" w:rsidRDefault="0022346A" w:rsidP="008362E0">
            <w:pPr>
              <w:spacing w:before="120" w:after="120" w:line="240" w:lineRule="auto"/>
            </w:pPr>
          </w:p>
        </w:tc>
      </w:tr>
      <w:tr w:rsidR="0022346A" w:rsidRPr="00F831B9" w14:paraId="09E3456D" w14:textId="77777777" w:rsidTr="00810864">
        <w:tc>
          <w:tcPr>
            <w:tcW w:w="531" w:type="dxa"/>
            <w:shd w:val="clear" w:color="auto" w:fill="auto"/>
          </w:tcPr>
          <w:p w14:paraId="419717AA" w14:textId="77777777" w:rsidR="0022346A" w:rsidRPr="001D46BF" w:rsidRDefault="0022346A" w:rsidP="008362E0">
            <w:pPr>
              <w:spacing w:before="120" w:after="120" w:line="240" w:lineRule="auto"/>
              <w:rPr>
                <w:rFonts w:cs="Arial"/>
                <w:sz w:val="16"/>
                <w:szCs w:val="16"/>
              </w:rPr>
            </w:pPr>
          </w:p>
        </w:tc>
        <w:tc>
          <w:tcPr>
            <w:tcW w:w="1596" w:type="dxa"/>
            <w:shd w:val="clear" w:color="auto" w:fill="auto"/>
          </w:tcPr>
          <w:p w14:paraId="5C73A1B5" w14:textId="77777777" w:rsidR="0022346A" w:rsidRPr="003009BB" w:rsidRDefault="0022346A" w:rsidP="008362E0">
            <w:pPr>
              <w:spacing w:before="120" w:after="120" w:line="240" w:lineRule="auto"/>
              <w:rPr>
                <w:rFonts w:cs="Arial"/>
                <w:b/>
                <w:sz w:val="16"/>
                <w:szCs w:val="16"/>
              </w:rPr>
            </w:pPr>
          </w:p>
        </w:tc>
        <w:tc>
          <w:tcPr>
            <w:tcW w:w="3969" w:type="dxa"/>
            <w:shd w:val="clear" w:color="auto" w:fill="auto"/>
          </w:tcPr>
          <w:p w14:paraId="5B0F8B7F" w14:textId="77777777" w:rsidR="0022346A" w:rsidRPr="003009BB" w:rsidRDefault="0022346A" w:rsidP="00747CB6">
            <w:pPr>
              <w:pStyle w:val="Bullet"/>
              <w:numPr>
                <w:ilvl w:val="0"/>
                <w:numId w:val="0"/>
              </w:numPr>
              <w:spacing w:before="120" w:after="120"/>
            </w:pPr>
            <w:r w:rsidRPr="003009BB">
              <w:t xml:space="preserve">Beurteilung der Existenz und Angemessenheit der internen Instruktionen oder Weisungen, die sicherstellen, dass </w:t>
            </w:r>
            <w:r w:rsidR="00A7532F" w:rsidRPr="003009BB">
              <w:t xml:space="preserve">neue </w:t>
            </w:r>
            <w:r w:rsidRPr="003009BB">
              <w:t>Verträge</w:t>
            </w:r>
            <w:r w:rsidR="00A7532F" w:rsidRPr="003009BB">
              <w:t xml:space="preserve"> oder Änderungen an Verträgen</w:t>
            </w:r>
            <w:r w:rsidR="002F73B7" w:rsidRPr="003009BB">
              <w:t>, die ausländischem Recht unterstehen oder einen ausländischen Gerich</w:t>
            </w:r>
            <w:r w:rsidR="00525E6E" w:rsidRPr="003009BB">
              <w:t>t</w:t>
            </w:r>
            <w:r w:rsidR="002F73B7" w:rsidRPr="003009BB">
              <w:t>sstand vorsehen</w:t>
            </w:r>
            <w:r w:rsidR="00525E6E" w:rsidRPr="003009BB">
              <w:t xml:space="preserve"> und </w:t>
            </w:r>
            <w:r w:rsidR="00925785" w:rsidRPr="003009BB">
              <w:t>gemäss</w:t>
            </w:r>
            <w:r w:rsidR="00A7532F" w:rsidRPr="003009BB">
              <w:t xml:space="preserve"> </w:t>
            </w:r>
            <w:r w:rsidR="00525E6E" w:rsidRPr="003009BB">
              <w:t xml:space="preserve">Art. 56 BIV-FINMA </w:t>
            </w:r>
            <w:r w:rsidR="00925785" w:rsidRPr="003009BB">
              <w:t>der Pflicht nach Art. 12 Abs. 2</w:t>
            </w:r>
            <w:r w:rsidR="00925785" w:rsidRPr="003009BB">
              <w:rPr>
                <w:vertAlign w:val="superscript"/>
              </w:rPr>
              <w:t>bis</w:t>
            </w:r>
            <w:r w:rsidR="00925785" w:rsidRPr="003009BB">
              <w:t xml:space="preserve"> BankV </w:t>
            </w:r>
            <w:r w:rsidR="00525E6E" w:rsidRPr="003009BB">
              <w:t>unterstehen</w:t>
            </w:r>
            <w:r w:rsidR="002F73B7" w:rsidRPr="003009BB">
              <w:t xml:space="preserve">, </w:t>
            </w:r>
            <w:r w:rsidR="00525E6E" w:rsidRPr="003009BB">
              <w:t>nur vereinbart werden, sofern die Gegenpart</w:t>
            </w:r>
            <w:r w:rsidR="0018253F" w:rsidRPr="003009BB">
              <w:t>e</w:t>
            </w:r>
            <w:r w:rsidR="002D5C66" w:rsidRPr="003009BB">
              <w:t xml:space="preserve">i </w:t>
            </w:r>
            <w:r w:rsidR="00525E6E" w:rsidRPr="003009BB">
              <w:t>einen Aufschub der Beendigung von Verträgen nach Art</w:t>
            </w:r>
            <w:r w:rsidR="0018253F" w:rsidRPr="003009BB">
              <w:t>.</w:t>
            </w:r>
            <w:r w:rsidR="00525E6E" w:rsidRPr="003009BB">
              <w:t xml:space="preserve"> 30a BankG anerkennt</w:t>
            </w:r>
            <w:r w:rsidR="0018253F" w:rsidRPr="003009BB">
              <w:t>.</w:t>
            </w:r>
            <w:r w:rsidRPr="003009BB">
              <w:t xml:space="preserve"> </w:t>
            </w:r>
          </w:p>
          <w:p w14:paraId="7E6772CE" w14:textId="77777777" w:rsidR="0022346A" w:rsidRPr="003009BB" w:rsidRDefault="0022346A" w:rsidP="00C61473">
            <w:pPr>
              <w:pStyle w:val="Bullet"/>
              <w:numPr>
                <w:ilvl w:val="0"/>
                <w:numId w:val="0"/>
              </w:numPr>
              <w:spacing w:before="120" w:after="120"/>
            </w:pPr>
          </w:p>
        </w:tc>
        <w:tc>
          <w:tcPr>
            <w:tcW w:w="3827" w:type="dxa"/>
            <w:shd w:val="clear" w:color="auto" w:fill="auto"/>
          </w:tcPr>
          <w:p w14:paraId="61AC49B6" w14:textId="77777777" w:rsidR="0022346A" w:rsidRPr="003009BB" w:rsidRDefault="002F1A9A" w:rsidP="00DF3B47">
            <w:pPr>
              <w:pStyle w:val="Bullet"/>
              <w:numPr>
                <w:ilvl w:val="0"/>
                <w:numId w:val="0"/>
              </w:numPr>
              <w:spacing w:before="120" w:after="120"/>
            </w:pPr>
            <w:r w:rsidRPr="003009BB">
              <w:t>Auswahl einer Stichprobe von Verträgen</w:t>
            </w:r>
            <w:r w:rsidR="00925785" w:rsidRPr="003009BB">
              <w:t>, die gemäss Art. 56 BIV-FINMA der Pflicht nach Art. 12 Abs. 2</w:t>
            </w:r>
            <w:r w:rsidR="00925785" w:rsidRPr="003009BB">
              <w:rPr>
                <w:vertAlign w:val="superscript"/>
              </w:rPr>
              <w:t>bis</w:t>
            </w:r>
            <w:r w:rsidR="00925785" w:rsidRPr="003009BB">
              <w:t xml:space="preserve"> BankV </w:t>
            </w:r>
            <w:r w:rsidR="00E7089C" w:rsidRPr="003009BB">
              <w:t xml:space="preserve">sowie </w:t>
            </w:r>
            <w:r w:rsidR="00525E6E" w:rsidRPr="003009BB">
              <w:t>ausländischem Recht unterstehen oder einen ausländischen Gerichtsstand vorsehen, und Prüfung</w:t>
            </w:r>
            <w:r w:rsidRPr="003009BB">
              <w:t xml:space="preserve">, ob </w:t>
            </w:r>
            <w:r w:rsidR="00A7532F" w:rsidRPr="003009BB">
              <w:t xml:space="preserve">die Anerkennung </w:t>
            </w:r>
            <w:r w:rsidRPr="003009BB">
              <w:t>de</w:t>
            </w:r>
            <w:r w:rsidR="00A7532F" w:rsidRPr="003009BB">
              <w:t>s</w:t>
            </w:r>
            <w:r w:rsidRPr="003009BB">
              <w:t xml:space="preserve"> Aufschub</w:t>
            </w:r>
            <w:r w:rsidR="00A7532F" w:rsidRPr="003009BB">
              <w:t>s</w:t>
            </w:r>
            <w:r w:rsidRPr="003009BB">
              <w:t xml:space="preserve"> gemäss Art. 30a BankG tatsächlich </w:t>
            </w:r>
            <w:r w:rsidR="00852DEC" w:rsidRPr="003009BB">
              <w:t>vereinbart wurde</w:t>
            </w:r>
            <w:r w:rsidRPr="003009BB">
              <w:t xml:space="preserve">. </w:t>
            </w:r>
          </w:p>
          <w:p w14:paraId="2994B524" w14:textId="77777777" w:rsidR="002F1A9A" w:rsidRPr="003009BB" w:rsidRDefault="002F1A9A" w:rsidP="00DF3B47">
            <w:pPr>
              <w:pStyle w:val="Bullet"/>
              <w:numPr>
                <w:ilvl w:val="0"/>
                <w:numId w:val="0"/>
              </w:numPr>
              <w:spacing w:before="120" w:after="120"/>
            </w:pPr>
          </w:p>
          <w:p w14:paraId="48F600BE" w14:textId="77777777" w:rsidR="0022346A" w:rsidRPr="003009BB" w:rsidRDefault="0022346A" w:rsidP="00C61473">
            <w:pPr>
              <w:pStyle w:val="Bullet"/>
              <w:numPr>
                <w:ilvl w:val="0"/>
                <w:numId w:val="0"/>
              </w:numPr>
              <w:spacing w:before="120" w:after="120"/>
            </w:pPr>
          </w:p>
        </w:tc>
        <w:tc>
          <w:tcPr>
            <w:tcW w:w="3402" w:type="dxa"/>
            <w:shd w:val="clear" w:color="auto" w:fill="auto"/>
          </w:tcPr>
          <w:p w14:paraId="20874A9F" w14:textId="77777777" w:rsidR="0022346A" w:rsidRPr="00B661BE" w:rsidRDefault="0022346A" w:rsidP="008362E0">
            <w:pPr>
              <w:spacing w:before="120" w:after="120" w:line="240" w:lineRule="auto"/>
              <w:rPr>
                <w:rFonts w:cs="Arial"/>
                <w:sz w:val="16"/>
                <w:szCs w:val="16"/>
              </w:rPr>
            </w:pPr>
          </w:p>
        </w:tc>
        <w:tc>
          <w:tcPr>
            <w:tcW w:w="992" w:type="dxa"/>
            <w:shd w:val="clear" w:color="auto" w:fill="auto"/>
          </w:tcPr>
          <w:p w14:paraId="01468830" w14:textId="77777777" w:rsidR="0022346A" w:rsidRPr="00B661BE" w:rsidRDefault="0022346A" w:rsidP="008362E0">
            <w:pPr>
              <w:spacing w:before="120" w:after="120" w:line="240" w:lineRule="auto"/>
            </w:pPr>
          </w:p>
        </w:tc>
      </w:tr>
    </w:tbl>
    <w:p w14:paraId="6EEB0B9C" w14:textId="77777777" w:rsidR="00501862" w:rsidRPr="00B661BE" w:rsidRDefault="00501862" w:rsidP="008362E0">
      <w:pPr>
        <w:spacing w:before="120" w:after="120" w:line="240" w:lineRule="auto"/>
        <w:rPr>
          <w:rFonts w:cs="Arial"/>
          <w:b/>
          <w:sz w:val="2"/>
          <w:szCs w:val="2"/>
        </w:rPr>
      </w:pPr>
      <w:r w:rsidRPr="00B661BE">
        <w:br w:type="page"/>
      </w:r>
    </w:p>
    <w:p w14:paraId="4A296109" w14:textId="77777777" w:rsidR="00501862" w:rsidRPr="00163FB7" w:rsidRDefault="00501862" w:rsidP="008362E0">
      <w:pPr>
        <w:spacing w:before="120" w:after="120" w:line="240" w:lineRule="auto"/>
        <w:rPr>
          <w:rFonts w:cs="Arial"/>
          <w:u w:val="single"/>
        </w:rPr>
      </w:pPr>
      <w:r>
        <w:rPr>
          <w:b/>
        </w:rPr>
        <w:lastRenderedPageBreak/>
        <w:t xml:space="preserve">Prüfprogramm – </w:t>
      </w:r>
      <w:r>
        <w:rPr>
          <w:b/>
          <w:u w:val="single"/>
        </w:rPr>
        <w:t>Andere Risiken im Zusammenhang mit Compliance-Fragen </w:t>
      </w:r>
      <w:r>
        <w:rPr>
          <w:u w:val="single"/>
        </w:rPr>
        <w:t>– Risiken aus grenzüberschreitenden Dienstleistungen</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1596"/>
        <w:gridCol w:w="4284"/>
        <w:gridCol w:w="3827"/>
        <w:gridCol w:w="3090"/>
        <w:gridCol w:w="992"/>
      </w:tblGrid>
      <w:tr w:rsidR="00501862" w:rsidRPr="00DB7CF3" w14:paraId="07FD4353" w14:textId="77777777" w:rsidTr="00AC243C">
        <w:trPr>
          <w:tblHeader/>
        </w:trPr>
        <w:tc>
          <w:tcPr>
            <w:tcW w:w="528" w:type="dxa"/>
            <w:tcBorders>
              <w:bottom w:val="single" w:sz="4" w:space="0" w:color="auto"/>
            </w:tcBorders>
            <w:shd w:val="pct20" w:color="auto" w:fill="auto"/>
          </w:tcPr>
          <w:p w14:paraId="307C7428" w14:textId="77777777" w:rsidR="00501862" w:rsidRPr="00DB7CF3" w:rsidRDefault="00501862" w:rsidP="008362E0">
            <w:pPr>
              <w:spacing w:before="120" w:after="120" w:line="240" w:lineRule="auto"/>
              <w:rPr>
                <w:rFonts w:cs="Arial"/>
                <w:b/>
                <w:sz w:val="16"/>
                <w:szCs w:val="16"/>
              </w:rPr>
            </w:pPr>
            <w:r>
              <w:rPr>
                <w:b/>
                <w:sz w:val="16"/>
              </w:rPr>
              <w:t>Nr.</w:t>
            </w:r>
          </w:p>
        </w:tc>
        <w:tc>
          <w:tcPr>
            <w:tcW w:w="1596" w:type="dxa"/>
            <w:tcBorders>
              <w:bottom w:val="single" w:sz="4" w:space="0" w:color="auto"/>
            </w:tcBorders>
            <w:shd w:val="pct20" w:color="auto" w:fill="auto"/>
          </w:tcPr>
          <w:p w14:paraId="3180ECDC" w14:textId="77777777" w:rsidR="00501862" w:rsidRPr="00DB7CF3" w:rsidRDefault="00501862" w:rsidP="008362E0">
            <w:pPr>
              <w:spacing w:before="120" w:after="120" w:line="240" w:lineRule="auto"/>
              <w:rPr>
                <w:rFonts w:cs="Arial"/>
                <w:b/>
                <w:sz w:val="16"/>
                <w:szCs w:val="16"/>
              </w:rPr>
            </w:pPr>
            <w:r>
              <w:rPr>
                <w:b/>
                <w:sz w:val="16"/>
              </w:rPr>
              <w:t>Thema</w:t>
            </w:r>
          </w:p>
        </w:tc>
        <w:tc>
          <w:tcPr>
            <w:tcW w:w="4284" w:type="dxa"/>
            <w:tcBorders>
              <w:bottom w:val="single" w:sz="4" w:space="0" w:color="auto"/>
            </w:tcBorders>
            <w:shd w:val="pct20" w:color="auto" w:fill="auto"/>
          </w:tcPr>
          <w:p w14:paraId="3A0B94F4" w14:textId="1BB7C574" w:rsidR="00501862" w:rsidRPr="00DB7CF3" w:rsidRDefault="00501862" w:rsidP="008362E0">
            <w:pPr>
              <w:spacing w:before="120" w:after="120" w:line="240" w:lineRule="auto"/>
              <w:rPr>
                <w:rFonts w:cs="Arial"/>
                <w:b/>
                <w:sz w:val="16"/>
                <w:szCs w:val="16"/>
              </w:rPr>
            </w:pPr>
            <w:r>
              <w:rPr>
                <w:b/>
                <w:sz w:val="16"/>
              </w:rPr>
              <w:t>Prüfungshandlungen für Prüftiefe „kritische Beurteilung“</w:t>
            </w:r>
          </w:p>
        </w:tc>
        <w:tc>
          <w:tcPr>
            <w:tcW w:w="3827" w:type="dxa"/>
            <w:tcBorders>
              <w:bottom w:val="single" w:sz="4" w:space="0" w:color="auto"/>
            </w:tcBorders>
            <w:shd w:val="pct20" w:color="auto" w:fill="auto"/>
          </w:tcPr>
          <w:p w14:paraId="695E3718" w14:textId="741EB5C0" w:rsidR="00501862" w:rsidRPr="00DB7CF3" w:rsidRDefault="00501862" w:rsidP="00A66BB2">
            <w:pPr>
              <w:spacing w:before="120" w:after="120" w:line="240" w:lineRule="auto"/>
              <w:rPr>
                <w:rFonts w:cs="Arial"/>
                <w:b/>
                <w:sz w:val="16"/>
                <w:szCs w:val="16"/>
              </w:rPr>
            </w:pPr>
            <w:r>
              <w:rPr>
                <w:b/>
                <w:sz w:val="16"/>
                <w:u w:val="single"/>
              </w:rPr>
              <w:t>Zusätzliche</w:t>
            </w:r>
            <w:r>
              <w:rPr>
                <w:b/>
                <w:sz w:val="16"/>
              </w:rPr>
              <w:t xml:space="preserve"> Prüfungshandlungen für Prüftiefe „Prüfung“</w:t>
            </w:r>
          </w:p>
        </w:tc>
        <w:tc>
          <w:tcPr>
            <w:tcW w:w="3090" w:type="dxa"/>
            <w:tcBorders>
              <w:bottom w:val="single" w:sz="4" w:space="0" w:color="auto"/>
            </w:tcBorders>
            <w:shd w:val="pct20" w:color="auto" w:fill="auto"/>
          </w:tcPr>
          <w:p w14:paraId="5E74877B" w14:textId="77777777" w:rsidR="00501862" w:rsidRPr="00DB7CF3" w:rsidRDefault="00501862" w:rsidP="008362E0">
            <w:pPr>
              <w:spacing w:before="120" w:after="120" w:line="240" w:lineRule="auto"/>
              <w:rPr>
                <w:rFonts w:cs="Arial"/>
                <w:b/>
                <w:sz w:val="16"/>
                <w:szCs w:val="16"/>
              </w:rPr>
            </w:pPr>
            <w:r>
              <w:rPr>
                <w:b/>
                <w:sz w:val="16"/>
              </w:rPr>
              <w:t>Durchgeführte Prüfungshandlungen / Feststellungen</w:t>
            </w:r>
          </w:p>
        </w:tc>
        <w:tc>
          <w:tcPr>
            <w:tcW w:w="992" w:type="dxa"/>
            <w:tcBorders>
              <w:bottom w:val="single" w:sz="4" w:space="0" w:color="auto"/>
            </w:tcBorders>
            <w:shd w:val="pct20" w:color="auto" w:fill="auto"/>
          </w:tcPr>
          <w:p w14:paraId="377E6BE0" w14:textId="77777777" w:rsidR="00501862" w:rsidRPr="00DB7CF3" w:rsidRDefault="00501862" w:rsidP="008362E0">
            <w:pPr>
              <w:spacing w:before="120" w:after="120" w:line="240" w:lineRule="auto"/>
              <w:rPr>
                <w:rFonts w:cs="Arial"/>
                <w:b/>
                <w:sz w:val="16"/>
                <w:szCs w:val="16"/>
              </w:rPr>
            </w:pPr>
            <w:r>
              <w:rPr>
                <w:b/>
                <w:sz w:val="16"/>
              </w:rPr>
              <w:t>Arbeitspapiere Ref.:</w:t>
            </w:r>
          </w:p>
        </w:tc>
      </w:tr>
      <w:tr w:rsidR="00FA4FC1" w:rsidRPr="00F72EE5" w14:paraId="378CA0A7" w14:textId="77777777" w:rsidTr="00902740">
        <w:tc>
          <w:tcPr>
            <w:tcW w:w="14317" w:type="dxa"/>
            <w:gridSpan w:val="6"/>
            <w:shd w:val="pct10" w:color="auto" w:fill="auto"/>
          </w:tcPr>
          <w:p w14:paraId="1A0C7D8E" w14:textId="77777777" w:rsidR="00FA4FC1" w:rsidRPr="00AB7BC8" w:rsidRDefault="00FA4FC1" w:rsidP="008362E0">
            <w:pPr>
              <w:spacing w:before="120" w:after="120" w:line="240" w:lineRule="auto"/>
              <w:rPr>
                <w:rFonts w:cs="Arial"/>
                <w:i/>
                <w:sz w:val="16"/>
                <w:szCs w:val="16"/>
                <w:lang w:val="en-US"/>
              </w:rPr>
            </w:pPr>
            <w:r w:rsidRPr="00AB7BC8">
              <w:rPr>
                <w:i/>
                <w:sz w:val="16"/>
                <w:lang w:val="en-US"/>
              </w:rPr>
              <w:t>Confirmation that methods / processes for identification, measurement, management and monitoring of other risks in connection with compliance issues were adequate and, in case of the audit depth “audit”, were applied effectively.</w:t>
            </w:r>
          </w:p>
          <w:p w14:paraId="6C395F1D" w14:textId="77777777" w:rsidR="00FA4FC1" w:rsidRPr="00E21810" w:rsidRDefault="00FA4FC1" w:rsidP="008362E0">
            <w:pPr>
              <w:spacing w:before="120" w:after="120" w:line="240" w:lineRule="auto"/>
              <w:rPr>
                <w:bCs/>
                <w:i/>
                <w:sz w:val="16"/>
                <w:szCs w:val="16"/>
              </w:rPr>
            </w:pPr>
            <w:r>
              <w:rPr>
                <w:i/>
                <w:sz w:val="16"/>
              </w:rPr>
              <w:t>Bestätigung, dass die Methoden / Prozesse zur Identifikation, Messung, Bewirtschaftung und Überwachung von anderen Risiken im Zusammenhang mit Compliance-Fragen angemessen waren und im Falle der Prüftiefe „Prüfung“ effektiv angewendet wurden.</w:t>
            </w:r>
          </w:p>
          <w:p w14:paraId="7002D404" w14:textId="77777777" w:rsidR="00FA4FC1" w:rsidRPr="00AB7BC8" w:rsidRDefault="00FA4FC1" w:rsidP="00674664">
            <w:pPr>
              <w:spacing w:before="120" w:after="120" w:line="240" w:lineRule="auto"/>
              <w:rPr>
                <w:lang w:val="fr-CH"/>
              </w:rPr>
            </w:pPr>
            <w:r w:rsidRPr="00AB7BC8">
              <w:rPr>
                <w:i/>
                <w:sz w:val="16"/>
                <w:lang w:val="fr-CH"/>
              </w:rPr>
              <w:t>Confirmation que les méthodes / processus relatifs à l’identification, la mesure, la gestion et la surveillance des autres risques en lien avec les questions de compliance ont été appropriés et en cas d’étendue d’audit « audit</w:t>
            </w:r>
            <w:r w:rsidR="00674664">
              <w:rPr>
                <w:i/>
                <w:sz w:val="16"/>
                <w:lang w:val="fr-CH"/>
              </w:rPr>
              <w:t> »</w:t>
            </w:r>
            <w:r w:rsidRPr="00AB7BC8">
              <w:rPr>
                <w:i/>
                <w:sz w:val="16"/>
                <w:lang w:val="fr-CH"/>
              </w:rPr>
              <w:t> </w:t>
            </w:r>
            <w:r w:rsidR="00674664" w:rsidRPr="00AB7BC8">
              <w:rPr>
                <w:i/>
                <w:sz w:val="16"/>
                <w:lang w:val="fr-CH"/>
              </w:rPr>
              <w:t> </w:t>
            </w:r>
            <w:r w:rsidRPr="00AB7BC8">
              <w:rPr>
                <w:i/>
                <w:sz w:val="16"/>
                <w:lang w:val="fr-CH"/>
              </w:rPr>
              <w:t>ont été effectivement appliqués.</w:t>
            </w:r>
          </w:p>
        </w:tc>
      </w:tr>
      <w:tr w:rsidR="00501862" w:rsidRPr="00231C9C" w14:paraId="3EA7B944" w14:textId="77777777" w:rsidTr="00AC243C">
        <w:tc>
          <w:tcPr>
            <w:tcW w:w="528" w:type="dxa"/>
            <w:vMerge w:val="restart"/>
            <w:shd w:val="clear" w:color="auto" w:fill="auto"/>
          </w:tcPr>
          <w:p w14:paraId="28FC029B" w14:textId="77777777" w:rsidR="00501862" w:rsidRPr="00AB7BC8" w:rsidRDefault="00501862" w:rsidP="008362E0">
            <w:pPr>
              <w:spacing w:before="120" w:after="120" w:line="240" w:lineRule="auto"/>
              <w:rPr>
                <w:rFonts w:cs="Arial"/>
                <w:sz w:val="16"/>
                <w:szCs w:val="16"/>
                <w:lang w:val="fr-CH"/>
              </w:rPr>
            </w:pPr>
          </w:p>
        </w:tc>
        <w:tc>
          <w:tcPr>
            <w:tcW w:w="1596" w:type="dxa"/>
            <w:vMerge w:val="restart"/>
            <w:shd w:val="clear" w:color="auto" w:fill="auto"/>
          </w:tcPr>
          <w:p w14:paraId="66FCC946" w14:textId="592F72F2" w:rsidR="00501862" w:rsidRPr="00327024" w:rsidRDefault="00501862" w:rsidP="004F28D7">
            <w:pPr>
              <w:spacing w:before="120" w:after="120" w:line="240" w:lineRule="auto"/>
              <w:rPr>
                <w:rFonts w:cs="Arial"/>
                <w:b/>
                <w:sz w:val="16"/>
                <w:szCs w:val="16"/>
              </w:rPr>
            </w:pPr>
            <w:r>
              <w:rPr>
                <w:b/>
                <w:sz w:val="16"/>
              </w:rPr>
              <w:t xml:space="preserve">Risikopolitik </w:t>
            </w:r>
          </w:p>
        </w:tc>
        <w:tc>
          <w:tcPr>
            <w:tcW w:w="4284" w:type="dxa"/>
            <w:shd w:val="clear" w:color="auto" w:fill="auto"/>
          </w:tcPr>
          <w:p w14:paraId="0AC281E3" w14:textId="636335A5" w:rsidR="00501862" w:rsidRPr="001D46BF" w:rsidRDefault="00501862" w:rsidP="00F61ADA">
            <w:pPr>
              <w:pStyle w:val="Bullet"/>
              <w:numPr>
                <w:ilvl w:val="0"/>
                <w:numId w:val="0"/>
              </w:numPr>
              <w:spacing w:before="120" w:after="120"/>
            </w:pPr>
            <w:r>
              <w:rPr>
                <w:i/>
              </w:rPr>
              <w:t>Beurteilung, ob Verantwortlichkeiten, Genehmigungskompetenzen, Berichterstattung</w:t>
            </w:r>
            <w:r w:rsidR="00836E5F">
              <w:rPr>
                <w:i/>
              </w:rPr>
              <w:t>s-</w:t>
            </w:r>
            <w:r>
              <w:rPr>
                <w:i/>
              </w:rPr>
              <w:t xml:space="preserve"> und Eskalationslinien für Risiken aus grenzüberschreitenden Dienstleistungen in </w:t>
            </w:r>
            <w:r w:rsidR="00836E5F">
              <w:rPr>
                <w:i/>
              </w:rPr>
              <w:t xml:space="preserve">der Risikopolitik, in </w:t>
            </w:r>
            <w:r>
              <w:rPr>
                <w:i/>
              </w:rPr>
              <w:t>internen Regelungen, Vo</w:t>
            </w:r>
            <w:r w:rsidRPr="00461856">
              <w:rPr>
                <w:i/>
              </w:rPr>
              <w:t>rgaben, Handbüchern</w:t>
            </w:r>
            <w:r w:rsidR="00073DB3" w:rsidRPr="00461856">
              <w:rPr>
                <w:i/>
              </w:rPr>
              <w:t xml:space="preserve"> </w:t>
            </w:r>
            <w:r w:rsidRPr="00461856">
              <w:rPr>
                <w:i/>
              </w:rPr>
              <w:t>und Stellenbeschreibungen nach Massgabe der Grösse, der Geschäfts- und Organisationskomplexität und des Compliance-Risikos des Instituts angemessen definiert sind, namentlich</w:t>
            </w:r>
          </w:p>
        </w:tc>
        <w:tc>
          <w:tcPr>
            <w:tcW w:w="3827" w:type="dxa"/>
            <w:shd w:val="clear" w:color="auto" w:fill="auto"/>
          </w:tcPr>
          <w:p w14:paraId="62FD93D1" w14:textId="77777777" w:rsidR="00501862" w:rsidRPr="001D46BF" w:rsidRDefault="00501862" w:rsidP="008362E0">
            <w:pPr>
              <w:pStyle w:val="Bullet"/>
              <w:numPr>
                <w:ilvl w:val="0"/>
                <w:numId w:val="0"/>
              </w:numPr>
              <w:spacing w:before="120" w:after="120"/>
              <w:ind w:left="720"/>
            </w:pPr>
          </w:p>
        </w:tc>
        <w:tc>
          <w:tcPr>
            <w:tcW w:w="3090" w:type="dxa"/>
            <w:shd w:val="clear" w:color="auto" w:fill="auto"/>
          </w:tcPr>
          <w:p w14:paraId="351C952A" w14:textId="77777777" w:rsidR="00501862" w:rsidRPr="001D46BF" w:rsidRDefault="00501862" w:rsidP="008362E0">
            <w:pPr>
              <w:spacing w:before="120" w:after="120" w:line="240" w:lineRule="auto"/>
              <w:rPr>
                <w:rFonts w:cs="Arial"/>
                <w:sz w:val="16"/>
                <w:szCs w:val="16"/>
              </w:rPr>
            </w:pPr>
          </w:p>
        </w:tc>
        <w:tc>
          <w:tcPr>
            <w:tcW w:w="992" w:type="dxa"/>
            <w:shd w:val="clear" w:color="auto" w:fill="auto"/>
          </w:tcPr>
          <w:p w14:paraId="249336BD" w14:textId="16048EEA" w:rsidR="00501862" w:rsidRPr="005B6531" w:rsidRDefault="00501862" w:rsidP="008362E0">
            <w:pPr>
              <w:spacing w:before="120" w:after="120" w:line="240" w:lineRule="auto"/>
            </w:pPr>
          </w:p>
        </w:tc>
      </w:tr>
      <w:tr w:rsidR="00501862" w:rsidRPr="00AF6AA5" w14:paraId="151BED98" w14:textId="77777777" w:rsidTr="00AC243C">
        <w:trPr>
          <w:trHeight w:val="619"/>
        </w:trPr>
        <w:tc>
          <w:tcPr>
            <w:tcW w:w="528" w:type="dxa"/>
            <w:vMerge/>
            <w:shd w:val="clear" w:color="auto" w:fill="auto"/>
          </w:tcPr>
          <w:p w14:paraId="437B3FEB" w14:textId="77777777" w:rsidR="00501862" w:rsidRPr="005B6531" w:rsidRDefault="00501862" w:rsidP="008362E0">
            <w:pPr>
              <w:spacing w:before="120" w:after="120" w:line="240" w:lineRule="auto"/>
              <w:rPr>
                <w:rFonts w:cs="Arial"/>
                <w:sz w:val="16"/>
                <w:szCs w:val="16"/>
              </w:rPr>
            </w:pPr>
          </w:p>
        </w:tc>
        <w:tc>
          <w:tcPr>
            <w:tcW w:w="1596" w:type="dxa"/>
            <w:vMerge/>
            <w:shd w:val="clear" w:color="auto" w:fill="auto"/>
          </w:tcPr>
          <w:p w14:paraId="6A4FE885" w14:textId="77777777" w:rsidR="00501862" w:rsidRPr="005B6531" w:rsidRDefault="00501862" w:rsidP="008362E0">
            <w:pPr>
              <w:spacing w:before="120" w:after="120" w:line="240" w:lineRule="auto"/>
              <w:rPr>
                <w:rFonts w:cs="Arial"/>
                <w:b/>
                <w:sz w:val="16"/>
                <w:szCs w:val="16"/>
              </w:rPr>
            </w:pPr>
          </w:p>
        </w:tc>
        <w:tc>
          <w:tcPr>
            <w:tcW w:w="4284" w:type="dxa"/>
            <w:shd w:val="clear" w:color="auto" w:fill="auto"/>
          </w:tcPr>
          <w:p w14:paraId="16982177" w14:textId="77777777" w:rsidR="00501862" w:rsidRPr="003203D5" w:rsidRDefault="00501862" w:rsidP="00836E5F">
            <w:pPr>
              <w:pStyle w:val="Bullet"/>
              <w:numPr>
                <w:ilvl w:val="0"/>
                <w:numId w:val="0"/>
              </w:numPr>
              <w:spacing w:before="120" w:after="120"/>
            </w:pPr>
            <w:r w:rsidRPr="00931AA4">
              <w:t>Beurteilung, ob in den internen Regeln die Geschäftsstrategie und das Dienstleistungsmodell (inkl. Targeting, Beziehungsmanagement, Geschäftstätigkeit und Kommunikation) für Zielländer, ausgeschlossene Länder, Nichtzielländer (Länder, die weder ein Zielland noch ein ausgeschlossenes Land sind) angemessen definiert sind</w:t>
            </w:r>
            <w:r w:rsidR="00873B13" w:rsidRPr="00931AA4">
              <w:t>.</w:t>
            </w:r>
          </w:p>
        </w:tc>
        <w:tc>
          <w:tcPr>
            <w:tcW w:w="3827" w:type="dxa"/>
            <w:shd w:val="clear" w:color="auto" w:fill="auto"/>
          </w:tcPr>
          <w:p w14:paraId="6548A254" w14:textId="77777777" w:rsidR="00501862" w:rsidRPr="001D46BF" w:rsidRDefault="00501862" w:rsidP="008362E0">
            <w:pPr>
              <w:spacing w:before="120" w:after="120" w:line="240" w:lineRule="auto"/>
              <w:ind w:left="34"/>
              <w:rPr>
                <w:rFonts w:cs="Arial"/>
                <w:sz w:val="16"/>
                <w:szCs w:val="16"/>
              </w:rPr>
            </w:pPr>
          </w:p>
        </w:tc>
        <w:tc>
          <w:tcPr>
            <w:tcW w:w="3090" w:type="dxa"/>
            <w:shd w:val="clear" w:color="auto" w:fill="auto"/>
          </w:tcPr>
          <w:p w14:paraId="2E885106" w14:textId="77777777" w:rsidR="00501862" w:rsidRPr="001D46BF" w:rsidRDefault="00501862" w:rsidP="008362E0">
            <w:pPr>
              <w:spacing w:before="120" w:after="120" w:line="240" w:lineRule="auto"/>
              <w:rPr>
                <w:rFonts w:cs="Arial"/>
                <w:sz w:val="16"/>
                <w:szCs w:val="16"/>
              </w:rPr>
            </w:pPr>
          </w:p>
        </w:tc>
        <w:tc>
          <w:tcPr>
            <w:tcW w:w="992" w:type="dxa"/>
            <w:shd w:val="clear" w:color="auto" w:fill="auto"/>
          </w:tcPr>
          <w:p w14:paraId="3E992B39" w14:textId="47EB67AC" w:rsidR="00501862" w:rsidRPr="00F81BDE" w:rsidRDefault="00501862" w:rsidP="008362E0">
            <w:pPr>
              <w:spacing w:before="120" w:after="120" w:line="240" w:lineRule="auto"/>
            </w:pPr>
          </w:p>
        </w:tc>
      </w:tr>
      <w:tr w:rsidR="00501862" w:rsidRPr="00AF6AA5" w14:paraId="0363C16D" w14:textId="77777777" w:rsidTr="00AC243C">
        <w:tc>
          <w:tcPr>
            <w:tcW w:w="528" w:type="dxa"/>
            <w:vMerge/>
            <w:shd w:val="clear" w:color="auto" w:fill="auto"/>
          </w:tcPr>
          <w:p w14:paraId="6B76A96C" w14:textId="77777777" w:rsidR="00501862" w:rsidRPr="001D46BF" w:rsidRDefault="00501862" w:rsidP="008362E0">
            <w:pPr>
              <w:spacing w:before="120" w:after="120" w:line="240" w:lineRule="auto"/>
              <w:rPr>
                <w:rFonts w:cs="Arial"/>
                <w:sz w:val="16"/>
                <w:szCs w:val="16"/>
              </w:rPr>
            </w:pPr>
          </w:p>
        </w:tc>
        <w:tc>
          <w:tcPr>
            <w:tcW w:w="1596" w:type="dxa"/>
            <w:vMerge/>
            <w:shd w:val="clear" w:color="auto" w:fill="auto"/>
          </w:tcPr>
          <w:p w14:paraId="424E7FD5" w14:textId="77777777" w:rsidR="00501862" w:rsidRPr="001D46BF" w:rsidRDefault="00501862" w:rsidP="008362E0">
            <w:pPr>
              <w:spacing w:before="120" w:after="120" w:line="240" w:lineRule="auto"/>
              <w:rPr>
                <w:rFonts w:cs="Arial"/>
                <w:b/>
                <w:sz w:val="16"/>
                <w:szCs w:val="16"/>
              </w:rPr>
            </w:pPr>
          </w:p>
        </w:tc>
        <w:tc>
          <w:tcPr>
            <w:tcW w:w="4284" w:type="dxa"/>
            <w:shd w:val="clear" w:color="auto" w:fill="auto"/>
          </w:tcPr>
          <w:p w14:paraId="588AE1EC" w14:textId="77777777" w:rsidR="00501862" w:rsidRPr="003203D5" w:rsidRDefault="00501862" w:rsidP="00AB7BC8">
            <w:pPr>
              <w:pStyle w:val="Bullet"/>
              <w:numPr>
                <w:ilvl w:val="0"/>
                <w:numId w:val="0"/>
              </w:numPr>
              <w:spacing w:before="120" w:after="120"/>
              <w:ind w:left="33"/>
            </w:pPr>
            <w:r>
              <w:t>Beurteilung, ob die dokumentierte Strategie für</w:t>
            </w:r>
            <w:r w:rsidR="00257088">
              <w:t xml:space="preserve"> </w:t>
            </w:r>
            <w:r>
              <w:t xml:space="preserve">grenzüberschreitende Aktivitäten </w:t>
            </w:r>
            <w:r w:rsidR="0049200F">
              <w:t xml:space="preserve">ausreichend </w:t>
            </w:r>
            <w:r>
              <w:t xml:space="preserve">detailliert, klar und transparent ist, damit die Leitungsorgane fundierte Entscheidungen zur Risikobereitschaft und Risikotoleranz treffen </w:t>
            </w:r>
            <w:r w:rsidRPr="006643B1">
              <w:t>können</w:t>
            </w:r>
            <w:r w:rsidR="0049200F" w:rsidRPr="006643B1">
              <w:t>,</w:t>
            </w:r>
            <w:r w:rsidRPr="006643B1">
              <w:t xml:space="preserve"> </w:t>
            </w:r>
            <w:r w:rsidRPr="00791040">
              <w:t>und ob sie</w:t>
            </w:r>
            <w:r w:rsidRPr="006643B1">
              <w:t xml:space="preserve"> </w:t>
            </w:r>
            <w:r w:rsidR="00DA3493" w:rsidRPr="00791040">
              <w:t xml:space="preserve">bezüglich </w:t>
            </w:r>
            <w:r w:rsidRPr="00791040">
              <w:t xml:space="preserve">der Geschäfts- und Organisationskomplexität des Instituts </w:t>
            </w:r>
            <w:r w:rsidR="0049200F" w:rsidRPr="00791040">
              <w:t xml:space="preserve">angemessen ist </w:t>
            </w:r>
            <w:r w:rsidRPr="00791040">
              <w:t>(insbesondere in Bezug auf die definierten Zielmärkte</w:t>
            </w:r>
            <w:r w:rsidR="003A64A5" w:rsidRPr="00791040">
              <w:t>,</w:t>
            </w:r>
            <w:r w:rsidRPr="00791040">
              <w:t xml:space="preserve"> die Beurteilung d</w:t>
            </w:r>
            <w:r w:rsidR="003A64A5" w:rsidRPr="00791040">
              <w:t>e</w:t>
            </w:r>
            <w:r w:rsidRPr="00791040">
              <w:t>s Institut</w:t>
            </w:r>
            <w:r w:rsidR="003A64A5" w:rsidRPr="00791040">
              <w:t>s hinsichtlich</w:t>
            </w:r>
            <w:r w:rsidRPr="00791040">
              <w:t xml:space="preserve"> der Compliance seines Dienstleistungsmodells für die Zielmärkte und die erhaltenen Lizenzen und Genehmigungen</w:t>
            </w:r>
            <w:r w:rsidRPr="006643B1">
              <w:t>).</w:t>
            </w:r>
            <w:r>
              <w:t xml:space="preserve"> </w:t>
            </w:r>
          </w:p>
        </w:tc>
        <w:tc>
          <w:tcPr>
            <w:tcW w:w="3827" w:type="dxa"/>
            <w:shd w:val="clear" w:color="auto" w:fill="auto"/>
          </w:tcPr>
          <w:p w14:paraId="630A08E1" w14:textId="77777777" w:rsidR="00501862" w:rsidRPr="001D46BF" w:rsidRDefault="00501862" w:rsidP="008362E0">
            <w:pPr>
              <w:spacing w:before="120" w:after="120" w:line="240" w:lineRule="auto"/>
              <w:ind w:left="33"/>
              <w:rPr>
                <w:rFonts w:cs="Arial"/>
                <w:sz w:val="16"/>
                <w:szCs w:val="16"/>
              </w:rPr>
            </w:pPr>
          </w:p>
        </w:tc>
        <w:tc>
          <w:tcPr>
            <w:tcW w:w="3090" w:type="dxa"/>
            <w:shd w:val="clear" w:color="auto" w:fill="auto"/>
          </w:tcPr>
          <w:p w14:paraId="13037A08" w14:textId="77777777" w:rsidR="00501862" w:rsidRPr="001D46BF" w:rsidRDefault="00501862" w:rsidP="008362E0">
            <w:pPr>
              <w:spacing w:before="120" w:after="120" w:line="240" w:lineRule="auto"/>
              <w:rPr>
                <w:rFonts w:cs="Arial"/>
                <w:sz w:val="16"/>
                <w:szCs w:val="16"/>
              </w:rPr>
            </w:pPr>
          </w:p>
        </w:tc>
        <w:tc>
          <w:tcPr>
            <w:tcW w:w="992" w:type="dxa"/>
            <w:shd w:val="clear" w:color="auto" w:fill="auto"/>
          </w:tcPr>
          <w:p w14:paraId="076D33AA" w14:textId="2CF501F5" w:rsidR="00501862" w:rsidRPr="00F81BDE" w:rsidRDefault="00501862" w:rsidP="008362E0">
            <w:pPr>
              <w:spacing w:before="120" w:after="120" w:line="240" w:lineRule="auto"/>
            </w:pPr>
          </w:p>
        </w:tc>
      </w:tr>
      <w:tr w:rsidR="00501862" w:rsidRPr="00AF6AA5" w14:paraId="28C9C6B0" w14:textId="77777777" w:rsidTr="00AC243C">
        <w:tc>
          <w:tcPr>
            <w:tcW w:w="528" w:type="dxa"/>
            <w:vMerge/>
            <w:shd w:val="clear" w:color="auto" w:fill="auto"/>
          </w:tcPr>
          <w:p w14:paraId="25001CB6" w14:textId="77777777" w:rsidR="00501862" w:rsidRPr="001D46BF" w:rsidRDefault="00501862" w:rsidP="008362E0">
            <w:pPr>
              <w:spacing w:before="120" w:after="120" w:line="240" w:lineRule="auto"/>
              <w:rPr>
                <w:rFonts w:cs="Arial"/>
                <w:sz w:val="16"/>
                <w:szCs w:val="16"/>
              </w:rPr>
            </w:pPr>
          </w:p>
        </w:tc>
        <w:tc>
          <w:tcPr>
            <w:tcW w:w="1596" w:type="dxa"/>
            <w:vMerge/>
            <w:shd w:val="clear" w:color="auto" w:fill="auto"/>
          </w:tcPr>
          <w:p w14:paraId="105A28BE" w14:textId="77777777" w:rsidR="00501862" w:rsidRPr="001D46BF" w:rsidRDefault="00501862" w:rsidP="008362E0">
            <w:pPr>
              <w:spacing w:before="120" w:after="120" w:line="240" w:lineRule="auto"/>
              <w:rPr>
                <w:rFonts w:cs="Arial"/>
                <w:b/>
                <w:sz w:val="16"/>
                <w:szCs w:val="16"/>
              </w:rPr>
            </w:pPr>
          </w:p>
        </w:tc>
        <w:tc>
          <w:tcPr>
            <w:tcW w:w="4284" w:type="dxa"/>
            <w:shd w:val="clear" w:color="auto" w:fill="auto"/>
          </w:tcPr>
          <w:p w14:paraId="6DD9C475" w14:textId="77777777" w:rsidR="00501862" w:rsidRPr="003203D5" w:rsidRDefault="00501862" w:rsidP="00AB7BC8">
            <w:pPr>
              <w:pStyle w:val="Bullet"/>
              <w:numPr>
                <w:ilvl w:val="0"/>
                <w:numId w:val="0"/>
              </w:numPr>
              <w:spacing w:before="120" w:after="120"/>
              <w:ind w:left="33"/>
            </w:pPr>
            <w:r>
              <w:t xml:space="preserve">Beurteilung, ob </w:t>
            </w:r>
            <w:r w:rsidR="003A64A5">
              <w:t xml:space="preserve">in den </w:t>
            </w:r>
            <w:r>
              <w:t xml:space="preserve">internen Regeln </w:t>
            </w:r>
            <w:r w:rsidR="003A64A5">
              <w:t>eine angemessene Definition für</w:t>
            </w:r>
            <w:r>
              <w:t xml:space="preserve"> Zielländer, ausgeschlossene Länder, </w:t>
            </w:r>
            <w:r>
              <w:lastRenderedPageBreak/>
              <w:t>Nichtzielländer (Länder, die weder ein Zielland noch ein ausgeschlossenes Land sind)</w:t>
            </w:r>
            <w:r w:rsidR="003A64A5">
              <w:t xml:space="preserve"> enthalten ist, die im Einklang</w:t>
            </w:r>
            <w:r>
              <w:t xml:space="preserve"> mit dem </w:t>
            </w:r>
            <w:r w:rsidR="003A64A5">
              <w:t xml:space="preserve">Businessplan </w:t>
            </w:r>
            <w:r>
              <w:t>und den effektiven Geschäftsaktivitäten</w:t>
            </w:r>
            <w:r w:rsidR="003A64A5">
              <w:t xml:space="preserve"> ist</w:t>
            </w:r>
            <w:r>
              <w:t>.</w:t>
            </w:r>
          </w:p>
        </w:tc>
        <w:tc>
          <w:tcPr>
            <w:tcW w:w="3827" w:type="dxa"/>
            <w:shd w:val="clear" w:color="auto" w:fill="auto"/>
          </w:tcPr>
          <w:p w14:paraId="5652A8A0" w14:textId="77777777" w:rsidR="00501862" w:rsidRPr="001D46BF" w:rsidRDefault="00501862" w:rsidP="008362E0">
            <w:pPr>
              <w:spacing w:before="120" w:after="120" w:line="240" w:lineRule="auto"/>
              <w:ind w:left="33"/>
              <w:rPr>
                <w:rFonts w:cs="Arial"/>
                <w:sz w:val="16"/>
                <w:szCs w:val="16"/>
              </w:rPr>
            </w:pPr>
          </w:p>
        </w:tc>
        <w:tc>
          <w:tcPr>
            <w:tcW w:w="3090" w:type="dxa"/>
            <w:shd w:val="clear" w:color="auto" w:fill="auto"/>
          </w:tcPr>
          <w:p w14:paraId="3C1BE029" w14:textId="77777777" w:rsidR="00501862" w:rsidRPr="001D46BF" w:rsidRDefault="00501862" w:rsidP="008362E0">
            <w:pPr>
              <w:spacing w:before="120" w:after="120" w:line="240" w:lineRule="auto"/>
              <w:rPr>
                <w:rFonts w:cs="Arial"/>
                <w:sz w:val="16"/>
                <w:szCs w:val="16"/>
              </w:rPr>
            </w:pPr>
          </w:p>
        </w:tc>
        <w:tc>
          <w:tcPr>
            <w:tcW w:w="992" w:type="dxa"/>
            <w:shd w:val="clear" w:color="auto" w:fill="auto"/>
          </w:tcPr>
          <w:p w14:paraId="14735D2A" w14:textId="787BFEC8" w:rsidR="00501862" w:rsidRPr="00C04F0F" w:rsidRDefault="00501862" w:rsidP="008362E0">
            <w:pPr>
              <w:spacing w:before="120" w:after="120" w:line="240" w:lineRule="auto"/>
            </w:pPr>
          </w:p>
        </w:tc>
      </w:tr>
      <w:tr w:rsidR="00501862" w:rsidRPr="00AF6AA5" w14:paraId="17DA8966" w14:textId="77777777" w:rsidTr="00AC243C">
        <w:tc>
          <w:tcPr>
            <w:tcW w:w="528" w:type="dxa"/>
            <w:vMerge/>
            <w:shd w:val="clear" w:color="auto" w:fill="auto"/>
          </w:tcPr>
          <w:p w14:paraId="5FD80AC7" w14:textId="77777777" w:rsidR="00501862" w:rsidRPr="001D46BF" w:rsidRDefault="00501862" w:rsidP="008362E0">
            <w:pPr>
              <w:spacing w:before="120" w:after="120" w:line="240" w:lineRule="auto"/>
              <w:rPr>
                <w:rFonts w:cs="Arial"/>
                <w:sz w:val="16"/>
                <w:szCs w:val="16"/>
              </w:rPr>
            </w:pPr>
          </w:p>
        </w:tc>
        <w:tc>
          <w:tcPr>
            <w:tcW w:w="1596" w:type="dxa"/>
            <w:vMerge/>
            <w:shd w:val="clear" w:color="auto" w:fill="auto"/>
          </w:tcPr>
          <w:p w14:paraId="7E226103" w14:textId="77777777" w:rsidR="00501862" w:rsidRPr="001D46BF" w:rsidRDefault="00501862" w:rsidP="008362E0">
            <w:pPr>
              <w:spacing w:before="120" w:after="120" w:line="240" w:lineRule="auto"/>
              <w:rPr>
                <w:rFonts w:cs="Arial"/>
                <w:b/>
                <w:sz w:val="16"/>
                <w:szCs w:val="16"/>
              </w:rPr>
            </w:pPr>
          </w:p>
        </w:tc>
        <w:tc>
          <w:tcPr>
            <w:tcW w:w="4284" w:type="dxa"/>
            <w:shd w:val="clear" w:color="auto" w:fill="auto"/>
          </w:tcPr>
          <w:p w14:paraId="07F09F70" w14:textId="77777777" w:rsidR="00501862" w:rsidRDefault="00501862" w:rsidP="008362E0">
            <w:pPr>
              <w:pStyle w:val="Bullet"/>
              <w:numPr>
                <w:ilvl w:val="0"/>
                <w:numId w:val="0"/>
              </w:numPr>
              <w:spacing w:before="120" w:after="120"/>
            </w:pPr>
            <w:r>
              <w:t>Beurteilung, ob in den internen Regeln die Rollen und Verantwortlichkeiten angemessen definiert sind, z. B. für</w:t>
            </w:r>
          </w:p>
          <w:p w14:paraId="35213C2B" w14:textId="1FA6ECEF" w:rsidR="00501862" w:rsidRDefault="00501862" w:rsidP="008362E0">
            <w:pPr>
              <w:pStyle w:val="Bullet"/>
              <w:numPr>
                <w:ilvl w:val="0"/>
                <w:numId w:val="13"/>
              </w:numPr>
              <w:spacing w:before="120" w:after="120"/>
              <w:ind w:left="227" w:hanging="227"/>
            </w:pPr>
            <w:r>
              <w:t xml:space="preserve">die Genehmigung der </w:t>
            </w:r>
            <w:r w:rsidRPr="00F61ADA">
              <w:t>Strategie für</w:t>
            </w:r>
            <w:r>
              <w:t xml:space="preserve"> grenzüberschreitende </w:t>
            </w:r>
            <w:r w:rsidR="00257088">
              <w:t>Aktivitäten</w:t>
            </w:r>
          </w:p>
          <w:p w14:paraId="570E051A" w14:textId="77777777" w:rsidR="00501862" w:rsidRPr="00FA1508" w:rsidRDefault="00501862" w:rsidP="008362E0">
            <w:pPr>
              <w:pStyle w:val="Bullet"/>
              <w:numPr>
                <w:ilvl w:val="0"/>
                <w:numId w:val="13"/>
              </w:numPr>
              <w:spacing w:before="120" w:after="120"/>
              <w:ind w:left="227" w:hanging="227"/>
            </w:pPr>
            <w:r>
              <w:rPr>
                <w:color w:val="000000" w:themeColor="text1"/>
              </w:rPr>
              <w:t>die Durchführung ausreichend detaillierter und regelmässiger Länderrisikoanalysen</w:t>
            </w:r>
          </w:p>
          <w:p w14:paraId="4FE69B39" w14:textId="77777777" w:rsidR="00501862" w:rsidRPr="00674664" w:rsidRDefault="00501862" w:rsidP="008362E0">
            <w:pPr>
              <w:pStyle w:val="Bullet"/>
              <w:numPr>
                <w:ilvl w:val="0"/>
                <w:numId w:val="13"/>
              </w:numPr>
              <w:spacing w:before="120" w:after="120"/>
              <w:ind w:left="227" w:hanging="227"/>
            </w:pPr>
            <w:r w:rsidRPr="003C2978">
              <w:rPr>
                <w:color w:val="000000" w:themeColor="text1"/>
              </w:rPr>
              <w:t xml:space="preserve">die Genehmigung der Klassifizierung </w:t>
            </w:r>
            <w:r w:rsidR="00AB7BC8" w:rsidRPr="003C2978">
              <w:rPr>
                <w:color w:val="000000" w:themeColor="text1"/>
              </w:rPr>
              <w:t xml:space="preserve">und Intervall der Wiedervorlage/-genehmigung </w:t>
            </w:r>
            <w:r w:rsidRPr="003C2978">
              <w:rPr>
                <w:color w:val="000000" w:themeColor="text1"/>
              </w:rPr>
              <w:t>pro Land</w:t>
            </w:r>
          </w:p>
          <w:p w14:paraId="5CDDBF4F" w14:textId="77777777" w:rsidR="00501862" w:rsidRPr="00FA1508" w:rsidRDefault="00501862" w:rsidP="008362E0">
            <w:pPr>
              <w:pStyle w:val="Bullet"/>
              <w:numPr>
                <w:ilvl w:val="0"/>
                <w:numId w:val="13"/>
              </w:numPr>
              <w:spacing w:before="120" w:after="120"/>
              <w:ind w:left="227" w:hanging="227"/>
            </w:pPr>
            <w:r>
              <w:rPr>
                <w:color w:val="000000" w:themeColor="text1"/>
              </w:rPr>
              <w:t>die Definition, Pflege, Aktualisierung und Genehmigung von Dienstleistungsmodellen (</w:t>
            </w:r>
            <w:r w:rsidR="00257088">
              <w:rPr>
                <w:color w:val="000000" w:themeColor="text1"/>
              </w:rPr>
              <w:t>inkl</w:t>
            </w:r>
            <w:r>
              <w:rPr>
                <w:color w:val="000000" w:themeColor="text1"/>
              </w:rPr>
              <w:t>. Targeting, Beziehungsmanagement, Geschäftstätigkeit und Kommunikation) pro Zielland und für alle anderen Arten von Ländern</w:t>
            </w:r>
          </w:p>
          <w:p w14:paraId="42011F3A" w14:textId="77777777" w:rsidR="00501862" w:rsidRDefault="00501862" w:rsidP="008362E0">
            <w:pPr>
              <w:pStyle w:val="Bullet"/>
              <w:numPr>
                <w:ilvl w:val="0"/>
                <w:numId w:val="13"/>
              </w:numPr>
              <w:spacing w:before="120" w:after="120"/>
              <w:ind w:left="227" w:hanging="227"/>
            </w:pPr>
            <w:r>
              <w:t xml:space="preserve">die Genehmigung, Implementierung und Kontrolle eines risikoorientierten Schulungsprogramms </w:t>
            </w:r>
          </w:p>
          <w:p w14:paraId="4017D2A1" w14:textId="77777777" w:rsidR="00501862" w:rsidRDefault="00501862" w:rsidP="008362E0">
            <w:pPr>
              <w:pStyle w:val="Bullet"/>
              <w:numPr>
                <w:ilvl w:val="0"/>
                <w:numId w:val="13"/>
              </w:numPr>
              <w:spacing w:before="120" w:after="120"/>
              <w:ind w:left="227" w:hanging="227"/>
            </w:pPr>
            <w:r>
              <w:t xml:space="preserve">die Kontrollen, Genehmigungen und die Dokumentation, bevor </w:t>
            </w:r>
            <w:r w:rsidR="00257088">
              <w:t>n</w:t>
            </w:r>
            <w:r>
              <w:t>eu</w:t>
            </w:r>
            <w:r w:rsidR="00257088">
              <w:t>e K</w:t>
            </w:r>
            <w:r>
              <w:t>unden angenommen werden</w:t>
            </w:r>
          </w:p>
          <w:p w14:paraId="6CF84D2B" w14:textId="77777777" w:rsidR="00501862" w:rsidRPr="00FA1508" w:rsidRDefault="00501862" w:rsidP="008362E0">
            <w:pPr>
              <w:pStyle w:val="Bullet"/>
              <w:numPr>
                <w:ilvl w:val="0"/>
                <w:numId w:val="13"/>
              </w:numPr>
              <w:spacing w:before="120" w:after="120"/>
              <w:ind w:left="227" w:hanging="227"/>
            </w:pPr>
            <w:r>
              <w:rPr>
                <w:color w:val="000000" w:themeColor="text1"/>
              </w:rPr>
              <w:t>periodische Sorgfaltsprüfungen und (Neu)-Genehmigung externer Vermögensverwalter und sonstiger Intermediäre</w:t>
            </w:r>
          </w:p>
          <w:p w14:paraId="0CB54CEE" w14:textId="77777777" w:rsidR="00501862" w:rsidRPr="00FA1508" w:rsidRDefault="00501862" w:rsidP="008362E0">
            <w:pPr>
              <w:pStyle w:val="Bullet"/>
              <w:numPr>
                <w:ilvl w:val="0"/>
                <w:numId w:val="13"/>
              </w:numPr>
              <w:spacing w:before="120" w:after="120"/>
              <w:ind w:left="227" w:hanging="227"/>
            </w:pPr>
            <w:r>
              <w:rPr>
                <w:color w:val="000000" w:themeColor="text1"/>
              </w:rPr>
              <w:t>Genehmigungskompetenzen für geplante Reisen ins Ausland</w:t>
            </w:r>
          </w:p>
          <w:p w14:paraId="225505ED" w14:textId="77777777" w:rsidR="00470038" w:rsidRPr="00E23797" w:rsidRDefault="00501862" w:rsidP="008362E0">
            <w:pPr>
              <w:pStyle w:val="Bullet"/>
              <w:numPr>
                <w:ilvl w:val="0"/>
                <w:numId w:val="13"/>
              </w:numPr>
              <w:spacing w:before="120" w:after="120"/>
              <w:ind w:left="227" w:hanging="227"/>
            </w:pPr>
            <w:r>
              <w:rPr>
                <w:color w:val="000000" w:themeColor="text1"/>
              </w:rPr>
              <w:t>die zeitnahe Erstellung von Reiseberichten und deren Genehmigung</w:t>
            </w:r>
          </w:p>
          <w:p w14:paraId="32D1292B" w14:textId="77777777" w:rsidR="00501862" w:rsidRPr="0003745F" w:rsidRDefault="00501862" w:rsidP="00470038">
            <w:pPr>
              <w:pStyle w:val="Bullet"/>
              <w:numPr>
                <w:ilvl w:val="0"/>
                <w:numId w:val="13"/>
              </w:numPr>
              <w:spacing w:before="120" w:after="120"/>
              <w:ind w:left="227" w:hanging="227"/>
            </w:pPr>
            <w:r w:rsidRPr="00470038">
              <w:rPr>
                <w:color w:val="000000" w:themeColor="text1"/>
              </w:rPr>
              <w:t>interne Ad-hoc-Meldepflichten bei einer festgestellten Zunahme der grenzüberschreitenden Risiken</w:t>
            </w:r>
          </w:p>
          <w:p w14:paraId="1D2528D2" w14:textId="77777777" w:rsidR="00501862" w:rsidRDefault="00501862" w:rsidP="008362E0">
            <w:pPr>
              <w:pStyle w:val="Bullet"/>
              <w:numPr>
                <w:ilvl w:val="0"/>
                <w:numId w:val="13"/>
              </w:numPr>
              <w:spacing w:before="120" w:after="120"/>
              <w:ind w:left="227" w:hanging="227"/>
            </w:pPr>
            <w:r>
              <w:rPr>
                <w:color w:val="000000" w:themeColor="text1"/>
              </w:rPr>
              <w:t>Meldepflichten, wenn Personen von ausländischen Behörden kontaktiert werden</w:t>
            </w:r>
            <w:r w:rsidR="00D5658F">
              <w:rPr>
                <w:color w:val="000000" w:themeColor="text1"/>
              </w:rPr>
              <w:t>.</w:t>
            </w:r>
          </w:p>
        </w:tc>
        <w:tc>
          <w:tcPr>
            <w:tcW w:w="3827" w:type="dxa"/>
            <w:shd w:val="clear" w:color="auto" w:fill="auto"/>
          </w:tcPr>
          <w:p w14:paraId="359BBDBB" w14:textId="77777777" w:rsidR="00501862" w:rsidRPr="001D46BF" w:rsidRDefault="00501862" w:rsidP="008362E0">
            <w:pPr>
              <w:spacing w:before="120" w:after="120" w:line="240" w:lineRule="auto"/>
              <w:ind w:left="33"/>
              <w:rPr>
                <w:rFonts w:cs="Arial"/>
                <w:sz w:val="16"/>
                <w:szCs w:val="16"/>
              </w:rPr>
            </w:pPr>
          </w:p>
        </w:tc>
        <w:tc>
          <w:tcPr>
            <w:tcW w:w="3090" w:type="dxa"/>
            <w:shd w:val="clear" w:color="auto" w:fill="auto"/>
          </w:tcPr>
          <w:p w14:paraId="32CA86AD" w14:textId="77777777" w:rsidR="00501862" w:rsidRPr="001D46BF" w:rsidRDefault="00501862" w:rsidP="008362E0">
            <w:pPr>
              <w:spacing w:before="120" w:after="120" w:line="240" w:lineRule="auto"/>
              <w:rPr>
                <w:rFonts w:cs="Arial"/>
                <w:sz w:val="16"/>
                <w:szCs w:val="16"/>
              </w:rPr>
            </w:pPr>
          </w:p>
        </w:tc>
        <w:tc>
          <w:tcPr>
            <w:tcW w:w="992" w:type="dxa"/>
            <w:shd w:val="clear" w:color="auto" w:fill="auto"/>
          </w:tcPr>
          <w:p w14:paraId="1E9D693A" w14:textId="47EA3A36" w:rsidR="00501862" w:rsidRPr="00C04F0F" w:rsidRDefault="00501862" w:rsidP="008362E0">
            <w:pPr>
              <w:spacing w:before="120" w:after="120" w:line="240" w:lineRule="auto"/>
            </w:pPr>
          </w:p>
        </w:tc>
      </w:tr>
      <w:tr w:rsidR="00501862" w:rsidRPr="00AF6AA5" w14:paraId="4976B9EF" w14:textId="77777777" w:rsidTr="00AC243C">
        <w:tc>
          <w:tcPr>
            <w:tcW w:w="528" w:type="dxa"/>
            <w:vMerge/>
            <w:shd w:val="clear" w:color="auto" w:fill="auto"/>
          </w:tcPr>
          <w:p w14:paraId="35D5D1CA" w14:textId="77777777" w:rsidR="00501862" w:rsidRPr="001D46BF" w:rsidRDefault="00501862" w:rsidP="008362E0">
            <w:pPr>
              <w:spacing w:before="120" w:after="120" w:line="240" w:lineRule="auto"/>
              <w:rPr>
                <w:rFonts w:cs="Arial"/>
                <w:sz w:val="16"/>
                <w:szCs w:val="16"/>
              </w:rPr>
            </w:pPr>
          </w:p>
        </w:tc>
        <w:tc>
          <w:tcPr>
            <w:tcW w:w="1596" w:type="dxa"/>
            <w:vMerge/>
            <w:shd w:val="clear" w:color="auto" w:fill="auto"/>
          </w:tcPr>
          <w:p w14:paraId="66DE1403" w14:textId="77777777" w:rsidR="00501862" w:rsidRPr="001D46BF" w:rsidRDefault="00501862" w:rsidP="008362E0">
            <w:pPr>
              <w:spacing w:before="120" w:after="120" w:line="240" w:lineRule="auto"/>
              <w:rPr>
                <w:rFonts w:cs="Arial"/>
                <w:b/>
                <w:sz w:val="16"/>
                <w:szCs w:val="16"/>
              </w:rPr>
            </w:pPr>
          </w:p>
        </w:tc>
        <w:tc>
          <w:tcPr>
            <w:tcW w:w="4284" w:type="dxa"/>
            <w:shd w:val="clear" w:color="auto" w:fill="auto"/>
          </w:tcPr>
          <w:p w14:paraId="70B2AAED" w14:textId="77777777" w:rsidR="00501862" w:rsidRPr="00FA6BF1" w:rsidRDefault="00501862" w:rsidP="00257088">
            <w:pPr>
              <w:spacing w:before="120" w:after="120" w:line="240" w:lineRule="auto"/>
              <w:rPr>
                <w:rFonts w:cs="Arial"/>
                <w:sz w:val="16"/>
                <w:szCs w:val="16"/>
              </w:rPr>
            </w:pPr>
            <w:r>
              <w:rPr>
                <w:sz w:val="16"/>
              </w:rPr>
              <w:t>Durchsicht der Protokolle der Verwaltungsratssitzungen, um zu beurteilen, ob die Strategie für grenzüberschreitende</w:t>
            </w:r>
            <w:r w:rsidR="00257088">
              <w:rPr>
                <w:sz w:val="16"/>
              </w:rPr>
              <w:t xml:space="preserve"> Aktivitäten</w:t>
            </w:r>
            <w:r>
              <w:rPr>
                <w:sz w:val="16"/>
              </w:rPr>
              <w:t>, die Risikobereitschaft und die Risikotoleranz vom Verwaltungsrat erörtert und genehmigt wurden.</w:t>
            </w:r>
          </w:p>
        </w:tc>
        <w:tc>
          <w:tcPr>
            <w:tcW w:w="3827" w:type="dxa"/>
            <w:shd w:val="clear" w:color="auto" w:fill="auto"/>
          </w:tcPr>
          <w:p w14:paraId="11543F43" w14:textId="77777777" w:rsidR="00501862" w:rsidRPr="001D46BF" w:rsidRDefault="00501862" w:rsidP="008362E0">
            <w:pPr>
              <w:spacing w:before="120" w:after="120" w:line="240" w:lineRule="auto"/>
              <w:ind w:left="33"/>
              <w:rPr>
                <w:rFonts w:cs="Arial"/>
                <w:sz w:val="16"/>
                <w:szCs w:val="16"/>
              </w:rPr>
            </w:pPr>
          </w:p>
        </w:tc>
        <w:tc>
          <w:tcPr>
            <w:tcW w:w="3090" w:type="dxa"/>
            <w:shd w:val="clear" w:color="auto" w:fill="auto"/>
          </w:tcPr>
          <w:p w14:paraId="680B95E0" w14:textId="77777777" w:rsidR="00501862" w:rsidRPr="001D46BF" w:rsidRDefault="00501862" w:rsidP="008362E0">
            <w:pPr>
              <w:spacing w:before="120" w:after="120" w:line="240" w:lineRule="auto"/>
              <w:rPr>
                <w:rFonts w:cs="Arial"/>
                <w:sz w:val="16"/>
                <w:szCs w:val="16"/>
              </w:rPr>
            </w:pPr>
          </w:p>
        </w:tc>
        <w:tc>
          <w:tcPr>
            <w:tcW w:w="992" w:type="dxa"/>
            <w:shd w:val="clear" w:color="auto" w:fill="auto"/>
          </w:tcPr>
          <w:p w14:paraId="1F81967B" w14:textId="3BB4FD3A" w:rsidR="00501862" w:rsidRPr="00C04F0F" w:rsidRDefault="00501862" w:rsidP="008362E0">
            <w:pPr>
              <w:spacing w:before="120" w:after="120" w:line="240" w:lineRule="auto"/>
            </w:pPr>
          </w:p>
        </w:tc>
      </w:tr>
      <w:tr w:rsidR="00501862" w:rsidRPr="00AF6AA5" w14:paraId="05492CD7" w14:textId="77777777" w:rsidTr="00AC243C">
        <w:tc>
          <w:tcPr>
            <w:tcW w:w="528" w:type="dxa"/>
            <w:shd w:val="clear" w:color="auto" w:fill="auto"/>
          </w:tcPr>
          <w:p w14:paraId="6AC7EA13" w14:textId="77777777" w:rsidR="00501862" w:rsidRPr="00200356" w:rsidRDefault="00501862" w:rsidP="008362E0">
            <w:pPr>
              <w:spacing w:before="120" w:after="120" w:line="240" w:lineRule="auto"/>
              <w:rPr>
                <w:rFonts w:cs="Arial"/>
                <w:sz w:val="16"/>
                <w:szCs w:val="16"/>
              </w:rPr>
            </w:pPr>
          </w:p>
        </w:tc>
        <w:tc>
          <w:tcPr>
            <w:tcW w:w="1596" w:type="dxa"/>
            <w:shd w:val="clear" w:color="auto" w:fill="auto"/>
          </w:tcPr>
          <w:p w14:paraId="126BDC75" w14:textId="09400FDF" w:rsidR="00501862" w:rsidRPr="003215B7" w:rsidRDefault="00D17B95" w:rsidP="008362E0">
            <w:pPr>
              <w:spacing w:before="120" w:after="120" w:line="240" w:lineRule="auto"/>
              <w:rPr>
                <w:rFonts w:cs="Arial"/>
                <w:b/>
                <w:sz w:val="16"/>
                <w:szCs w:val="16"/>
              </w:rPr>
            </w:pPr>
            <w:r>
              <w:rPr>
                <w:b/>
                <w:sz w:val="16"/>
              </w:rPr>
              <w:t>Länderanalysen / Länderhandbücher</w:t>
            </w:r>
          </w:p>
        </w:tc>
        <w:tc>
          <w:tcPr>
            <w:tcW w:w="4284" w:type="dxa"/>
            <w:shd w:val="clear" w:color="auto" w:fill="auto"/>
          </w:tcPr>
          <w:p w14:paraId="4EF52A3A" w14:textId="77777777" w:rsidR="00501862" w:rsidRPr="00461856" w:rsidRDefault="00501862" w:rsidP="00873B13">
            <w:pPr>
              <w:pStyle w:val="Bullet"/>
              <w:numPr>
                <w:ilvl w:val="0"/>
                <w:numId w:val="0"/>
              </w:numPr>
              <w:spacing w:before="120" w:after="120"/>
            </w:pPr>
            <w:r w:rsidRPr="00461856">
              <w:rPr>
                <w:i/>
              </w:rPr>
              <w:t xml:space="preserve">Beurteilung, ob die Methoden / </w:t>
            </w:r>
            <w:r w:rsidR="00873B13" w:rsidRPr="00461856">
              <w:rPr>
                <w:i/>
              </w:rPr>
              <w:t xml:space="preserve">Prozesse </w:t>
            </w:r>
            <w:r w:rsidRPr="00461856">
              <w:rPr>
                <w:i/>
              </w:rPr>
              <w:t xml:space="preserve">zur </w:t>
            </w:r>
            <w:r w:rsidR="00257088" w:rsidRPr="00461856">
              <w:rPr>
                <w:i/>
              </w:rPr>
              <w:t>Identifikation</w:t>
            </w:r>
            <w:r w:rsidRPr="00461856">
              <w:rPr>
                <w:i/>
              </w:rPr>
              <w:t xml:space="preserve">, Messung, </w:t>
            </w:r>
            <w:r w:rsidR="00257088" w:rsidRPr="00461856">
              <w:rPr>
                <w:i/>
              </w:rPr>
              <w:t xml:space="preserve">Bewirtschaftung </w:t>
            </w:r>
            <w:r w:rsidRPr="00461856">
              <w:rPr>
                <w:i/>
              </w:rPr>
              <w:t>und Überwachung von Risiken aus grenzüberschreitenden Dienstleistung</w:t>
            </w:r>
            <w:r w:rsidR="00257088" w:rsidRPr="00461856">
              <w:rPr>
                <w:i/>
              </w:rPr>
              <w:t>en</w:t>
            </w:r>
            <w:r w:rsidRPr="00461856">
              <w:rPr>
                <w:i/>
              </w:rPr>
              <w:t xml:space="preserve"> nach Massgabe der Grösse, der Geschäfts</w:t>
            </w:r>
            <w:r w:rsidR="00257088" w:rsidRPr="00461856">
              <w:rPr>
                <w:i/>
              </w:rPr>
              <w:t>-</w:t>
            </w:r>
            <w:r w:rsidRPr="00461856">
              <w:rPr>
                <w:i/>
              </w:rPr>
              <w:t xml:space="preserve"> und Organisationskomplexität und des Compliance-Risikos des Instituts angemessen sind, namentlich</w:t>
            </w:r>
          </w:p>
        </w:tc>
        <w:tc>
          <w:tcPr>
            <w:tcW w:w="3827" w:type="dxa"/>
            <w:shd w:val="clear" w:color="auto" w:fill="auto"/>
          </w:tcPr>
          <w:p w14:paraId="2E61D5FA" w14:textId="77777777" w:rsidR="00501862" w:rsidRPr="00461856" w:rsidRDefault="00501862" w:rsidP="008362E0">
            <w:pPr>
              <w:spacing w:before="120" w:after="120" w:line="240" w:lineRule="auto"/>
              <w:rPr>
                <w:rFonts w:cs="Arial"/>
                <w:sz w:val="16"/>
                <w:szCs w:val="16"/>
              </w:rPr>
            </w:pPr>
          </w:p>
        </w:tc>
        <w:tc>
          <w:tcPr>
            <w:tcW w:w="3090" w:type="dxa"/>
            <w:shd w:val="clear" w:color="auto" w:fill="auto"/>
          </w:tcPr>
          <w:p w14:paraId="7A5AA8AA" w14:textId="77777777" w:rsidR="00501862" w:rsidRPr="001D46BF" w:rsidRDefault="00501862" w:rsidP="008362E0">
            <w:pPr>
              <w:spacing w:before="120" w:after="120" w:line="240" w:lineRule="auto"/>
              <w:rPr>
                <w:rFonts w:cs="Arial"/>
                <w:sz w:val="16"/>
                <w:szCs w:val="16"/>
              </w:rPr>
            </w:pPr>
          </w:p>
        </w:tc>
        <w:tc>
          <w:tcPr>
            <w:tcW w:w="992" w:type="dxa"/>
          </w:tcPr>
          <w:p w14:paraId="03058197" w14:textId="77777777" w:rsidR="00501862" w:rsidRPr="001D46BF" w:rsidRDefault="00501862" w:rsidP="008362E0">
            <w:pPr>
              <w:spacing w:before="120" w:after="120" w:line="240" w:lineRule="auto"/>
              <w:rPr>
                <w:rFonts w:cs="Arial"/>
                <w:sz w:val="16"/>
                <w:szCs w:val="16"/>
              </w:rPr>
            </w:pPr>
          </w:p>
        </w:tc>
      </w:tr>
      <w:tr w:rsidR="00501862" w:rsidRPr="00AF6AA5" w14:paraId="0744E440" w14:textId="77777777" w:rsidTr="00AC243C">
        <w:tc>
          <w:tcPr>
            <w:tcW w:w="528" w:type="dxa"/>
            <w:vMerge w:val="restart"/>
            <w:shd w:val="clear" w:color="auto" w:fill="auto"/>
          </w:tcPr>
          <w:p w14:paraId="6349E350" w14:textId="77777777" w:rsidR="00501862" w:rsidRPr="001D46BF" w:rsidRDefault="00501862" w:rsidP="008362E0">
            <w:pPr>
              <w:spacing w:before="120" w:after="120" w:line="240" w:lineRule="auto"/>
              <w:rPr>
                <w:rFonts w:cs="Arial"/>
                <w:sz w:val="16"/>
                <w:szCs w:val="16"/>
              </w:rPr>
            </w:pPr>
          </w:p>
        </w:tc>
        <w:tc>
          <w:tcPr>
            <w:tcW w:w="1596" w:type="dxa"/>
            <w:vMerge w:val="restart"/>
            <w:shd w:val="clear" w:color="auto" w:fill="auto"/>
          </w:tcPr>
          <w:p w14:paraId="24A24F2B" w14:textId="700DD839" w:rsidR="00501862" w:rsidRPr="001D46BF" w:rsidRDefault="00501862" w:rsidP="008362E0">
            <w:pPr>
              <w:spacing w:before="120" w:after="120" w:line="240" w:lineRule="auto"/>
              <w:rPr>
                <w:rFonts w:cs="Arial"/>
                <w:b/>
                <w:sz w:val="16"/>
                <w:szCs w:val="16"/>
              </w:rPr>
            </w:pPr>
          </w:p>
        </w:tc>
        <w:tc>
          <w:tcPr>
            <w:tcW w:w="4284" w:type="dxa"/>
            <w:shd w:val="clear" w:color="auto" w:fill="auto"/>
          </w:tcPr>
          <w:p w14:paraId="4C4421C1" w14:textId="5497C447" w:rsidR="00501862" w:rsidRPr="00855D58" w:rsidRDefault="00501862" w:rsidP="00F61ADA">
            <w:pPr>
              <w:pStyle w:val="Bullet"/>
              <w:numPr>
                <w:ilvl w:val="0"/>
                <w:numId w:val="0"/>
              </w:numPr>
              <w:spacing w:before="120" w:after="120"/>
            </w:pPr>
            <w:r w:rsidRPr="00F61ADA">
              <w:t xml:space="preserve">Beurteilung, ob die in den internen Richtlinien des Instituts definierten Zielländer </w:t>
            </w:r>
            <w:r w:rsidR="000E2666" w:rsidRPr="00F61ADA">
              <w:t xml:space="preserve">im Einklang mit den bestehenden </w:t>
            </w:r>
            <w:r w:rsidRPr="00F61ADA">
              <w:t>Geschäftstätigkeit</w:t>
            </w:r>
            <w:r w:rsidR="000E2666" w:rsidRPr="00F61ADA">
              <w:t>en</w:t>
            </w:r>
            <w:r w:rsidRPr="00F61ADA">
              <w:t xml:space="preserve"> </w:t>
            </w:r>
            <w:r w:rsidR="004F28D7" w:rsidRPr="00F61ADA">
              <w:t>z.B. grenzüberschreitendes Dienstleistungsmodell</w:t>
            </w:r>
            <w:r w:rsidR="00F61ADA">
              <w:t>,</w:t>
            </w:r>
            <w:r w:rsidR="004F28D7" w:rsidRPr="00F61ADA">
              <w:t xml:space="preserve"> Art der Kunden, Produkte, Dienstleistungen oder Inte</w:t>
            </w:r>
            <w:r w:rsidR="00023A18">
              <w:t>r</w:t>
            </w:r>
            <w:r w:rsidR="004F28D7" w:rsidRPr="00F61ADA">
              <w:t xml:space="preserve">mediäre) </w:t>
            </w:r>
            <w:r w:rsidRPr="00F61ADA">
              <w:t>de</w:t>
            </w:r>
            <w:r w:rsidR="007500D4" w:rsidRPr="00F61ADA">
              <w:t>s Instituts</w:t>
            </w:r>
            <w:r w:rsidRPr="00F61ADA">
              <w:t xml:space="preserve"> </w:t>
            </w:r>
            <w:r w:rsidR="000E2666" w:rsidRPr="00F61ADA">
              <w:t>sind</w:t>
            </w:r>
            <w:r w:rsidRPr="00F61ADA">
              <w:t>.</w:t>
            </w:r>
          </w:p>
        </w:tc>
        <w:tc>
          <w:tcPr>
            <w:tcW w:w="3827" w:type="dxa"/>
            <w:shd w:val="clear" w:color="auto" w:fill="auto"/>
          </w:tcPr>
          <w:p w14:paraId="6CCFC69F" w14:textId="77777777" w:rsidR="00501862" w:rsidRPr="003203D5" w:rsidRDefault="00501862" w:rsidP="008362E0">
            <w:pPr>
              <w:pStyle w:val="Bullet"/>
              <w:numPr>
                <w:ilvl w:val="0"/>
                <w:numId w:val="0"/>
              </w:numPr>
              <w:spacing w:before="120" w:after="120"/>
            </w:pPr>
          </w:p>
        </w:tc>
        <w:tc>
          <w:tcPr>
            <w:tcW w:w="3090" w:type="dxa"/>
            <w:shd w:val="clear" w:color="auto" w:fill="auto"/>
          </w:tcPr>
          <w:p w14:paraId="7A03B5F9" w14:textId="77777777" w:rsidR="00501862" w:rsidRPr="001D46BF" w:rsidRDefault="00501862" w:rsidP="008362E0">
            <w:pPr>
              <w:spacing w:before="120" w:after="120" w:line="240" w:lineRule="auto"/>
              <w:rPr>
                <w:rFonts w:cs="Arial"/>
                <w:sz w:val="16"/>
                <w:szCs w:val="16"/>
              </w:rPr>
            </w:pPr>
          </w:p>
        </w:tc>
        <w:tc>
          <w:tcPr>
            <w:tcW w:w="992" w:type="dxa"/>
          </w:tcPr>
          <w:p w14:paraId="7B69072B" w14:textId="29636D3E" w:rsidR="00501862" w:rsidRPr="001D46BF" w:rsidRDefault="00501862" w:rsidP="008362E0">
            <w:pPr>
              <w:spacing w:before="120" w:after="120" w:line="240" w:lineRule="auto"/>
              <w:rPr>
                <w:rFonts w:cs="Arial"/>
                <w:sz w:val="16"/>
                <w:szCs w:val="16"/>
              </w:rPr>
            </w:pPr>
          </w:p>
        </w:tc>
      </w:tr>
      <w:tr w:rsidR="00501862" w:rsidRPr="00AF6AA5" w14:paraId="50AB3808" w14:textId="77777777" w:rsidTr="00AC243C">
        <w:tc>
          <w:tcPr>
            <w:tcW w:w="528" w:type="dxa"/>
            <w:vMerge/>
            <w:shd w:val="clear" w:color="auto" w:fill="auto"/>
          </w:tcPr>
          <w:p w14:paraId="78F526D1" w14:textId="77777777" w:rsidR="00501862" w:rsidRPr="001D46BF" w:rsidRDefault="00501862" w:rsidP="008362E0">
            <w:pPr>
              <w:spacing w:before="120" w:after="120" w:line="240" w:lineRule="auto"/>
              <w:rPr>
                <w:rFonts w:cs="Arial"/>
                <w:sz w:val="16"/>
                <w:szCs w:val="16"/>
              </w:rPr>
            </w:pPr>
          </w:p>
        </w:tc>
        <w:tc>
          <w:tcPr>
            <w:tcW w:w="1596" w:type="dxa"/>
            <w:vMerge/>
            <w:shd w:val="clear" w:color="auto" w:fill="auto"/>
          </w:tcPr>
          <w:p w14:paraId="6FDF0946" w14:textId="77777777" w:rsidR="00501862" w:rsidRPr="001D46BF" w:rsidRDefault="00501862" w:rsidP="008362E0">
            <w:pPr>
              <w:spacing w:before="120" w:after="120" w:line="240" w:lineRule="auto"/>
              <w:rPr>
                <w:rFonts w:cs="Arial"/>
                <w:b/>
                <w:sz w:val="16"/>
                <w:szCs w:val="16"/>
              </w:rPr>
            </w:pPr>
          </w:p>
        </w:tc>
        <w:tc>
          <w:tcPr>
            <w:tcW w:w="4284" w:type="dxa"/>
            <w:shd w:val="clear" w:color="auto" w:fill="auto"/>
          </w:tcPr>
          <w:p w14:paraId="5A73AB41" w14:textId="67CDD4E9" w:rsidR="00501862" w:rsidRPr="006C19F9" w:rsidRDefault="00501862" w:rsidP="00751132">
            <w:pPr>
              <w:pStyle w:val="Bullet"/>
              <w:numPr>
                <w:ilvl w:val="0"/>
                <w:numId w:val="0"/>
              </w:numPr>
              <w:spacing w:before="120" w:after="120"/>
            </w:pPr>
            <w:r w:rsidRPr="006C19F9">
              <w:t xml:space="preserve">Beurteilung, ob </w:t>
            </w:r>
            <w:r w:rsidR="00EE1D59" w:rsidRPr="006C19F9">
              <w:t>für alle Zielländer länderspezifische Analysen von erfahrenen Länderspezialisten unter Berücksichtigung aller auftretenden wesentlichen Risikoarten</w:t>
            </w:r>
            <w:r w:rsidRPr="006C19F9">
              <w:t xml:space="preserve"> (z.</w:t>
            </w:r>
            <w:r w:rsidR="00EE1D59" w:rsidRPr="006C19F9">
              <w:t> </w:t>
            </w:r>
            <w:r w:rsidRPr="006C19F9">
              <w:t>B. rechtliche, zivilrechtliche, regulatorische Risiken usw.)</w:t>
            </w:r>
            <w:r w:rsidR="00EE1D59" w:rsidRPr="006C19F9">
              <w:t xml:space="preserve"> durchgeführt wurden.</w:t>
            </w:r>
          </w:p>
        </w:tc>
        <w:tc>
          <w:tcPr>
            <w:tcW w:w="3827" w:type="dxa"/>
            <w:shd w:val="clear" w:color="auto" w:fill="auto"/>
          </w:tcPr>
          <w:p w14:paraId="227DBAF3" w14:textId="77777777" w:rsidR="00501862" w:rsidRPr="003203D5" w:rsidRDefault="005A7EA1" w:rsidP="008362E0">
            <w:pPr>
              <w:pStyle w:val="Bullet"/>
              <w:numPr>
                <w:ilvl w:val="0"/>
                <w:numId w:val="0"/>
              </w:numPr>
              <w:spacing w:before="120" w:after="120"/>
            </w:pPr>
            <w:r w:rsidRPr="00F33B1B">
              <w:t>Auswahl einer Stichprobe von Ländermanuals und Überprüfung, ob die globale Geschäftsstrategie und die Dienstleistungsmodelle durchweg im Einklang mit den Ergebnissen der Länderrisikoanalysen definiert wurden</w:t>
            </w:r>
            <w:r w:rsidR="00501862">
              <w:t>.</w:t>
            </w:r>
          </w:p>
        </w:tc>
        <w:tc>
          <w:tcPr>
            <w:tcW w:w="3090" w:type="dxa"/>
            <w:shd w:val="clear" w:color="auto" w:fill="auto"/>
          </w:tcPr>
          <w:p w14:paraId="4C79CA0D" w14:textId="77777777" w:rsidR="00501862" w:rsidRPr="001D46BF" w:rsidRDefault="00501862" w:rsidP="008362E0">
            <w:pPr>
              <w:spacing w:before="120" w:after="120" w:line="240" w:lineRule="auto"/>
              <w:rPr>
                <w:rFonts w:cs="Arial"/>
                <w:sz w:val="16"/>
                <w:szCs w:val="16"/>
              </w:rPr>
            </w:pPr>
          </w:p>
        </w:tc>
        <w:tc>
          <w:tcPr>
            <w:tcW w:w="992" w:type="dxa"/>
          </w:tcPr>
          <w:p w14:paraId="77494364" w14:textId="58CACFF0" w:rsidR="00501862" w:rsidRPr="001D46BF" w:rsidRDefault="00501862" w:rsidP="008362E0">
            <w:pPr>
              <w:spacing w:before="120" w:after="120" w:line="240" w:lineRule="auto"/>
              <w:rPr>
                <w:rFonts w:cs="Arial"/>
                <w:sz w:val="16"/>
                <w:szCs w:val="16"/>
              </w:rPr>
            </w:pPr>
          </w:p>
        </w:tc>
      </w:tr>
      <w:tr w:rsidR="00501862" w:rsidRPr="00AF6AA5" w14:paraId="474C18C8" w14:textId="77777777" w:rsidTr="00AC243C">
        <w:tc>
          <w:tcPr>
            <w:tcW w:w="528" w:type="dxa"/>
            <w:shd w:val="clear" w:color="auto" w:fill="auto"/>
          </w:tcPr>
          <w:p w14:paraId="5391698A" w14:textId="77777777" w:rsidR="00501862" w:rsidRPr="001D46BF" w:rsidRDefault="00501862" w:rsidP="008362E0">
            <w:pPr>
              <w:spacing w:before="120" w:after="120" w:line="240" w:lineRule="auto"/>
              <w:rPr>
                <w:rFonts w:cs="Arial"/>
                <w:sz w:val="16"/>
                <w:szCs w:val="16"/>
              </w:rPr>
            </w:pPr>
          </w:p>
        </w:tc>
        <w:tc>
          <w:tcPr>
            <w:tcW w:w="1596" w:type="dxa"/>
            <w:shd w:val="clear" w:color="auto" w:fill="auto"/>
          </w:tcPr>
          <w:p w14:paraId="0C8ABCC9" w14:textId="77777777" w:rsidR="00501862" w:rsidRPr="001D46BF" w:rsidRDefault="00501862" w:rsidP="008362E0">
            <w:pPr>
              <w:spacing w:before="120" w:after="120" w:line="240" w:lineRule="auto"/>
              <w:rPr>
                <w:rFonts w:cs="Arial"/>
                <w:b/>
                <w:sz w:val="16"/>
                <w:szCs w:val="16"/>
              </w:rPr>
            </w:pPr>
            <w:r>
              <w:rPr>
                <w:b/>
                <w:sz w:val="16"/>
              </w:rPr>
              <w:t>Organisation</w:t>
            </w:r>
          </w:p>
        </w:tc>
        <w:tc>
          <w:tcPr>
            <w:tcW w:w="4284" w:type="dxa"/>
            <w:shd w:val="clear" w:color="auto" w:fill="auto"/>
          </w:tcPr>
          <w:p w14:paraId="417922D7" w14:textId="77777777" w:rsidR="00501862" w:rsidRPr="006C19F9" w:rsidRDefault="00501862" w:rsidP="00A809F2">
            <w:pPr>
              <w:pStyle w:val="Bullet"/>
              <w:numPr>
                <w:ilvl w:val="0"/>
                <w:numId w:val="0"/>
              </w:numPr>
              <w:spacing w:before="120" w:after="120"/>
            </w:pPr>
            <w:r w:rsidRPr="006C19F9">
              <w:t xml:space="preserve">Beurteilung der Angemessenheit des Organisationsmodells für grenzüberschreitende </w:t>
            </w:r>
            <w:r w:rsidR="00A809F2" w:rsidRPr="006C19F9">
              <w:t xml:space="preserve">Aktivitäten </w:t>
            </w:r>
            <w:r w:rsidRPr="006C19F9">
              <w:t xml:space="preserve">(z. B. spezialisierte Abteilungen (Desks) pro Land/Gruppe ähnlicher Länder, spezialisierte Einheit für Intermediäre, Organisationsmodell für Nichtzielländer, Funktionentrennung, Marktreinheit (maximale Anzahl Zielländer, in denen ein Kundenberater Kunden akquirieren und </w:t>
            </w:r>
            <w:r w:rsidR="00A809F2" w:rsidRPr="006C19F9">
              <w:t xml:space="preserve">betreuen </w:t>
            </w:r>
            <w:r w:rsidRPr="006C19F9">
              <w:t>kann) und des Supports durch interne und externe Experten</w:t>
            </w:r>
            <w:r w:rsidR="00873B13" w:rsidRPr="006C19F9">
              <w:t>.</w:t>
            </w:r>
          </w:p>
        </w:tc>
        <w:tc>
          <w:tcPr>
            <w:tcW w:w="3827" w:type="dxa"/>
            <w:shd w:val="clear" w:color="auto" w:fill="auto"/>
          </w:tcPr>
          <w:p w14:paraId="5F3A784E" w14:textId="77777777" w:rsidR="00501862" w:rsidRPr="001D46BF" w:rsidRDefault="00501862" w:rsidP="008362E0">
            <w:pPr>
              <w:autoSpaceDE w:val="0"/>
              <w:autoSpaceDN w:val="0"/>
              <w:adjustRightInd w:val="0"/>
              <w:spacing w:before="120" w:after="120" w:line="240" w:lineRule="auto"/>
              <w:jc w:val="both"/>
            </w:pPr>
          </w:p>
        </w:tc>
        <w:tc>
          <w:tcPr>
            <w:tcW w:w="3090" w:type="dxa"/>
            <w:shd w:val="clear" w:color="auto" w:fill="auto"/>
          </w:tcPr>
          <w:p w14:paraId="61263F3F" w14:textId="77777777" w:rsidR="00501862" w:rsidRPr="001D46BF" w:rsidRDefault="00501862" w:rsidP="008362E0">
            <w:pPr>
              <w:spacing w:before="120" w:after="120" w:line="240" w:lineRule="auto"/>
              <w:rPr>
                <w:rFonts w:cs="Arial"/>
                <w:sz w:val="16"/>
                <w:szCs w:val="16"/>
              </w:rPr>
            </w:pPr>
          </w:p>
        </w:tc>
        <w:tc>
          <w:tcPr>
            <w:tcW w:w="992" w:type="dxa"/>
          </w:tcPr>
          <w:p w14:paraId="135537D8" w14:textId="7798012D" w:rsidR="00501862" w:rsidRPr="001D46BF" w:rsidRDefault="00501862" w:rsidP="008362E0">
            <w:pPr>
              <w:spacing w:before="120" w:after="120" w:line="240" w:lineRule="auto"/>
              <w:rPr>
                <w:rFonts w:cs="Arial"/>
                <w:sz w:val="16"/>
                <w:szCs w:val="16"/>
              </w:rPr>
            </w:pPr>
          </w:p>
        </w:tc>
      </w:tr>
      <w:tr w:rsidR="00501862" w:rsidRPr="00231C9C" w14:paraId="0F495C62" w14:textId="77777777" w:rsidTr="00AC243C">
        <w:trPr>
          <w:trHeight w:val="1273"/>
        </w:trPr>
        <w:tc>
          <w:tcPr>
            <w:tcW w:w="528" w:type="dxa"/>
            <w:shd w:val="clear" w:color="auto" w:fill="auto"/>
          </w:tcPr>
          <w:p w14:paraId="4D5F9D27" w14:textId="24226EFE" w:rsidR="00501862" w:rsidRPr="00065FBB" w:rsidRDefault="00501862" w:rsidP="008362E0">
            <w:pPr>
              <w:spacing w:before="120" w:after="120" w:line="240" w:lineRule="auto"/>
              <w:rPr>
                <w:rFonts w:cs="Arial"/>
                <w:sz w:val="16"/>
                <w:szCs w:val="16"/>
              </w:rPr>
            </w:pPr>
          </w:p>
        </w:tc>
        <w:tc>
          <w:tcPr>
            <w:tcW w:w="1596" w:type="dxa"/>
            <w:shd w:val="clear" w:color="auto" w:fill="auto"/>
          </w:tcPr>
          <w:p w14:paraId="681CBB9B" w14:textId="77777777" w:rsidR="00501862" w:rsidRDefault="00501862" w:rsidP="008362E0">
            <w:pPr>
              <w:spacing w:before="120" w:after="120" w:line="240" w:lineRule="auto"/>
              <w:rPr>
                <w:rFonts w:cs="Arial"/>
                <w:b/>
                <w:sz w:val="16"/>
                <w:szCs w:val="16"/>
              </w:rPr>
            </w:pPr>
            <w:r>
              <w:rPr>
                <w:b/>
                <w:sz w:val="16"/>
              </w:rPr>
              <w:t>Vermögensverwalter und Intermediäre</w:t>
            </w:r>
          </w:p>
        </w:tc>
        <w:tc>
          <w:tcPr>
            <w:tcW w:w="4284" w:type="dxa"/>
            <w:shd w:val="clear" w:color="auto" w:fill="auto"/>
          </w:tcPr>
          <w:p w14:paraId="31560C5D" w14:textId="77777777" w:rsidR="00501862" w:rsidRPr="006C19F9" w:rsidRDefault="00501862" w:rsidP="008362E0">
            <w:pPr>
              <w:pStyle w:val="Bullet"/>
              <w:numPr>
                <w:ilvl w:val="0"/>
                <w:numId w:val="0"/>
              </w:numPr>
              <w:spacing w:before="120" w:after="120"/>
            </w:pPr>
            <w:r w:rsidRPr="006C19F9">
              <w:t xml:space="preserve">Beurteilung, ob </w:t>
            </w:r>
            <w:r w:rsidR="00F06510" w:rsidRPr="006C19F9">
              <w:t xml:space="preserve">die </w:t>
            </w:r>
            <w:r w:rsidRPr="006C19F9">
              <w:t xml:space="preserve">Richtlinien, </w:t>
            </w:r>
            <w:r w:rsidR="00B454D1" w:rsidRPr="006C19F9">
              <w:t xml:space="preserve">Prozesse </w:t>
            </w:r>
            <w:r w:rsidRPr="006C19F9">
              <w:t xml:space="preserve">und </w:t>
            </w:r>
            <w:r w:rsidR="00B454D1" w:rsidRPr="006C19F9">
              <w:t xml:space="preserve">die </w:t>
            </w:r>
            <w:r w:rsidRPr="006C19F9">
              <w:t xml:space="preserve">Dokumentation </w:t>
            </w:r>
            <w:r w:rsidR="00F06510" w:rsidRPr="006C19F9">
              <w:t xml:space="preserve">in Bezug auf </w:t>
            </w:r>
            <w:r w:rsidRPr="006C19F9">
              <w:t xml:space="preserve">externe Vermögensverwalter und </w:t>
            </w:r>
            <w:r w:rsidR="0031363D" w:rsidRPr="006C19F9">
              <w:t>andere</w:t>
            </w:r>
            <w:r w:rsidR="00B454D1" w:rsidRPr="006C19F9">
              <w:t xml:space="preserve"> </w:t>
            </w:r>
            <w:r w:rsidRPr="006C19F9">
              <w:t xml:space="preserve">Intermediäre angemessen sind, zum Beispiel </w:t>
            </w:r>
          </w:p>
          <w:p w14:paraId="4D252A92" w14:textId="23472688" w:rsidR="00501862" w:rsidRPr="006C19F9" w:rsidRDefault="00501862" w:rsidP="008362E0">
            <w:pPr>
              <w:pStyle w:val="EGABox1"/>
              <w:numPr>
                <w:ilvl w:val="3"/>
                <w:numId w:val="16"/>
              </w:numPr>
              <w:spacing w:before="120" w:after="120" w:line="240" w:lineRule="auto"/>
              <w:ind w:left="227" w:hanging="227"/>
              <w:rPr>
                <w:rFonts w:ascii="Arial" w:hAnsi="Arial"/>
                <w:sz w:val="16"/>
                <w:szCs w:val="16"/>
              </w:rPr>
            </w:pPr>
            <w:r w:rsidRPr="005D4968">
              <w:rPr>
                <w:rFonts w:ascii="Arial" w:hAnsi="Arial"/>
                <w:sz w:val="16"/>
              </w:rPr>
              <w:t>Richtlinie</w:t>
            </w:r>
            <w:r w:rsidRPr="006C19F9">
              <w:rPr>
                <w:rFonts w:ascii="Arial" w:hAnsi="Arial"/>
                <w:sz w:val="16"/>
              </w:rPr>
              <w:t xml:space="preserve"> für die Betreuung externer Vermögensverwalter</w:t>
            </w:r>
          </w:p>
          <w:p w14:paraId="25DEF443" w14:textId="77777777" w:rsidR="00501862" w:rsidRPr="006C19F9" w:rsidRDefault="00B454D1" w:rsidP="008362E0">
            <w:pPr>
              <w:pStyle w:val="EGABox1"/>
              <w:numPr>
                <w:ilvl w:val="3"/>
                <w:numId w:val="16"/>
              </w:numPr>
              <w:spacing w:before="120" w:after="120" w:line="240" w:lineRule="auto"/>
              <w:ind w:left="227" w:hanging="227"/>
              <w:rPr>
                <w:rFonts w:ascii="Arial" w:hAnsi="Arial"/>
                <w:sz w:val="16"/>
                <w:szCs w:val="16"/>
              </w:rPr>
            </w:pPr>
            <w:r w:rsidRPr="006C19F9">
              <w:rPr>
                <w:rFonts w:ascii="Arial" w:hAnsi="Arial"/>
                <w:sz w:val="16"/>
              </w:rPr>
              <w:t xml:space="preserve">Prozess </w:t>
            </w:r>
            <w:r w:rsidR="00501862" w:rsidRPr="006C19F9">
              <w:rPr>
                <w:rFonts w:ascii="Arial" w:hAnsi="Arial"/>
                <w:sz w:val="16"/>
              </w:rPr>
              <w:t xml:space="preserve">für die Auswahl, Instruktion und Überwachung externer Vermögensverwalter im Allgemeinen </w:t>
            </w:r>
            <w:r w:rsidR="00A30EB8" w:rsidRPr="006C19F9">
              <w:rPr>
                <w:rFonts w:ascii="Arial" w:hAnsi="Arial"/>
                <w:sz w:val="16"/>
              </w:rPr>
              <w:t xml:space="preserve">und </w:t>
            </w:r>
            <w:r w:rsidR="00F13366" w:rsidRPr="006C19F9">
              <w:rPr>
                <w:rFonts w:ascii="Arial" w:hAnsi="Arial"/>
                <w:sz w:val="16"/>
              </w:rPr>
              <w:t>bezüglich der Einhaltung der</w:t>
            </w:r>
            <w:r w:rsidR="005B17C7" w:rsidRPr="006C19F9">
              <w:rPr>
                <w:rFonts w:ascii="Arial" w:hAnsi="Arial"/>
                <w:sz w:val="16"/>
              </w:rPr>
              <w:t xml:space="preserve"> </w:t>
            </w:r>
            <w:r w:rsidR="00501862" w:rsidRPr="006C19F9">
              <w:rPr>
                <w:rFonts w:ascii="Arial" w:hAnsi="Arial"/>
                <w:sz w:val="16"/>
              </w:rPr>
              <w:t xml:space="preserve">Strategie / Regeln </w:t>
            </w:r>
            <w:r w:rsidR="00D27630" w:rsidRPr="006C19F9">
              <w:rPr>
                <w:rFonts w:ascii="Arial" w:hAnsi="Arial"/>
                <w:sz w:val="16"/>
              </w:rPr>
              <w:t xml:space="preserve">des Instituts </w:t>
            </w:r>
            <w:r w:rsidR="00F13366" w:rsidRPr="006C19F9">
              <w:rPr>
                <w:rFonts w:ascii="Arial" w:hAnsi="Arial"/>
                <w:sz w:val="16"/>
              </w:rPr>
              <w:t>zu</w:t>
            </w:r>
            <w:r w:rsidR="00D27630" w:rsidRPr="006C19F9">
              <w:rPr>
                <w:rFonts w:ascii="Arial" w:hAnsi="Arial"/>
                <w:sz w:val="16"/>
              </w:rPr>
              <w:t xml:space="preserve"> grenzüberschreitende</w:t>
            </w:r>
            <w:r w:rsidR="00F13366" w:rsidRPr="006C19F9">
              <w:rPr>
                <w:rFonts w:ascii="Arial" w:hAnsi="Arial"/>
                <w:sz w:val="16"/>
              </w:rPr>
              <w:t>n</w:t>
            </w:r>
            <w:r w:rsidR="00D27630" w:rsidRPr="006C19F9">
              <w:rPr>
                <w:rFonts w:ascii="Arial" w:hAnsi="Arial"/>
                <w:sz w:val="16"/>
              </w:rPr>
              <w:t xml:space="preserve"> Aktivitäten</w:t>
            </w:r>
          </w:p>
          <w:p w14:paraId="754D8448" w14:textId="77777777" w:rsidR="00501862" w:rsidRPr="006C19F9" w:rsidRDefault="00F06510" w:rsidP="008362E0">
            <w:pPr>
              <w:pStyle w:val="EGABox1"/>
              <w:numPr>
                <w:ilvl w:val="3"/>
                <w:numId w:val="16"/>
              </w:numPr>
              <w:spacing w:before="120" w:after="120" w:line="240" w:lineRule="auto"/>
              <w:ind w:left="227" w:hanging="227"/>
              <w:rPr>
                <w:rFonts w:ascii="Arial" w:hAnsi="Arial"/>
                <w:b/>
                <w:sz w:val="16"/>
                <w:szCs w:val="16"/>
              </w:rPr>
            </w:pPr>
            <w:r w:rsidRPr="006C19F9">
              <w:rPr>
                <w:rFonts w:ascii="Arial" w:hAnsi="Arial"/>
                <w:sz w:val="16"/>
              </w:rPr>
              <w:t xml:space="preserve">eine </w:t>
            </w:r>
            <w:r w:rsidR="00501862" w:rsidRPr="006C19F9">
              <w:rPr>
                <w:rFonts w:ascii="Arial" w:hAnsi="Arial"/>
                <w:sz w:val="16"/>
              </w:rPr>
              <w:t xml:space="preserve">dokumentierte Analyse der Geschäftstätigkeit, </w:t>
            </w:r>
            <w:r w:rsidR="00425308" w:rsidRPr="006C19F9">
              <w:rPr>
                <w:rFonts w:ascii="Arial" w:hAnsi="Arial"/>
                <w:sz w:val="16"/>
              </w:rPr>
              <w:t xml:space="preserve">der </w:t>
            </w:r>
            <w:r w:rsidR="00501862" w:rsidRPr="006C19F9">
              <w:rPr>
                <w:rFonts w:ascii="Arial" w:hAnsi="Arial"/>
                <w:sz w:val="16"/>
              </w:rPr>
              <w:t xml:space="preserve">finanziellen </w:t>
            </w:r>
            <w:r w:rsidR="00F13366" w:rsidRPr="006C19F9">
              <w:rPr>
                <w:rFonts w:ascii="Arial" w:hAnsi="Arial"/>
                <w:sz w:val="16"/>
              </w:rPr>
              <w:t>Lage</w:t>
            </w:r>
            <w:r w:rsidR="00501862" w:rsidRPr="006C19F9">
              <w:rPr>
                <w:rFonts w:ascii="Arial" w:hAnsi="Arial"/>
                <w:sz w:val="16"/>
              </w:rPr>
              <w:t xml:space="preserve">, </w:t>
            </w:r>
            <w:r w:rsidRPr="006C19F9">
              <w:rPr>
                <w:rFonts w:ascii="Arial" w:hAnsi="Arial"/>
                <w:sz w:val="16"/>
              </w:rPr>
              <w:t xml:space="preserve">der </w:t>
            </w:r>
            <w:r w:rsidR="00501862" w:rsidRPr="006C19F9">
              <w:rPr>
                <w:rFonts w:ascii="Arial" w:hAnsi="Arial"/>
                <w:sz w:val="16"/>
              </w:rPr>
              <w:t xml:space="preserve">Risikopolitik, Organisation und </w:t>
            </w:r>
            <w:r w:rsidRPr="006C19F9">
              <w:rPr>
                <w:rFonts w:ascii="Arial" w:hAnsi="Arial"/>
                <w:sz w:val="16"/>
              </w:rPr>
              <w:t xml:space="preserve">des regulatorischen Status </w:t>
            </w:r>
            <w:r w:rsidR="00501862" w:rsidRPr="006C19F9">
              <w:rPr>
                <w:rFonts w:ascii="Arial" w:hAnsi="Arial"/>
                <w:sz w:val="16"/>
              </w:rPr>
              <w:t>der</w:t>
            </w:r>
            <w:r w:rsidRPr="006C19F9">
              <w:rPr>
                <w:rFonts w:ascii="Arial" w:hAnsi="Arial"/>
                <w:sz w:val="16"/>
              </w:rPr>
              <w:t xml:space="preserve"> </w:t>
            </w:r>
            <w:r w:rsidR="00501862" w:rsidRPr="006C19F9">
              <w:rPr>
                <w:rFonts w:ascii="Arial" w:hAnsi="Arial"/>
                <w:sz w:val="16"/>
              </w:rPr>
              <w:t>Intermediäre</w:t>
            </w:r>
          </w:p>
          <w:p w14:paraId="6D8449B2" w14:textId="264D49AA" w:rsidR="00501862" w:rsidRPr="006C19F9" w:rsidRDefault="00501862" w:rsidP="00BF1681">
            <w:pPr>
              <w:pStyle w:val="EGABox1"/>
              <w:numPr>
                <w:ilvl w:val="3"/>
                <w:numId w:val="16"/>
              </w:numPr>
              <w:spacing w:before="120" w:after="120" w:line="240" w:lineRule="auto"/>
              <w:ind w:left="227" w:hanging="227"/>
              <w:rPr>
                <w:rFonts w:ascii="Arial" w:hAnsi="Arial"/>
                <w:b/>
                <w:sz w:val="16"/>
                <w:szCs w:val="16"/>
              </w:rPr>
            </w:pPr>
            <w:r w:rsidRPr="006C19F9">
              <w:rPr>
                <w:rFonts w:ascii="Arial" w:hAnsi="Arial"/>
                <w:sz w:val="16"/>
              </w:rPr>
              <w:t xml:space="preserve">schriftliche Verträge mit den Intermediären, inklusive Umfang der erlaubten / verbotenen Dienstleistungen </w:t>
            </w:r>
            <w:r w:rsidR="007B2738" w:rsidRPr="006C19F9">
              <w:rPr>
                <w:rFonts w:ascii="Arial" w:hAnsi="Arial"/>
                <w:sz w:val="16"/>
              </w:rPr>
              <w:t xml:space="preserve">und Produkte </w:t>
            </w:r>
            <w:r w:rsidRPr="006C19F9">
              <w:rPr>
                <w:rFonts w:ascii="Arial" w:hAnsi="Arial"/>
                <w:sz w:val="16"/>
              </w:rPr>
              <w:t>pro Land, geltende Regeln, Honorar</w:t>
            </w:r>
          </w:p>
        </w:tc>
        <w:tc>
          <w:tcPr>
            <w:tcW w:w="3827" w:type="dxa"/>
            <w:shd w:val="clear" w:color="auto" w:fill="auto"/>
          </w:tcPr>
          <w:p w14:paraId="070C12DA" w14:textId="77777777" w:rsidR="00501862" w:rsidRPr="006643B1" w:rsidRDefault="001966E2" w:rsidP="008362E0">
            <w:pPr>
              <w:pStyle w:val="Bullet"/>
              <w:numPr>
                <w:ilvl w:val="0"/>
                <w:numId w:val="0"/>
              </w:numPr>
              <w:spacing w:before="120" w:after="120"/>
            </w:pPr>
            <w:r w:rsidRPr="006643B1">
              <w:t>Überprüfung</w:t>
            </w:r>
            <w:r w:rsidRPr="006643B1">
              <w:rPr>
                <w:u w:val="single"/>
              </w:rPr>
              <w:t xml:space="preserve"> </w:t>
            </w:r>
            <w:r w:rsidRPr="006643B1">
              <w:t>der</w:t>
            </w:r>
            <w:r w:rsidR="00501862" w:rsidRPr="006643B1">
              <w:t xml:space="preserve"> Aufnahme, </w:t>
            </w:r>
            <w:r w:rsidRPr="006643B1">
              <w:t xml:space="preserve">Wiedervorlage </w:t>
            </w:r>
            <w:r w:rsidR="00501862" w:rsidRPr="006643B1">
              <w:t xml:space="preserve">und Überwachung der Zusammenarbeit mit externen Vermögensverwaltern und </w:t>
            </w:r>
            <w:r w:rsidRPr="006643B1">
              <w:t>anderen</w:t>
            </w:r>
            <w:r w:rsidR="004A1FC2" w:rsidRPr="006643B1">
              <w:t xml:space="preserve"> </w:t>
            </w:r>
            <w:r w:rsidR="00501862" w:rsidRPr="006643B1">
              <w:t xml:space="preserve">Intermediären </w:t>
            </w:r>
            <w:r w:rsidRPr="006643B1">
              <w:t xml:space="preserve">(einschl. der von ihnen betreuten Kunden) auf </w:t>
            </w:r>
            <w:r w:rsidR="006C19F9">
              <w:t>S</w:t>
            </w:r>
            <w:r w:rsidRPr="006643B1">
              <w:t>tichprobenbasis</w:t>
            </w:r>
            <w:r w:rsidR="00873B13" w:rsidRPr="006643B1">
              <w:t>.</w:t>
            </w:r>
          </w:p>
          <w:p w14:paraId="753BD8EF" w14:textId="77777777" w:rsidR="00501862" w:rsidRPr="006643B1" w:rsidRDefault="001B2832">
            <w:pPr>
              <w:pStyle w:val="Bullet"/>
              <w:numPr>
                <w:ilvl w:val="0"/>
                <w:numId w:val="0"/>
              </w:numPr>
              <w:spacing w:before="120" w:after="120"/>
            </w:pPr>
            <w:r w:rsidRPr="00791040">
              <w:t>Bei e</w:t>
            </w:r>
            <w:r w:rsidR="00501862" w:rsidRPr="00791040">
              <w:t>ine</w:t>
            </w:r>
            <w:r w:rsidRPr="00791040">
              <w:t>r</w:t>
            </w:r>
            <w:r w:rsidR="00501862" w:rsidRPr="00791040">
              <w:t xml:space="preserve"> Auswahl </w:t>
            </w:r>
            <w:r w:rsidRPr="00791040">
              <w:t xml:space="preserve">an </w:t>
            </w:r>
            <w:r w:rsidR="00501862" w:rsidRPr="00791040">
              <w:t xml:space="preserve">Kundenbeziehungen </w:t>
            </w:r>
            <w:r w:rsidRPr="00791040">
              <w:t xml:space="preserve">von </w:t>
            </w:r>
            <w:r w:rsidR="00501862" w:rsidRPr="00791040">
              <w:t>externen Vermögensverwalter</w:t>
            </w:r>
            <w:r w:rsidRPr="00791040">
              <w:t>n</w:t>
            </w:r>
            <w:r w:rsidR="00501862" w:rsidRPr="00791040">
              <w:t xml:space="preserve"> prüfen, ob sie </w:t>
            </w:r>
            <w:r w:rsidRPr="00791040">
              <w:t>die</w:t>
            </w:r>
            <w:r w:rsidR="00501862" w:rsidRPr="00791040">
              <w:t xml:space="preserve"> internen Richtlinien und Regelungen </w:t>
            </w:r>
            <w:r w:rsidRPr="00791040">
              <w:t xml:space="preserve">des Instituts </w:t>
            </w:r>
            <w:r w:rsidR="00130AD3" w:rsidRPr="00791040">
              <w:t>einschliesslich der</w:t>
            </w:r>
            <w:r w:rsidRPr="00791040">
              <w:t xml:space="preserve"> Strategie und </w:t>
            </w:r>
            <w:r w:rsidR="00130AD3" w:rsidRPr="00791040">
              <w:t xml:space="preserve">der </w:t>
            </w:r>
            <w:r w:rsidRPr="00791040">
              <w:t xml:space="preserve">Regeln im Zusammenhang mit </w:t>
            </w:r>
            <w:r w:rsidR="00501862" w:rsidRPr="00791040">
              <w:t xml:space="preserve">grenzüberschreitenden </w:t>
            </w:r>
            <w:r w:rsidRPr="00791040">
              <w:t xml:space="preserve">Aktivitäten </w:t>
            </w:r>
            <w:r w:rsidR="00A57F87" w:rsidRPr="00791040">
              <w:t>einhalten</w:t>
            </w:r>
            <w:r w:rsidR="00501862" w:rsidRPr="00791040">
              <w:t>.</w:t>
            </w:r>
          </w:p>
        </w:tc>
        <w:tc>
          <w:tcPr>
            <w:tcW w:w="3090" w:type="dxa"/>
            <w:shd w:val="clear" w:color="auto" w:fill="auto"/>
          </w:tcPr>
          <w:p w14:paraId="13FE3B51" w14:textId="77777777" w:rsidR="00501862" w:rsidRPr="001D46BF" w:rsidRDefault="00501862" w:rsidP="008362E0">
            <w:pPr>
              <w:spacing w:before="120" w:after="120" w:line="240" w:lineRule="auto"/>
              <w:rPr>
                <w:rFonts w:cs="Arial"/>
                <w:sz w:val="16"/>
                <w:szCs w:val="16"/>
              </w:rPr>
            </w:pPr>
          </w:p>
        </w:tc>
        <w:tc>
          <w:tcPr>
            <w:tcW w:w="992" w:type="dxa"/>
          </w:tcPr>
          <w:p w14:paraId="1B365AE2" w14:textId="6606711E" w:rsidR="00501862" w:rsidRPr="005B6531" w:rsidRDefault="00501862" w:rsidP="008362E0">
            <w:pPr>
              <w:spacing w:before="120" w:after="120" w:line="240" w:lineRule="auto"/>
              <w:rPr>
                <w:rFonts w:cs="Arial"/>
                <w:sz w:val="16"/>
                <w:szCs w:val="16"/>
              </w:rPr>
            </w:pPr>
          </w:p>
        </w:tc>
      </w:tr>
      <w:tr w:rsidR="00501862" w:rsidRPr="00AF6AA5" w14:paraId="4211FA18" w14:textId="77777777" w:rsidTr="00AC243C">
        <w:tc>
          <w:tcPr>
            <w:tcW w:w="528" w:type="dxa"/>
            <w:shd w:val="clear" w:color="auto" w:fill="auto"/>
          </w:tcPr>
          <w:p w14:paraId="0C69CBA2" w14:textId="77777777" w:rsidR="00501862" w:rsidRPr="005B6531" w:rsidRDefault="00501862" w:rsidP="008362E0">
            <w:pPr>
              <w:spacing w:before="120" w:after="120" w:line="240" w:lineRule="auto"/>
              <w:rPr>
                <w:rFonts w:cs="Arial"/>
                <w:sz w:val="16"/>
                <w:szCs w:val="16"/>
              </w:rPr>
            </w:pPr>
          </w:p>
        </w:tc>
        <w:tc>
          <w:tcPr>
            <w:tcW w:w="1596" w:type="dxa"/>
            <w:shd w:val="clear" w:color="auto" w:fill="auto"/>
          </w:tcPr>
          <w:p w14:paraId="51B5C9E3" w14:textId="77777777" w:rsidR="00501862" w:rsidRPr="001D46BF" w:rsidRDefault="00501862" w:rsidP="008362E0">
            <w:pPr>
              <w:spacing w:before="120" w:after="120" w:line="240" w:lineRule="auto"/>
              <w:rPr>
                <w:rFonts w:cs="Arial"/>
                <w:b/>
                <w:sz w:val="16"/>
                <w:szCs w:val="16"/>
              </w:rPr>
            </w:pPr>
            <w:r w:rsidRPr="00463E70">
              <w:rPr>
                <w:b/>
                <w:sz w:val="16"/>
              </w:rPr>
              <w:t>Überwachung</w:t>
            </w:r>
            <w:r>
              <w:rPr>
                <w:b/>
                <w:sz w:val="16"/>
              </w:rPr>
              <w:t xml:space="preserve"> </w:t>
            </w:r>
          </w:p>
        </w:tc>
        <w:tc>
          <w:tcPr>
            <w:tcW w:w="4284" w:type="dxa"/>
            <w:shd w:val="clear" w:color="auto" w:fill="auto"/>
          </w:tcPr>
          <w:p w14:paraId="460EE09B" w14:textId="77777777" w:rsidR="00501862" w:rsidRPr="006C19F9" w:rsidRDefault="00501862" w:rsidP="003D2F24">
            <w:pPr>
              <w:pStyle w:val="Bullet"/>
              <w:numPr>
                <w:ilvl w:val="0"/>
                <w:numId w:val="0"/>
              </w:numPr>
              <w:spacing w:before="120" w:after="120"/>
            </w:pPr>
            <w:r w:rsidRPr="006C19F9">
              <w:t xml:space="preserve">Beurteilen, ob die Geschäftsleitung und der Verwaltungsrat angemessene periodische </w:t>
            </w:r>
            <w:r w:rsidR="00C84EF2" w:rsidRPr="006C19F9">
              <w:t>Managementb</w:t>
            </w:r>
            <w:r w:rsidRPr="006C19F9">
              <w:t>erichte erhalten (z.</w:t>
            </w:r>
            <w:r w:rsidR="00BF6BEF" w:rsidRPr="006C19F9">
              <w:t> </w:t>
            </w:r>
            <w:r w:rsidRPr="006C19F9">
              <w:t xml:space="preserve">B. </w:t>
            </w:r>
            <w:r w:rsidR="00BF6BEF" w:rsidRPr="006C19F9">
              <w:t>grösste R</w:t>
            </w:r>
            <w:r w:rsidRPr="006C19F9">
              <w:t xml:space="preserve">isiken, Kundenvolumen </w:t>
            </w:r>
            <w:r w:rsidR="003D2F24" w:rsidRPr="006C19F9">
              <w:t>pro</w:t>
            </w:r>
            <w:r w:rsidR="00BF6BEF" w:rsidRPr="006C19F9">
              <w:t xml:space="preserve"> </w:t>
            </w:r>
            <w:r w:rsidRPr="006C19F9">
              <w:t xml:space="preserve">Markt, Volumen </w:t>
            </w:r>
            <w:r w:rsidR="00BF6BEF" w:rsidRPr="006C19F9">
              <w:t xml:space="preserve">nach </w:t>
            </w:r>
            <w:r w:rsidRPr="006C19F9">
              <w:t>Intermediär</w:t>
            </w:r>
            <w:r w:rsidR="00D62382" w:rsidRPr="006C19F9">
              <w:t>en</w:t>
            </w:r>
            <w:r w:rsidRPr="006C19F9">
              <w:t>, erzielte Fortschritte</w:t>
            </w:r>
            <w:r w:rsidR="00BF6BEF" w:rsidRPr="006C19F9">
              <w:t xml:space="preserve"> im Vergleich zu strategischen Plänen</w:t>
            </w:r>
            <w:r w:rsidRPr="006C19F9">
              <w:t xml:space="preserve">, </w:t>
            </w:r>
            <w:r w:rsidRPr="003C2978">
              <w:t xml:space="preserve">Aktualisierung </w:t>
            </w:r>
            <w:r w:rsidRPr="006C19F9">
              <w:t>der Länder</w:t>
            </w:r>
            <w:r w:rsidR="0059704C" w:rsidRPr="006C19F9">
              <w:t>manuals</w:t>
            </w:r>
            <w:r w:rsidRPr="006C19F9">
              <w:t>, Schulungsstatistiken).</w:t>
            </w:r>
          </w:p>
        </w:tc>
        <w:tc>
          <w:tcPr>
            <w:tcW w:w="3827" w:type="dxa"/>
            <w:shd w:val="clear" w:color="auto" w:fill="auto"/>
          </w:tcPr>
          <w:p w14:paraId="43CB7DAA" w14:textId="77777777" w:rsidR="00501862" w:rsidRPr="001D46BF" w:rsidRDefault="00501862" w:rsidP="008362E0">
            <w:pPr>
              <w:pStyle w:val="Bullet"/>
              <w:numPr>
                <w:ilvl w:val="0"/>
                <w:numId w:val="0"/>
              </w:numPr>
              <w:spacing w:before="120" w:after="120"/>
            </w:pPr>
          </w:p>
        </w:tc>
        <w:tc>
          <w:tcPr>
            <w:tcW w:w="3090" w:type="dxa"/>
            <w:shd w:val="clear" w:color="auto" w:fill="auto"/>
          </w:tcPr>
          <w:p w14:paraId="70A0B70D" w14:textId="77777777" w:rsidR="00501862" w:rsidRPr="001D46BF" w:rsidRDefault="00501862" w:rsidP="008362E0">
            <w:pPr>
              <w:spacing w:before="120" w:after="120" w:line="240" w:lineRule="auto"/>
              <w:rPr>
                <w:rFonts w:cs="Arial"/>
                <w:sz w:val="16"/>
                <w:szCs w:val="16"/>
              </w:rPr>
            </w:pPr>
          </w:p>
        </w:tc>
        <w:tc>
          <w:tcPr>
            <w:tcW w:w="992" w:type="dxa"/>
          </w:tcPr>
          <w:p w14:paraId="609B54D3" w14:textId="77777777" w:rsidR="00501862" w:rsidRPr="001D46BF" w:rsidRDefault="00501862" w:rsidP="008362E0">
            <w:pPr>
              <w:spacing w:before="120" w:after="120" w:line="240" w:lineRule="auto"/>
              <w:rPr>
                <w:rFonts w:cs="Arial"/>
                <w:sz w:val="16"/>
                <w:szCs w:val="16"/>
              </w:rPr>
            </w:pPr>
          </w:p>
        </w:tc>
      </w:tr>
      <w:tr w:rsidR="00501862" w:rsidRPr="00A030F9" w14:paraId="69F3A168" w14:textId="77777777" w:rsidTr="00AC243C">
        <w:tc>
          <w:tcPr>
            <w:tcW w:w="528" w:type="dxa"/>
            <w:shd w:val="clear" w:color="auto" w:fill="auto"/>
          </w:tcPr>
          <w:p w14:paraId="46B44395" w14:textId="77777777" w:rsidR="00501862" w:rsidRPr="001D46BF" w:rsidRDefault="00501862" w:rsidP="008362E0">
            <w:pPr>
              <w:spacing w:before="120" w:after="120" w:line="240" w:lineRule="auto"/>
              <w:rPr>
                <w:rFonts w:cs="Arial"/>
                <w:sz w:val="16"/>
                <w:szCs w:val="16"/>
              </w:rPr>
            </w:pPr>
          </w:p>
        </w:tc>
        <w:tc>
          <w:tcPr>
            <w:tcW w:w="1596" w:type="dxa"/>
            <w:shd w:val="clear" w:color="auto" w:fill="auto"/>
          </w:tcPr>
          <w:p w14:paraId="0C91954E" w14:textId="77777777" w:rsidR="00501862" w:rsidRPr="00E21810" w:rsidRDefault="00501862" w:rsidP="008362E0">
            <w:pPr>
              <w:spacing w:before="120" w:after="120" w:line="240" w:lineRule="auto"/>
              <w:rPr>
                <w:rFonts w:cs="Arial"/>
                <w:b/>
                <w:sz w:val="16"/>
                <w:szCs w:val="16"/>
              </w:rPr>
            </w:pPr>
            <w:r>
              <w:rPr>
                <w:b/>
                <w:sz w:val="16"/>
              </w:rPr>
              <w:t>Schulung und Ausbildung</w:t>
            </w:r>
          </w:p>
        </w:tc>
        <w:tc>
          <w:tcPr>
            <w:tcW w:w="4284" w:type="dxa"/>
            <w:shd w:val="clear" w:color="auto" w:fill="auto"/>
          </w:tcPr>
          <w:p w14:paraId="4C4AE0A6" w14:textId="03E2108D" w:rsidR="00501862" w:rsidRPr="006643B1" w:rsidRDefault="00501862">
            <w:pPr>
              <w:pStyle w:val="Bullet"/>
              <w:numPr>
                <w:ilvl w:val="0"/>
                <w:numId w:val="0"/>
              </w:numPr>
              <w:spacing w:before="120" w:after="120"/>
            </w:pPr>
            <w:r w:rsidRPr="00791040">
              <w:t>Beurteilen, ob die Schulungen</w:t>
            </w:r>
            <w:r w:rsidR="003D2F24" w:rsidRPr="00791040">
              <w:t xml:space="preserve"> zu grenzüberschreitenden Aktivitäten </w:t>
            </w:r>
            <w:r w:rsidRPr="00791040">
              <w:t xml:space="preserve">(Umfang, Häufigkeit, Instruktoren, Aktualität, interne Kontrollen) für Mitarbeitende, die </w:t>
            </w:r>
            <w:r w:rsidR="0073630D" w:rsidRPr="00791040">
              <w:t>mit den</w:t>
            </w:r>
            <w:r w:rsidRPr="00791040">
              <w:t xml:space="preserve"> grenzüberschreitenden Aktivitäten </w:t>
            </w:r>
            <w:r w:rsidR="0073630D" w:rsidRPr="00791040">
              <w:t>des Instituts zu tun haben</w:t>
            </w:r>
            <w:r w:rsidR="00873B13" w:rsidRPr="00791040">
              <w:t>, angemessen sind</w:t>
            </w:r>
            <w:r w:rsidRPr="00791040">
              <w:t>.</w:t>
            </w:r>
          </w:p>
        </w:tc>
        <w:tc>
          <w:tcPr>
            <w:tcW w:w="3827" w:type="dxa"/>
            <w:shd w:val="clear" w:color="auto" w:fill="auto"/>
          </w:tcPr>
          <w:p w14:paraId="6F990B9B" w14:textId="77777777" w:rsidR="00501862" w:rsidRPr="00791040" w:rsidRDefault="00501862" w:rsidP="008362E0">
            <w:pPr>
              <w:pStyle w:val="Bullet"/>
              <w:numPr>
                <w:ilvl w:val="0"/>
                <w:numId w:val="0"/>
              </w:numPr>
              <w:spacing w:before="120" w:after="120"/>
            </w:pPr>
            <w:r w:rsidRPr="00791040">
              <w:t>Auf der Basis von Stichproben prüfen, ob die Mitarbeitenden die vom Finanzinstitut für obligatorisch erklärten Schulungen besucht und allenfalls auch Prüfungen abgelegt haben.</w:t>
            </w:r>
          </w:p>
          <w:p w14:paraId="26962623" w14:textId="12A1B0D7" w:rsidR="00501862" w:rsidRPr="006643B1" w:rsidRDefault="00501862" w:rsidP="008362E0">
            <w:pPr>
              <w:pStyle w:val="Bullet"/>
              <w:numPr>
                <w:ilvl w:val="0"/>
                <w:numId w:val="0"/>
              </w:numPr>
              <w:spacing w:before="120" w:after="120"/>
            </w:pPr>
          </w:p>
        </w:tc>
        <w:tc>
          <w:tcPr>
            <w:tcW w:w="3090" w:type="dxa"/>
            <w:shd w:val="clear" w:color="auto" w:fill="auto"/>
          </w:tcPr>
          <w:p w14:paraId="6941DEFC" w14:textId="77777777" w:rsidR="00501862" w:rsidRPr="001D46BF" w:rsidRDefault="00501862" w:rsidP="008362E0">
            <w:pPr>
              <w:spacing w:before="120" w:after="120" w:line="240" w:lineRule="auto"/>
              <w:rPr>
                <w:rFonts w:cs="Arial"/>
                <w:sz w:val="16"/>
                <w:szCs w:val="16"/>
              </w:rPr>
            </w:pPr>
          </w:p>
        </w:tc>
        <w:tc>
          <w:tcPr>
            <w:tcW w:w="992" w:type="dxa"/>
          </w:tcPr>
          <w:p w14:paraId="1F145452" w14:textId="1C3A567C" w:rsidR="00501862" w:rsidRPr="00580691" w:rsidRDefault="00501862" w:rsidP="008362E0">
            <w:pPr>
              <w:spacing w:before="120" w:after="120" w:line="240" w:lineRule="auto"/>
              <w:rPr>
                <w:rFonts w:cs="Arial"/>
                <w:sz w:val="16"/>
                <w:szCs w:val="16"/>
              </w:rPr>
            </w:pPr>
          </w:p>
        </w:tc>
      </w:tr>
      <w:tr w:rsidR="00501862" w:rsidRPr="00A030F9" w14:paraId="3B095AC7" w14:textId="77777777" w:rsidTr="00AC243C">
        <w:tc>
          <w:tcPr>
            <w:tcW w:w="528" w:type="dxa"/>
            <w:vMerge w:val="restart"/>
            <w:shd w:val="clear" w:color="auto" w:fill="auto"/>
          </w:tcPr>
          <w:p w14:paraId="428407E5" w14:textId="77777777" w:rsidR="00501862" w:rsidRPr="00580691" w:rsidRDefault="00501862" w:rsidP="008362E0">
            <w:pPr>
              <w:spacing w:before="120" w:after="120" w:line="240" w:lineRule="auto"/>
              <w:rPr>
                <w:rFonts w:cs="Arial"/>
                <w:sz w:val="16"/>
                <w:szCs w:val="16"/>
              </w:rPr>
            </w:pPr>
          </w:p>
        </w:tc>
        <w:tc>
          <w:tcPr>
            <w:tcW w:w="1596" w:type="dxa"/>
            <w:vMerge w:val="restart"/>
            <w:shd w:val="clear" w:color="auto" w:fill="auto"/>
          </w:tcPr>
          <w:p w14:paraId="5E2FB25C" w14:textId="6009E3BF" w:rsidR="00501862" w:rsidRPr="00E21810" w:rsidRDefault="00501862" w:rsidP="00273925">
            <w:pPr>
              <w:spacing w:before="120" w:after="120" w:line="240" w:lineRule="auto"/>
              <w:rPr>
                <w:rFonts w:cs="Arial"/>
                <w:b/>
                <w:sz w:val="16"/>
                <w:szCs w:val="16"/>
              </w:rPr>
            </w:pPr>
            <w:r>
              <w:rPr>
                <w:b/>
                <w:sz w:val="16"/>
              </w:rPr>
              <w:t>Vergütungs</w:t>
            </w:r>
            <w:r w:rsidR="00273925">
              <w:rPr>
                <w:b/>
                <w:sz w:val="16"/>
              </w:rPr>
              <w:t>modelle (Rz 136.3 FINMA-RS 08/21)</w:t>
            </w:r>
          </w:p>
        </w:tc>
        <w:tc>
          <w:tcPr>
            <w:tcW w:w="4284" w:type="dxa"/>
            <w:shd w:val="clear" w:color="auto" w:fill="auto"/>
          </w:tcPr>
          <w:p w14:paraId="66DA48EA" w14:textId="767306B4" w:rsidR="00437BEE" w:rsidRPr="006643B1" w:rsidRDefault="00501862" w:rsidP="008362E0">
            <w:pPr>
              <w:pStyle w:val="Bullet"/>
              <w:numPr>
                <w:ilvl w:val="0"/>
                <w:numId w:val="0"/>
              </w:numPr>
              <w:spacing w:before="120" w:after="120"/>
            </w:pPr>
            <w:r w:rsidRPr="00791040">
              <w:rPr>
                <w:i/>
              </w:rPr>
              <w:t>Beurteilen, ob die Vergütungs</w:t>
            </w:r>
            <w:r w:rsidR="005D4968">
              <w:rPr>
                <w:i/>
              </w:rPr>
              <w:t>modelle</w:t>
            </w:r>
            <w:r w:rsidR="00116222" w:rsidRPr="00791040">
              <w:rPr>
                <w:i/>
              </w:rPr>
              <w:t xml:space="preserve"> in Bezug auf</w:t>
            </w:r>
            <w:r w:rsidRPr="00791040">
              <w:rPr>
                <w:i/>
              </w:rPr>
              <w:t xml:space="preserve"> Anreize für Kundenberater und andere Mitarbeitende für die Kundenakquisition und -bindung </w:t>
            </w:r>
            <w:r w:rsidR="00116222" w:rsidRPr="00791040">
              <w:rPr>
                <w:i/>
              </w:rPr>
              <w:t>im Zusammenhang mit dem</w:t>
            </w:r>
            <w:r w:rsidRPr="00791040">
              <w:rPr>
                <w:i/>
              </w:rPr>
              <w:t xml:space="preserve"> grenzüberschreitenden Risik</w:t>
            </w:r>
            <w:r w:rsidR="00116222" w:rsidRPr="00791040">
              <w:rPr>
                <w:i/>
              </w:rPr>
              <w:t>o</w:t>
            </w:r>
            <w:r w:rsidRPr="00791040">
              <w:rPr>
                <w:i/>
              </w:rPr>
              <w:t xml:space="preserve"> angemessen </w:t>
            </w:r>
            <w:r w:rsidR="00116222" w:rsidRPr="00791040">
              <w:rPr>
                <w:i/>
              </w:rPr>
              <w:t>ist, namentlich</w:t>
            </w:r>
          </w:p>
        </w:tc>
        <w:tc>
          <w:tcPr>
            <w:tcW w:w="3827" w:type="dxa"/>
            <w:shd w:val="clear" w:color="auto" w:fill="auto"/>
          </w:tcPr>
          <w:p w14:paraId="5F2C1C83" w14:textId="77777777" w:rsidR="00501862" w:rsidRPr="006643B1" w:rsidRDefault="00501862" w:rsidP="008362E0">
            <w:pPr>
              <w:autoSpaceDE w:val="0"/>
              <w:autoSpaceDN w:val="0"/>
              <w:adjustRightInd w:val="0"/>
              <w:spacing w:before="120" w:after="120" w:line="240" w:lineRule="auto"/>
              <w:jc w:val="both"/>
            </w:pPr>
          </w:p>
        </w:tc>
        <w:tc>
          <w:tcPr>
            <w:tcW w:w="3090" w:type="dxa"/>
            <w:shd w:val="clear" w:color="auto" w:fill="auto"/>
          </w:tcPr>
          <w:p w14:paraId="3A4EAFD2" w14:textId="77777777" w:rsidR="00501862" w:rsidRPr="001D46BF" w:rsidRDefault="00501862" w:rsidP="008362E0">
            <w:pPr>
              <w:spacing w:before="120" w:after="120" w:line="240" w:lineRule="auto"/>
              <w:rPr>
                <w:rFonts w:cs="Arial"/>
                <w:sz w:val="16"/>
                <w:szCs w:val="16"/>
              </w:rPr>
            </w:pPr>
          </w:p>
        </w:tc>
        <w:tc>
          <w:tcPr>
            <w:tcW w:w="992" w:type="dxa"/>
          </w:tcPr>
          <w:p w14:paraId="0591878A" w14:textId="05149237" w:rsidR="0004532E" w:rsidRPr="00580691" w:rsidRDefault="0004532E" w:rsidP="008362E0">
            <w:pPr>
              <w:spacing w:before="120" w:after="120" w:line="240" w:lineRule="auto"/>
              <w:rPr>
                <w:rFonts w:cs="Arial"/>
                <w:sz w:val="16"/>
                <w:szCs w:val="16"/>
              </w:rPr>
            </w:pPr>
          </w:p>
        </w:tc>
      </w:tr>
      <w:tr w:rsidR="00501862" w:rsidRPr="00AF6AA5" w14:paraId="57BF69BE" w14:textId="77777777" w:rsidTr="00AC243C">
        <w:tc>
          <w:tcPr>
            <w:tcW w:w="528" w:type="dxa"/>
            <w:vMerge/>
            <w:shd w:val="clear" w:color="auto" w:fill="auto"/>
          </w:tcPr>
          <w:p w14:paraId="70EC4D1F" w14:textId="77777777" w:rsidR="00501862" w:rsidRPr="000671E1" w:rsidRDefault="00501862" w:rsidP="008362E0">
            <w:pPr>
              <w:spacing w:before="120" w:after="120" w:line="240" w:lineRule="auto"/>
              <w:rPr>
                <w:rFonts w:cs="Arial"/>
                <w:sz w:val="16"/>
                <w:szCs w:val="16"/>
              </w:rPr>
            </w:pPr>
          </w:p>
        </w:tc>
        <w:tc>
          <w:tcPr>
            <w:tcW w:w="1596" w:type="dxa"/>
            <w:vMerge/>
            <w:shd w:val="clear" w:color="auto" w:fill="auto"/>
          </w:tcPr>
          <w:p w14:paraId="34578D62" w14:textId="77777777" w:rsidR="00501862" w:rsidRPr="000671E1" w:rsidRDefault="00501862" w:rsidP="008362E0">
            <w:pPr>
              <w:spacing w:before="120" w:after="120" w:line="240" w:lineRule="auto"/>
              <w:rPr>
                <w:rFonts w:cs="Arial"/>
                <w:b/>
                <w:sz w:val="16"/>
                <w:szCs w:val="16"/>
              </w:rPr>
            </w:pPr>
          </w:p>
        </w:tc>
        <w:tc>
          <w:tcPr>
            <w:tcW w:w="4284" w:type="dxa"/>
            <w:shd w:val="clear" w:color="auto" w:fill="auto"/>
          </w:tcPr>
          <w:p w14:paraId="1DD7AA77" w14:textId="77777777" w:rsidR="00501862" w:rsidRPr="00791040" w:rsidRDefault="00501862" w:rsidP="008362E0">
            <w:pPr>
              <w:autoSpaceDE w:val="0"/>
              <w:autoSpaceDN w:val="0"/>
              <w:adjustRightInd w:val="0"/>
              <w:spacing w:before="120" w:after="120" w:line="240" w:lineRule="auto"/>
              <w:jc w:val="both"/>
              <w:rPr>
                <w:rFonts w:cs="Arial"/>
                <w:sz w:val="16"/>
                <w:szCs w:val="16"/>
              </w:rPr>
            </w:pPr>
            <w:r w:rsidRPr="00791040">
              <w:rPr>
                <w:sz w:val="16"/>
              </w:rPr>
              <w:t>Über Befragungen und die Durchsicht relevanter Dokumente beurteilen, ob die Entscheide des Instituts in Bezug auf folgende Punkte angemessen sind:</w:t>
            </w:r>
          </w:p>
          <w:p w14:paraId="6B0B0EFF" w14:textId="1CB13906" w:rsidR="00501862" w:rsidRPr="006643B1" w:rsidRDefault="00250C91">
            <w:pPr>
              <w:pStyle w:val="Listenabsatz"/>
              <w:numPr>
                <w:ilvl w:val="0"/>
                <w:numId w:val="18"/>
              </w:numPr>
              <w:autoSpaceDE w:val="0"/>
              <w:autoSpaceDN w:val="0"/>
              <w:adjustRightInd w:val="0"/>
              <w:spacing w:before="120" w:after="120" w:line="240" w:lineRule="auto"/>
              <w:ind w:left="346" w:hanging="346"/>
              <w:contextualSpacing w:val="0"/>
              <w:jc w:val="both"/>
              <w:rPr>
                <w:rFonts w:cs="Arial"/>
                <w:sz w:val="16"/>
                <w:szCs w:val="16"/>
              </w:rPr>
            </w:pPr>
            <w:r w:rsidRPr="00BF1681">
              <w:rPr>
                <w:sz w:val="16"/>
              </w:rPr>
              <w:t>Vergütungs</w:t>
            </w:r>
            <w:r w:rsidR="005D4968" w:rsidRPr="00BF1681">
              <w:rPr>
                <w:sz w:val="16"/>
              </w:rPr>
              <w:t>modelle</w:t>
            </w:r>
            <w:r w:rsidRPr="00BF1681">
              <w:rPr>
                <w:sz w:val="16"/>
              </w:rPr>
              <w:t xml:space="preserve"> </w:t>
            </w:r>
            <w:r w:rsidR="00501862" w:rsidRPr="00BF1681">
              <w:rPr>
                <w:sz w:val="16"/>
              </w:rPr>
              <w:t xml:space="preserve">in Bezug auf </w:t>
            </w:r>
            <w:r w:rsidR="00DD40FF" w:rsidRPr="00BF1681">
              <w:rPr>
                <w:sz w:val="16"/>
              </w:rPr>
              <w:t>Risiken aus de</w:t>
            </w:r>
            <w:r w:rsidR="00B3689B" w:rsidRPr="00BF1681">
              <w:rPr>
                <w:sz w:val="16"/>
              </w:rPr>
              <w:t>n</w:t>
            </w:r>
            <w:r w:rsidR="00DD40FF" w:rsidRPr="00BF1681">
              <w:rPr>
                <w:sz w:val="16"/>
              </w:rPr>
              <w:t xml:space="preserve"> </w:t>
            </w:r>
            <w:r w:rsidR="00501862" w:rsidRPr="00BF1681">
              <w:rPr>
                <w:sz w:val="16"/>
              </w:rPr>
              <w:t>grenzüberschreitende</w:t>
            </w:r>
            <w:r w:rsidR="00DD40FF" w:rsidRPr="00BF1681">
              <w:rPr>
                <w:sz w:val="16"/>
              </w:rPr>
              <w:t xml:space="preserve">n </w:t>
            </w:r>
            <w:r w:rsidR="00B3689B" w:rsidRPr="00BF1681">
              <w:rPr>
                <w:sz w:val="16"/>
              </w:rPr>
              <w:t>Aktivitäten</w:t>
            </w:r>
            <w:r w:rsidR="00501862" w:rsidRPr="00BF1681">
              <w:rPr>
                <w:sz w:val="16"/>
              </w:rPr>
              <w:t xml:space="preserve">, insbesondere </w:t>
            </w:r>
            <w:r w:rsidR="005D4968" w:rsidRPr="00BF1681">
              <w:rPr>
                <w:sz w:val="16"/>
              </w:rPr>
              <w:t xml:space="preserve">bezüglich Verhinderung falscher </w:t>
            </w:r>
            <w:r w:rsidR="00501862" w:rsidRPr="00BF1681">
              <w:rPr>
                <w:sz w:val="16"/>
              </w:rPr>
              <w:t xml:space="preserve">Anreize für die Kundenakquisition und -bindung, </w:t>
            </w:r>
            <w:r w:rsidR="00A0740A" w:rsidRPr="00BF1681">
              <w:rPr>
                <w:sz w:val="16"/>
              </w:rPr>
              <w:t xml:space="preserve">Sanktionen </w:t>
            </w:r>
            <w:r w:rsidR="00501862" w:rsidRPr="00BF1681">
              <w:rPr>
                <w:sz w:val="16"/>
              </w:rPr>
              <w:t>bei Verstössen und Förderung gute</w:t>
            </w:r>
            <w:r w:rsidR="00DD40FF" w:rsidRPr="00BF1681">
              <w:rPr>
                <w:sz w:val="16"/>
              </w:rPr>
              <w:t>r</w:t>
            </w:r>
            <w:r w:rsidR="00501862" w:rsidRPr="00BF1681">
              <w:rPr>
                <w:sz w:val="16"/>
              </w:rPr>
              <w:t xml:space="preserve"> Compliance</w:t>
            </w:r>
            <w:r w:rsidR="00DD40FF" w:rsidRPr="00BF1681">
              <w:rPr>
                <w:sz w:val="16"/>
              </w:rPr>
              <w:t>,</w:t>
            </w:r>
            <w:r w:rsidR="00501862" w:rsidRPr="00BF1681">
              <w:rPr>
                <w:sz w:val="16"/>
              </w:rPr>
              <w:t xml:space="preserve"> und ob </w:t>
            </w:r>
            <w:r w:rsidR="00DD40FF" w:rsidRPr="00BF1681">
              <w:rPr>
                <w:sz w:val="16"/>
              </w:rPr>
              <w:t xml:space="preserve">sie </w:t>
            </w:r>
            <w:r w:rsidR="00501862" w:rsidRPr="00BF1681">
              <w:rPr>
                <w:sz w:val="16"/>
              </w:rPr>
              <w:t>mit de</w:t>
            </w:r>
            <w:r w:rsidR="00DD40FF" w:rsidRPr="00BF1681">
              <w:rPr>
                <w:sz w:val="16"/>
              </w:rPr>
              <w:t>m</w:t>
            </w:r>
            <w:r w:rsidR="00501862" w:rsidRPr="00BF1681">
              <w:rPr>
                <w:sz w:val="16"/>
              </w:rPr>
              <w:t xml:space="preserve"> allgemeinen</w:t>
            </w:r>
            <w:r w:rsidR="00DD40FF" w:rsidRPr="00BF1681">
              <w:rPr>
                <w:sz w:val="16"/>
              </w:rPr>
              <w:t xml:space="preserve"> Rahmen der</w:t>
            </w:r>
            <w:r w:rsidR="00501862" w:rsidRPr="00BF1681">
              <w:rPr>
                <w:sz w:val="16"/>
              </w:rPr>
              <w:t xml:space="preserve"> Vergütungspolitik des Instituts i</w:t>
            </w:r>
            <w:r w:rsidR="00DD40FF" w:rsidRPr="00BF1681">
              <w:rPr>
                <w:sz w:val="16"/>
              </w:rPr>
              <w:t>m</w:t>
            </w:r>
            <w:r w:rsidR="00501862" w:rsidRPr="00BF1681">
              <w:rPr>
                <w:sz w:val="16"/>
              </w:rPr>
              <w:t xml:space="preserve"> Einklang</w:t>
            </w:r>
            <w:r w:rsidR="00A0740A" w:rsidRPr="00BF1681">
              <w:rPr>
                <w:sz w:val="16"/>
              </w:rPr>
              <w:t xml:space="preserve"> sind</w:t>
            </w:r>
            <w:r w:rsidR="00DD40FF" w:rsidRPr="00BF1681">
              <w:rPr>
                <w:sz w:val="16"/>
              </w:rPr>
              <w:t>.</w:t>
            </w:r>
          </w:p>
        </w:tc>
        <w:tc>
          <w:tcPr>
            <w:tcW w:w="3827" w:type="dxa"/>
            <w:shd w:val="clear" w:color="auto" w:fill="auto"/>
          </w:tcPr>
          <w:p w14:paraId="224B2DD2" w14:textId="55E568E1" w:rsidR="00501862" w:rsidRPr="004A419A" w:rsidRDefault="00501862" w:rsidP="005D4968">
            <w:pPr>
              <w:autoSpaceDE w:val="0"/>
              <w:autoSpaceDN w:val="0"/>
              <w:adjustRightInd w:val="0"/>
              <w:spacing w:before="120" w:after="120" w:line="240" w:lineRule="auto"/>
              <w:jc w:val="both"/>
              <w:rPr>
                <w:rFonts w:cs="Arial"/>
                <w:sz w:val="16"/>
                <w:szCs w:val="16"/>
              </w:rPr>
            </w:pPr>
            <w:r w:rsidRPr="00791040">
              <w:rPr>
                <w:sz w:val="16"/>
              </w:rPr>
              <w:t xml:space="preserve">Auf der Basis von Stichproben und mit Fokus auf grenzüberschreitende Aspekte prüfen, </w:t>
            </w:r>
            <w:r w:rsidRPr="004A419A">
              <w:rPr>
                <w:sz w:val="16"/>
              </w:rPr>
              <w:t>ob die Vergütungs</w:t>
            </w:r>
            <w:r w:rsidR="005D4968">
              <w:rPr>
                <w:sz w:val="16"/>
              </w:rPr>
              <w:t>modelle</w:t>
            </w:r>
            <w:r w:rsidRPr="004A419A">
              <w:rPr>
                <w:sz w:val="16"/>
              </w:rPr>
              <w:t xml:space="preserve"> eingehalten </w:t>
            </w:r>
            <w:r w:rsidR="00F5588E" w:rsidRPr="004A419A">
              <w:rPr>
                <w:sz w:val="16"/>
              </w:rPr>
              <w:t>wurde</w:t>
            </w:r>
            <w:r w:rsidR="005D4968">
              <w:rPr>
                <w:sz w:val="16"/>
              </w:rPr>
              <w:t>n</w:t>
            </w:r>
            <w:r w:rsidR="00F5588E" w:rsidRPr="004A419A">
              <w:rPr>
                <w:sz w:val="16"/>
              </w:rPr>
              <w:t xml:space="preserve"> </w:t>
            </w:r>
            <w:r w:rsidRPr="004A419A">
              <w:rPr>
                <w:sz w:val="16"/>
              </w:rPr>
              <w:t xml:space="preserve">und </w:t>
            </w:r>
            <w:r w:rsidR="00F5588E" w:rsidRPr="004A419A">
              <w:rPr>
                <w:sz w:val="16"/>
              </w:rPr>
              <w:t xml:space="preserve">ob </w:t>
            </w:r>
            <w:r w:rsidRPr="004A419A">
              <w:rPr>
                <w:sz w:val="16"/>
              </w:rPr>
              <w:t xml:space="preserve">keine Ziele definiert wurden, die den internen Richtlinien widersprechen. </w:t>
            </w:r>
          </w:p>
        </w:tc>
        <w:tc>
          <w:tcPr>
            <w:tcW w:w="3090" w:type="dxa"/>
            <w:shd w:val="clear" w:color="auto" w:fill="auto"/>
          </w:tcPr>
          <w:p w14:paraId="39299B65" w14:textId="77777777" w:rsidR="00501862" w:rsidRPr="001D46BF" w:rsidRDefault="00501862" w:rsidP="008362E0">
            <w:pPr>
              <w:spacing w:before="120" w:after="120" w:line="240" w:lineRule="auto"/>
              <w:rPr>
                <w:rFonts w:cs="Arial"/>
                <w:sz w:val="16"/>
                <w:szCs w:val="16"/>
              </w:rPr>
            </w:pPr>
          </w:p>
        </w:tc>
        <w:tc>
          <w:tcPr>
            <w:tcW w:w="992" w:type="dxa"/>
          </w:tcPr>
          <w:p w14:paraId="0C3B3DD2" w14:textId="77777777" w:rsidR="00501862" w:rsidRPr="001D46BF" w:rsidRDefault="00501862" w:rsidP="008362E0">
            <w:pPr>
              <w:spacing w:before="120" w:after="120" w:line="240" w:lineRule="auto"/>
              <w:rPr>
                <w:rFonts w:cs="Arial"/>
                <w:sz w:val="16"/>
                <w:szCs w:val="16"/>
              </w:rPr>
            </w:pPr>
          </w:p>
        </w:tc>
      </w:tr>
      <w:tr w:rsidR="00501862" w:rsidRPr="00AF6AA5" w14:paraId="76EFBFF3" w14:textId="77777777" w:rsidTr="00AC243C">
        <w:tc>
          <w:tcPr>
            <w:tcW w:w="528" w:type="dxa"/>
            <w:vMerge w:val="restart"/>
            <w:shd w:val="clear" w:color="auto" w:fill="auto"/>
          </w:tcPr>
          <w:p w14:paraId="654890A9" w14:textId="77777777" w:rsidR="00501862" w:rsidRPr="00200356" w:rsidRDefault="00501862" w:rsidP="008362E0">
            <w:pPr>
              <w:spacing w:before="120" w:after="120" w:line="240" w:lineRule="auto"/>
              <w:rPr>
                <w:rFonts w:cs="Arial"/>
                <w:sz w:val="16"/>
                <w:szCs w:val="16"/>
              </w:rPr>
            </w:pPr>
          </w:p>
        </w:tc>
        <w:tc>
          <w:tcPr>
            <w:tcW w:w="1596" w:type="dxa"/>
            <w:vMerge w:val="restart"/>
            <w:shd w:val="clear" w:color="auto" w:fill="auto"/>
          </w:tcPr>
          <w:p w14:paraId="2BE2A027" w14:textId="5CF56770" w:rsidR="00501862" w:rsidRPr="006643B1" w:rsidRDefault="00501862" w:rsidP="00A030F9">
            <w:pPr>
              <w:spacing w:before="120" w:after="120" w:line="240" w:lineRule="auto"/>
              <w:rPr>
                <w:rFonts w:cs="Arial"/>
                <w:b/>
                <w:sz w:val="16"/>
                <w:szCs w:val="16"/>
              </w:rPr>
            </w:pPr>
            <w:r w:rsidRPr="006643B1">
              <w:rPr>
                <w:b/>
                <w:sz w:val="16"/>
              </w:rPr>
              <w:t xml:space="preserve">Einhaltung der bestehenden Risikopolitik </w:t>
            </w:r>
          </w:p>
        </w:tc>
        <w:tc>
          <w:tcPr>
            <w:tcW w:w="4284" w:type="dxa"/>
            <w:shd w:val="clear" w:color="auto" w:fill="auto"/>
          </w:tcPr>
          <w:p w14:paraId="3026BC34" w14:textId="4D8E1C83" w:rsidR="00501862" w:rsidRPr="006643B1" w:rsidRDefault="00501862" w:rsidP="00A030F9">
            <w:pPr>
              <w:pStyle w:val="Bullet"/>
              <w:numPr>
                <w:ilvl w:val="0"/>
                <w:numId w:val="0"/>
              </w:numPr>
              <w:spacing w:before="120" w:after="120"/>
            </w:pPr>
            <w:r w:rsidRPr="006643B1">
              <w:rPr>
                <w:i/>
              </w:rPr>
              <w:t>Beurteilen, ob die Risikopolitik in Bezug auf Risiken aus grenzüberschreitenden Dienstleistungen effektiv angewendet und eingehalten wurden, namentlich</w:t>
            </w:r>
          </w:p>
        </w:tc>
        <w:tc>
          <w:tcPr>
            <w:tcW w:w="3827" w:type="dxa"/>
            <w:shd w:val="clear" w:color="auto" w:fill="auto"/>
          </w:tcPr>
          <w:p w14:paraId="590EEE08" w14:textId="435F80B2" w:rsidR="00501862" w:rsidRPr="00DB0DF5" w:rsidRDefault="00501862">
            <w:pPr>
              <w:pStyle w:val="Bullet"/>
              <w:numPr>
                <w:ilvl w:val="0"/>
                <w:numId w:val="0"/>
              </w:numPr>
              <w:spacing w:before="120" w:after="120"/>
            </w:pPr>
            <w:r>
              <w:t xml:space="preserve">Beurteilen, ob </w:t>
            </w:r>
            <w:r w:rsidR="00F5588E">
              <w:t xml:space="preserve">die Beendigung </w:t>
            </w:r>
            <w:r>
              <w:t>nicht mehr erwünschte</w:t>
            </w:r>
            <w:r w:rsidR="00F5588E">
              <w:t>r</w:t>
            </w:r>
            <w:r>
              <w:t xml:space="preserve"> Kundenbeziehungen </w:t>
            </w:r>
            <w:r w:rsidR="00F5588E">
              <w:t xml:space="preserve">im Einklang mit </w:t>
            </w:r>
            <w:r>
              <w:t xml:space="preserve">der Strategie, Politik und/oder </w:t>
            </w:r>
            <w:r w:rsidR="00F5588E">
              <w:t xml:space="preserve">den </w:t>
            </w:r>
            <w:r>
              <w:t xml:space="preserve">Richtlinien des Instituts </w:t>
            </w:r>
            <w:r w:rsidR="00F5588E">
              <w:t>ist</w:t>
            </w:r>
            <w:r>
              <w:t>.</w:t>
            </w:r>
          </w:p>
        </w:tc>
        <w:tc>
          <w:tcPr>
            <w:tcW w:w="3090" w:type="dxa"/>
            <w:shd w:val="clear" w:color="auto" w:fill="auto"/>
          </w:tcPr>
          <w:p w14:paraId="2CCE8C43" w14:textId="77777777" w:rsidR="00501862" w:rsidRPr="00DB0DF5" w:rsidRDefault="00501862" w:rsidP="008362E0">
            <w:pPr>
              <w:spacing w:before="120" w:after="120" w:line="240" w:lineRule="auto"/>
              <w:rPr>
                <w:rFonts w:cs="Arial"/>
                <w:sz w:val="16"/>
                <w:szCs w:val="16"/>
              </w:rPr>
            </w:pPr>
          </w:p>
        </w:tc>
        <w:tc>
          <w:tcPr>
            <w:tcW w:w="992" w:type="dxa"/>
            <w:shd w:val="clear" w:color="auto" w:fill="auto"/>
          </w:tcPr>
          <w:p w14:paraId="0AE7BAA3" w14:textId="77777777" w:rsidR="00501862" w:rsidRPr="00C04F0F" w:rsidRDefault="00501862" w:rsidP="008362E0">
            <w:pPr>
              <w:spacing w:before="120" w:after="120" w:line="240" w:lineRule="auto"/>
            </w:pPr>
          </w:p>
        </w:tc>
      </w:tr>
      <w:tr w:rsidR="00501862" w:rsidRPr="00AF6AA5" w14:paraId="0FE8A757" w14:textId="77777777" w:rsidTr="00AC243C">
        <w:tc>
          <w:tcPr>
            <w:tcW w:w="528" w:type="dxa"/>
            <w:vMerge/>
            <w:shd w:val="clear" w:color="auto" w:fill="auto"/>
          </w:tcPr>
          <w:p w14:paraId="66A3CB14" w14:textId="77777777" w:rsidR="00501862" w:rsidRPr="00DB0DF5" w:rsidRDefault="00501862" w:rsidP="008362E0">
            <w:pPr>
              <w:spacing w:before="120" w:after="120" w:line="240" w:lineRule="auto"/>
              <w:rPr>
                <w:rFonts w:cs="Arial"/>
                <w:sz w:val="16"/>
                <w:szCs w:val="16"/>
              </w:rPr>
            </w:pPr>
          </w:p>
        </w:tc>
        <w:tc>
          <w:tcPr>
            <w:tcW w:w="1596" w:type="dxa"/>
            <w:vMerge/>
            <w:shd w:val="clear" w:color="auto" w:fill="auto"/>
          </w:tcPr>
          <w:p w14:paraId="34B2BD92" w14:textId="77777777" w:rsidR="00501862" w:rsidRPr="006643B1" w:rsidRDefault="00501862" w:rsidP="008362E0">
            <w:pPr>
              <w:spacing w:before="120" w:after="120" w:line="240" w:lineRule="auto"/>
              <w:rPr>
                <w:rFonts w:cs="Arial"/>
                <w:b/>
                <w:sz w:val="16"/>
                <w:szCs w:val="16"/>
              </w:rPr>
            </w:pPr>
          </w:p>
        </w:tc>
        <w:tc>
          <w:tcPr>
            <w:tcW w:w="4284" w:type="dxa"/>
            <w:shd w:val="clear" w:color="auto" w:fill="auto"/>
          </w:tcPr>
          <w:p w14:paraId="481F54D1" w14:textId="77777777" w:rsidR="00501862" w:rsidRPr="006C19F9" w:rsidRDefault="006C475D" w:rsidP="008362E0">
            <w:pPr>
              <w:pStyle w:val="Bullet"/>
              <w:numPr>
                <w:ilvl w:val="0"/>
                <w:numId w:val="0"/>
              </w:numPr>
              <w:spacing w:before="120" w:after="120"/>
            </w:pPr>
            <w:r w:rsidRPr="00D5658F">
              <w:t xml:space="preserve">Durchführung einer </w:t>
            </w:r>
            <w:r w:rsidR="00584D32" w:rsidRPr="00D5658F">
              <w:t>Identifizierung und Dokumentation der</w:t>
            </w:r>
            <w:r w:rsidR="00584D32" w:rsidRPr="00D5658F" w:rsidDel="00584D32">
              <w:t xml:space="preserve"> </w:t>
            </w:r>
            <w:r w:rsidR="00501862" w:rsidRPr="00D5658F">
              <w:t>internen</w:t>
            </w:r>
            <w:r w:rsidR="00501862" w:rsidRPr="006C19F9">
              <w:t xml:space="preserve"> Kontrollen </w:t>
            </w:r>
            <w:r w:rsidR="00584D32" w:rsidRPr="006C19F9">
              <w:t>in Bezug auf</w:t>
            </w:r>
            <w:r w:rsidR="00501862" w:rsidRPr="006C19F9">
              <w:t xml:space="preserve">: </w:t>
            </w:r>
          </w:p>
          <w:p w14:paraId="7505BA67" w14:textId="77777777" w:rsidR="00501862" w:rsidRDefault="00501862" w:rsidP="008362E0">
            <w:pPr>
              <w:pStyle w:val="Bullet"/>
              <w:numPr>
                <w:ilvl w:val="0"/>
                <w:numId w:val="15"/>
              </w:numPr>
              <w:spacing w:before="120" w:after="120"/>
              <w:ind w:left="227" w:hanging="227"/>
            </w:pPr>
            <w:r w:rsidRPr="001B64CA">
              <w:t xml:space="preserve">Annahme, Management und Überwachung von Kunden </w:t>
            </w:r>
          </w:p>
          <w:p w14:paraId="0C59FE3E" w14:textId="77777777" w:rsidR="00501862" w:rsidRPr="006C19F9" w:rsidRDefault="00501862" w:rsidP="008362E0">
            <w:pPr>
              <w:pStyle w:val="Bullet"/>
              <w:numPr>
                <w:ilvl w:val="0"/>
                <w:numId w:val="15"/>
              </w:numPr>
              <w:spacing w:before="120" w:after="120"/>
              <w:ind w:left="227" w:hanging="227"/>
            </w:pPr>
            <w:r w:rsidRPr="001B64CA">
              <w:t xml:space="preserve">Überwachung des Verhaltens der </w:t>
            </w:r>
            <w:r w:rsidR="00033575" w:rsidRPr="00D5658F">
              <w:t xml:space="preserve">Kundenbetreuer </w:t>
            </w:r>
            <w:r w:rsidRPr="00D5658F">
              <w:t>(z.</w:t>
            </w:r>
            <w:r w:rsidR="00033575" w:rsidRPr="00D5658F">
              <w:t> </w:t>
            </w:r>
            <w:r w:rsidRPr="00D5658F">
              <w:t xml:space="preserve">B. </w:t>
            </w:r>
            <w:r w:rsidRPr="006C19F9">
              <w:t xml:space="preserve">bezüglich Reiseberichten, Kontaktmemos zu Besuchen an den </w:t>
            </w:r>
            <w:r w:rsidR="00670D9D" w:rsidRPr="006C19F9">
              <w:t>Point of Sale</w:t>
            </w:r>
            <w:r w:rsidRPr="006C19F9">
              <w:t>, Ausbildung usw.)</w:t>
            </w:r>
          </w:p>
          <w:p w14:paraId="737B474B" w14:textId="77777777" w:rsidR="00B43287" w:rsidRPr="006C19F9" w:rsidRDefault="00501862" w:rsidP="00D62382">
            <w:pPr>
              <w:pStyle w:val="Bullet"/>
              <w:numPr>
                <w:ilvl w:val="0"/>
                <w:numId w:val="15"/>
              </w:numPr>
              <w:spacing w:before="120" w:after="120"/>
              <w:ind w:left="227" w:hanging="227"/>
            </w:pPr>
            <w:r w:rsidRPr="001B64CA">
              <w:t xml:space="preserve">Annahme und periodische Überprüfung externer Vermögensverwalter und </w:t>
            </w:r>
            <w:r w:rsidR="00BE0523" w:rsidRPr="001B64CA">
              <w:t>anderer</w:t>
            </w:r>
            <w:r w:rsidR="00670D9D" w:rsidRPr="006C19F9">
              <w:t xml:space="preserve"> </w:t>
            </w:r>
            <w:r w:rsidRPr="006C19F9">
              <w:t>Intermediäre</w:t>
            </w:r>
            <w:r w:rsidR="0025298C" w:rsidRPr="006C19F9">
              <w:t xml:space="preserve"> </w:t>
            </w:r>
          </w:p>
          <w:p w14:paraId="5B6AFFFB" w14:textId="77777777" w:rsidR="00501862" w:rsidRPr="006C19F9" w:rsidRDefault="00B7608D">
            <w:pPr>
              <w:pStyle w:val="Bullet"/>
              <w:numPr>
                <w:ilvl w:val="0"/>
                <w:numId w:val="0"/>
              </w:numPr>
              <w:spacing w:before="120" w:after="120"/>
            </w:pPr>
            <w:r w:rsidRPr="006C19F9">
              <w:t>u</w:t>
            </w:r>
            <w:r w:rsidR="00354A21" w:rsidRPr="006C19F9">
              <w:t xml:space="preserve">nd Beurteilung der Angemessenheit </w:t>
            </w:r>
            <w:r w:rsidRPr="006C19F9">
              <w:t xml:space="preserve">der Effizienz und Vollständigkeit ihres Konzepts (Design) </w:t>
            </w:r>
            <w:r w:rsidR="0097739A" w:rsidRPr="006C19F9">
              <w:t>bezogen auf die</w:t>
            </w:r>
            <w:r w:rsidRPr="006C19F9">
              <w:t xml:space="preserve"> Grösse und Komplexität der grenzüberschreitenden </w:t>
            </w:r>
            <w:r w:rsidR="0097739A" w:rsidRPr="006C19F9">
              <w:t xml:space="preserve">Aktivitäten des </w:t>
            </w:r>
            <w:r w:rsidRPr="006C19F9">
              <w:t>Instituts.</w:t>
            </w:r>
          </w:p>
        </w:tc>
        <w:tc>
          <w:tcPr>
            <w:tcW w:w="3827" w:type="dxa"/>
            <w:shd w:val="clear" w:color="auto" w:fill="auto"/>
          </w:tcPr>
          <w:p w14:paraId="32EB2437" w14:textId="5FE8ABD9" w:rsidR="00501862" w:rsidRPr="001B64CA" w:rsidRDefault="00FA3148" w:rsidP="008362E0">
            <w:pPr>
              <w:pStyle w:val="Bullet"/>
              <w:numPr>
                <w:ilvl w:val="0"/>
                <w:numId w:val="0"/>
              </w:numPr>
              <w:spacing w:before="120" w:after="120"/>
            </w:pPr>
            <w:r w:rsidRPr="006C19F9">
              <w:t xml:space="preserve">Durchführung </w:t>
            </w:r>
            <w:r w:rsidRPr="00DA715C">
              <w:t xml:space="preserve">von </w:t>
            </w:r>
            <w:r w:rsidR="008C2DC7" w:rsidRPr="00DA715C">
              <w:t>Funktionsprüfungen</w:t>
            </w:r>
            <w:r w:rsidR="00501862" w:rsidRPr="00DA715C">
              <w:t>, um die</w:t>
            </w:r>
            <w:r w:rsidR="008C2DC7" w:rsidRPr="00DA715C">
              <w:t xml:space="preserve"> operative</w:t>
            </w:r>
            <w:r w:rsidR="00501862" w:rsidRPr="00DA715C">
              <w:t xml:space="preserve"> Wirksamkeit der</w:t>
            </w:r>
            <w:r w:rsidR="008C2DC7" w:rsidRPr="00DA715C">
              <w:t xml:space="preserve"> durchgeführten</w:t>
            </w:r>
            <w:r w:rsidR="00501862" w:rsidRPr="00DA715C">
              <w:t xml:space="preserve"> internen Kontrollen zu </w:t>
            </w:r>
            <w:r w:rsidR="008C2DC7" w:rsidRPr="00DA715C">
              <w:t xml:space="preserve">prüfen </w:t>
            </w:r>
            <w:r w:rsidR="00501862" w:rsidRPr="00DA715C">
              <w:t xml:space="preserve">und </w:t>
            </w:r>
            <w:r w:rsidRPr="00DA715C">
              <w:t xml:space="preserve">Durchführung </w:t>
            </w:r>
            <w:r w:rsidR="008C2DC7" w:rsidRPr="00DA715C">
              <w:t>von aussagebezogenen Prüfungen</w:t>
            </w:r>
            <w:r w:rsidR="00501862" w:rsidRPr="00DA715C">
              <w:t xml:space="preserve"> </w:t>
            </w:r>
            <w:r w:rsidRPr="00DA715C">
              <w:t>in Bezug auf</w:t>
            </w:r>
            <w:r w:rsidR="00501862" w:rsidRPr="001B64CA">
              <w:t xml:space="preserve"> </w:t>
            </w:r>
          </w:p>
          <w:p w14:paraId="01D91844" w14:textId="77777777" w:rsidR="00501862" w:rsidRPr="006C19F9" w:rsidRDefault="00501862" w:rsidP="008362E0">
            <w:pPr>
              <w:pStyle w:val="Bullet"/>
              <w:numPr>
                <w:ilvl w:val="0"/>
                <w:numId w:val="15"/>
              </w:numPr>
              <w:spacing w:before="120" w:after="120"/>
              <w:ind w:left="227" w:hanging="227"/>
            </w:pPr>
            <w:r w:rsidRPr="006C19F9">
              <w:t>Annahme, Management und Überwachung von Kunden</w:t>
            </w:r>
          </w:p>
          <w:p w14:paraId="0084AAB8" w14:textId="77777777" w:rsidR="00501862" w:rsidRPr="006C19F9" w:rsidRDefault="00501862" w:rsidP="008362E0">
            <w:pPr>
              <w:pStyle w:val="Bullet"/>
              <w:numPr>
                <w:ilvl w:val="0"/>
                <w:numId w:val="15"/>
              </w:numPr>
              <w:spacing w:before="120" w:after="120"/>
              <w:ind w:left="227" w:hanging="227"/>
            </w:pPr>
            <w:r w:rsidRPr="006C19F9">
              <w:t xml:space="preserve">Überwachung des Verhaltens der </w:t>
            </w:r>
            <w:r w:rsidR="00670D9D" w:rsidRPr="006C19F9">
              <w:t xml:space="preserve">Kundenbetreuer </w:t>
            </w:r>
            <w:r w:rsidRPr="006C19F9">
              <w:t>(z.</w:t>
            </w:r>
            <w:r w:rsidR="00670D9D" w:rsidRPr="006C19F9">
              <w:t> </w:t>
            </w:r>
            <w:r w:rsidRPr="006C19F9">
              <w:t xml:space="preserve">B. bezüglich Reiseberichten, </w:t>
            </w:r>
            <w:r w:rsidR="008C2DC7" w:rsidRPr="006C19F9">
              <w:t>Berichte über Kundenbesuche</w:t>
            </w:r>
            <w:r w:rsidRPr="006C19F9">
              <w:t xml:space="preserve"> an den </w:t>
            </w:r>
            <w:r w:rsidR="00670D9D" w:rsidRPr="006C19F9">
              <w:t>Point of Sale</w:t>
            </w:r>
            <w:r w:rsidRPr="006C19F9">
              <w:t>, Ausbildung usw.)</w:t>
            </w:r>
          </w:p>
          <w:p w14:paraId="7C96094B" w14:textId="77777777" w:rsidR="00501862" w:rsidRPr="006C19F9" w:rsidRDefault="00501862" w:rsidP="008C2DC7">
            <w:pPr>
              <w:pStyle w:val="Bullet"/>
              <w:numPr>
                <w:ilvl w:val="0"/>
                <w:numId w:val="15"/>
              </w:numPr>
              <w:spacing w:before="120" w:after="120"/>
              <w:ind w:left="227" w:hanging="227"/>
            </w:pPr>
            <w:r w:rsidRPr="006C19F9">
              <w:t>Annahme und periodische Überprüfung</w:t>
            </w:r>
            <w:r w:rsidR="008C2DC7" w:rsidRPr="006C19F9">
              <w:t xml:space="preserve"> (Wiedervorlage)</w:t>
            </w:r>
            <w:r w:rsidRPr="006C19F9">
              <w:t xml:space="preserve"> externer Vermögensverwalter und </w:t>
            </w:r>
            <w:r w:rsidR="008C2DC7" w:rsidRPr="006C19F9">
              <w:t>anderer</w:t>
            </w:r>
            <w:r w:rsidR="00670D9D" w:rsidRPr="006C19F9">
              <w:t xml:space="preserve"> </w:t>
            </w:r>
            <w:r w:rsidRPr="006C19F9">
              <w:t>Intermediäre</w:t>
            </w:r>
            <w:r w:rsidR="0028473F" w:rsidRPr="006C19F9">
              <w:t>.</w:t>
            </w:r>
          </w:p>
        </w:tc>
        <w:tc>
          <w:tcPr>
            <w:tcW w:w="3090" w:type="dxa"/>
            <w:shd w:val="clear" w:color="auto" w:fill="auto"/>
          </w:tcPr>
          <w:p w14:paraId="22EF78C7" w14:textId="77777777" w:rsidR="00501862" w:rsidRPr="00DB0DF5" w:rsidRDefault="00501862" w:rsidP="008362E0">
            <w:pPr>
              <w:spacing w:before="120" w:after="120" w:line="240" w:lineRule="auto"/>
              <w:rPr>
                <w:rFonts w:cs="Arial"/>
                <w:sz w:val="16"/>
                <w:szCs w:val="16"/>
              </w:rPr>
            </w:pPr>
          </w:p>
        </w:tc>
        <w:tc>
          <w:tcPr>
            <w:tcW w:w="992" w:type="dxa"/>
            <w:shd w:val="clear" w:color="auto" w:fill="auto"/>
          </w:tcPr>
          <w:p w14:paraId="57F93EBC" w14:textId="77777777" w:rsidR="00501862" w:rsidRPr="00C04F0F" w:rsidRDefault="00501862" w:rsidP="008362E0">
            <w:pPr>
              <w:spacing w:before="120" w:after="120" w:line="240" w:lineRule="auto"/>
            </w:pPr>
          </w:p>
        </w:tc>
      </w:tr>
    </w:tbl>
    <w:p w14:paraId="6B685D70" w14:textId="77777777" w:rsidR="00501862" w:rsidRDefault="00501862" w:rsidP="008362E0">
      <w:pPr>
        <w:spacing w:before="120" w:after="120" w:line="240" w:lineRule="auto"/>
        <w:rPr>
          <w:rFonts w:cs="Arial"/>
          <w:b/>
        </w:rPr>
      </w:pPr>
      <w:r>
        <w:br w:type="page"/>
      </w:r>
    </w:p>
    <w:tbl>
      <w:tblPr>
        <w:tblpPr w:leftFromText="141" w:rightFromText="141" w:vertAnchor="text" w:tblpX="13745" w:tblpY="-184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
      </w:tblGrid>
      <w:tr w:rsidR="00501862" w:rsidRPr="00AF6AA5" w14:paraId="71822F37" w14:textId="77777777" w:rsidTr="008E0A38">
        <w:trPr>
          <w:trHeight w:val="138"/>
        </w:trPr>
        <w:tc>
          <w:tcPr>
            <w:tcW w:w="288" w:type="dxa"/>
          </w:tcPr>
          <w:p w14:paraId="254209E4" w14:textId="77777777" w:rsidR="00501862" w:rsidRDefault="00501862" w:rsidP="008362E0">
            <w:pPr>
              <w:spacing w:before="120" w:after="120" w:line="240" w:lineRule="auto"/>
              <w:rPr>
                <w:rFonts w:cs="Arial"/>
                <w:b/>
              </w:rPr>
            </w:pPr>
          </w:p>
        </w:tc>
      </w:tr>
    </w:tbl>
    <w:p w14:paraId="2A5A4472" w14:textId="77777777" w:rsidR="00501862" w:rsidRPr="003E0A1B" w:rsidRDefault="00501862" w:rsidP="008362E0">
      <w:pPr>
        <w:spacing w:before="120" w:after="120" w:line="240" w:lineRule="auto"/>
        <w:rPr>
          <w:rFonts w:cs="Arial"/>
          <w:b/>
          <w:sz w:val="2"/>
          <w:szCs w:val="2"/>
        </w:rPr>
      </w:pPr>
      <w:r>
        <w:rPr>
          <w:b/>
        </w:rPr>
        <w:t xml:space="preserve">Prüfprogramm – </w:t>
      </w:r>
      <w:r w:rsidRPr="00461856">
        <w:rPr>
          <w:b/>
          <w:u w:val="single"/>
        </w:rPr>
        <w:t xml:space="preserve">Andere Risiken im Zusammenhang mit Compliance-Fragen </w:t>
      </w:r>
      <w:r>
        <w:rPr>
          <w:u w:val="single"/>
        </w:rPr>
        <w:t>- Schwerwiegende Compliance-Verstösse</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
        <w:gridCol w:w="1596"/>
        <w:gridCol w:w="3685"/>
        <w:gridCol w:w="3827"/>
        <w:gridCol w:w="3686"/>
        <w:gridCol w:w="992"/>
      </w:tblGrid>
      <w:tr w:rsidR="00501862" w:rsidRPr="00DB7CF3" w14:paraId="7392427C" w14:textId="77777777" w:rsidTr="008E0A38">
        <w:trPr>
          <w:tblHeader/>
        </w:trPr>
        <w:tc>
          <w:tcPr>
            <w:tcW w:w="531" w:type="dxa"/>
            <w:tcBorders>
              <w:bottom w:val="single" w:sz="4" w:space="0" w:color="auto"/>
            </w:tcBorders>
            <w:shd w:val="pct20" w:color="auto" w:fill="auto"/>
          </w:tcPr>
          <w:p w14:paraId="64009FCE" w14:textId="77777777" w:rsidR="00501862" w:rsidRPr="00DB7CF3" w:rsidRDefault="00501862" w:rsidP="008362E0">
            <w:pPr>
              <w:spacing w:before="120" w:after="120" w:line="240" w:lineRule="auto"/>
              <w:rPr>
                <w:rFonts w:cs="Arial"/>
                <w:b/>
                <w:sz w:val="16"/>
                <w:szCs w:val="16"/>
              </w:rPr>
            </w:pPr>
            <w:r>
              <w:rPr>
                <w:b/>
                <w:sz w:val="16"/>
              </w:rPr>
              <w:t>Nr.</w:t>
            </w:r>
          </w:p>
        </w:tc>
        <w:tc>
          <w:tcPr>
            <w:tcW w:w="1596" w:type="dxa"/>
            <w:tcBorders>
              <w:bottom w:val="single" w:sz="4" w:space="0" w:color="auto"/>
            </w:tcBorders>
            <w:shd w:val="pct20" w:color="auto" w:fill="auto"/>
          </w:tcPr>
          <w:p w14:paraId="06FF8C3D" w14:textId="77777777" w:rsidR="00501862" w:rsidRPr="00DB7CF3" w:rsidRDefault="00501862" w:rsidP="008362E0">
            <w:pPr>
              <w:spacing w:before="120" w:after="120" w:line="240" w:lineRule="auto"/>
              <w:rPr>
                <w:rFonts w:cs="Arial"/>
                <w:b/>
                <w:sz w:val="16"/>
                <w:szCs w:val="16"/>
              </w:rPr>
            </w:pPr>
            <w:r>
              <w:rPr>
                <w:b/>
                <w:sz w:val="16"/>
              </w:rPr>
              <w:t>Thema:</w:t>
            </w:r>
          </w:p>
        </w:tc>
        <w:tc>
          <w:tcPr>
            <w:tcW w:w="3685" w:type="dxa"/>
            <w:tcBorders>
              <w:bottom w:val="single" w:sz="4" w:space="0" w:color="auto"/>
            </w:tcBorders>
            <w:shd w:val="pct20" w:color="auto" w:fill="auto"/>
          </w:tcPr>
          <w:p w14:paraId="14B3B0F1" w14:textId="7C159100" w:rsidR="00501862" w:rsidRPr="00DB7CF3" w:rsidRDefault="00501862" w:rsidP="008362E0">
            <w:pPr>
              <w:spacing w:before="120" w:after="120" w:line="240" w:lineRule="auto"/>
              <w:rPr>
                <w:rFonts w:cs="Arial"/>
                <w:b/>
                <w:sz w:val="16"/>
                <w:szCs w:val="16"/>
              </w:rPr>
            </w:pPr>
            <w:r>
              <w:rPr>
                <w:b/>
                <w:sz w:val="16"/>
              </w:rPr>
              <w:t>Prüfungshandlungen für Prüftiefe „kritische Beurteilung“:</w:t>
            </w:r>
          </w:p>
        </w:tc>
        <w:tc>
          <w:tcPr>
            <w:tcW w:w="3827" w:type="dxa"/>
            <w:tcBorders>
              <w:bottom w:val="single" w:sz="4" w:space="0" w:color="auto"/>
            </w:tcBorders>
            <w:shd w:val="pct20" w:color="auto" w:fill="auto"/>
          </w:tcPr>
          <w:p w14:paraId="4C97CA8B" w14:textId="62689FCA" w:rsidR="00501862" w:rsidRPr="00DB7CF3" w:rsidRDefault="00501862" w:rsidP="00A66BB2">
            <w:pPr>
              <w:spacing w:before="120" w:after="120" w:line="240" w:lineRule="auto"/>
              <w:rPr>
                <w:rFonts w:cs="Arial"/>
                <w:b/>
                <w:sz w:val="16"/>
                <w:szCs w:val="16"/>
              </w:rPr>
            </w:pPr>
            <w:r>
              <w:rPr>
                <w:b/>
                <w:sz w:val="16"/>
                <w:u w:val="single"/>
              </w:rPr>
              <w:t>Zusätzliche</w:t>
            </w:r>
            <w:r>
              <w:rPr>
                <w:b/>
                <w:sz w:val="16"/>
              </w:rPr>
              <w:t xml:space="preserve"> Prüfungshandlungen für Prüftiefe „Prüfung“:</w:t>
            </w:r>
          </w:p>
        </w:tc>
        <w:tc>
          <w:tcPr>
            <w:tcW w:w="3686" w:type="dxa"/>
            <w:tcBorders>
              <w:bottom w:val="single" w:sz="4" w:space="0" w:color="auto"/>
            </w:tcBorders>
            <w:shd w:val="pct20" w:color="auto" w:fill="auto"/>
          </w:tcPr>
          <w:p w14:paraId="76420ACA" w14:textId="77777777" w:rsidR="00501862" w:rsidRPr="00DB7CF3" w:rsidRDefault="00501862" w:rsidP="008362E0">
            <w:pPr>
              <w:spacing w:before="120" w:after="120" w:line="240" w:lineRule="auto"/>
              <w:rPr>
                <w:rFonts w:cs="Arial"/>
                <w:b/>
                <w:sz w:val="16"/>
                <w:szCs w:val="16"/>
              </w:rPr>
            </w:pPr>
            <w:r>
              <w:rPr>
                <w:b/>
                <w:sz w:val="16"/>
              </w:rPr>
              <w:t>Durchgeführte Prüfungshandlungen / Feststellungen</w:t>
            </w:r>
          </w:p>
        </w:tc>
        <w:tc>
          <w:tcPr>
            <w:tcW w:w="992" w:type="dxa"/>
            <w:tcBorders>
              <w:bottom w:val="single" w:sz="4" w:space="0" w:color="auto"/>
            </w:tcBorders>
            <w:shd w:val="pct20" w:color="auto" w:fill="auto"/>
          </w:tcPr>
          <w:p w14:paraId="5EA4CE7C" w14:textId="77777777" w:rsidR="00501862" w:rsidRPr="00DB7CF3" w:rsidRDefault="00501862" w:rsidP="008362E0">
            <w:pPr>
              <w:spacing w:before="120" w:after="120" w:line="240" w:lineRule="auto"/>
              <w:rPr>
                <w:rFonts w:cs="Arial"/>
                <w:b/>
                <w:sz w:val="16"/>
                <w:szCs w:val="16"/>
              </w:rPr>
            </w:pPr>
            <w:r>
              <w:rPr>
                <w:b/>
                <w:sz w:val="16"/>
              </w:rPr>
              <w:t>Arbeitspapiere Ref.:</w:t>
            </w:r>
          </w:p>
        </w:tc>
      </w:tr>
      <w:tr w:rsidR="00501862" w:rsidRPr="00F72EE5" w14:paraId="32C7C8FF" w14:textId="77777777" w:rsidTr="008E0A38">
        <w:tc>
          <w:tcPr>
            <w:tcW w:w="14317" w:type="dxa"/>
            <w:gridSpan w:val="6"/>
            <w:shd w:val="pct10" w:color="auto" w:fill="auto"/>
          </w:tcPr>
          <w:p w14:paraId="4D0D8E46" w14:textId="77777777" w:rsidR="00501862" w:rsidRPr="00AB7BC8" w:rsidRDefault="00501862" w:rsidP="008362E0">
            <w:pPr>
              <w:spacing w:before="120" w:after="120" w:line="240" w:lineRule="auto"/>
              <w:rPr>
                <w:rFonts w:cs="Arial"/>
                <w:i/>
                <w:sz w:val="16"/>
                <w:szCs w:val="16"/>
                <w:lang w:val="en-US"/>
              </w:rPr>
            </w:pPr>
            <w:r w:rsidRPr="00AB7BC8">
              <w:rPr>
                <w:i/>
                <w:sz w:val="16"/>
                <w:lang w:val="en-US"/>
              </w:rPr>
              <w:t>Confirmation that methods / processes for identification, measurement, management and monitoring of other risks in connection with compliance issues were adequate and, in case of the audit depth “audit”, were applied effectively.</w:t>
            </w:r>
          </w:p>
          <w:p w14:paraId="1C17FDC1" w14:textId="77777777" w:rsidR="00501862" w:rsidRPr="00E21810" w:rsidRDefault="00501862" w:rsidP="008362E0">
            <w:pPr>
              <w:spacing w:before="120" w:after="120" w:line="240" w:lineRule="auto"/>
              <w:rPr>
                <w:bCs/>
                <w:i/>
                <w:sz w:val="16"/>
                <w:szCs w:val="16"/>
              </w:rPr>
            </w:pPr>
            <w:r>
              <w:rPr>
                <w:i/>
                <w:sz w:val="16"/>
              </w:rPr>
              <w:t>Bestätigung, dass die Methoden / Prozesse zur Identifikation, Messung, Bewirtschaftung und Überwachung von anderen Risiken im Zusammenhang mit Compliance-Fragen angemessen waren und im Falle der Prüftiefe „Prüfung“ effektiv angewendet wurden.</w:t>
            </w:r>
          </w:p>
          <w:p w14:paraId="5F6EA549" w14:textId="77777777" w:rsidR="00501862" w:rsidRPr="00AB7BC8" w:rsidRDefault="00501862" w:rsidP="008362E0">
            <w:pPr>
              <w:spacing w:before="120" w:after="120" w:line="240" w:lineRule="auto"/>
              <w:rPr>
                <w:bCs/>
                <w:i/>
                <w:sz w:val="16"/>
                <w:szCs w:val="16"/>
                <w:lang w:val="fr-CH"/>
              </w:rPr>
            </w:pPr>
            <w:r w:rsidRPr="00AB7BC8">
              <w:rPr>
                <w:i/>
                <w:sz w:val="16"/>
                <w:lang w:val="fr-CH"/>
              </w:rPr>
              <w:t>Confirmation que les méthodes / processus relatifs à l’identification, la mesure, la gestion et la surveillance des autres risques en lien avec les questions de compliance ont été appropriés et en cas d’étendue d’audit « audit </w:t>
            </w:r>
            <w:r w:rsidR="004A419A">
              <w:rPr>
                <w:bCs/>
                <w:i/>
                <w:sz w:val="16"/>
                <w:szCs w:val="16"/>
                <w:lang w:val="fr-CH"/>
              </w:rPr>
              <w:t>»</w:t>
            </w:r>
            <w:r w:rsidRPr="00AB7BC8">
              <w:rPr>
                <w:i/>
                <w:sz w:val="16"/>
                <w:lang w:val="fr-CH"/>
              </w:rPr>
              <w:t> ont été effectivement appliqués. »</w:t>
            </w:r>
          </w:p>
        </w:tc>
      </w:tr>
      <w:tr w:rsidR="00501862" w:rsidRPr="00AF6AA5" w14:paraId="5C8F49D9" w14:textId="77777777" w:rsidTr="008E0A38">
        <w:tc>
          <w:tcPr>
            <w:tcW w:w="531" w:type="dxa"/>
            <w:vMerge w:val="restart"/>
            <w:shd w:val="clear" w:color="auto" w:fill="auto"/>
          </w:tcPr>
          <w:p w14:paraId="3576B28F" w14:textId="77777777" w:rsidR="00501862" w:rsidRPr="00AB7BC8" w:rsidRDefault="00501862" w:rsidP="008362E0">
            <w:pPr>
              <w:spacing w:before="120" w:after="120" w:line="240" w:lineRule="auto"/>
              <w:rPr>
                <w:rFonts w:cs="Arial"/>
                <w:sz w:val="16"/>
                <w:szCs w:val="16"/>
                <w:lang w:val="fr-CH"/>
              </w:rPr>
            </w:pPr>
          </w:p>
        </w:tc>
        <w:tc>
          <w:tcPr>
            <w:tcW w:w="1596" w:type="dxa"/>
            <w:vMerge w:val="restart"/>
            <w:shd w:val="clear" w:color="auto" w:fill="auto"/>
          </w:tcPr>
          <w:p w14:paraId="25ACDC36" w14:textId="77777777" w:rsidR="00501862" w:rsidRPr="00D43330" w:rsidRDefault="00501862" w:rsidP="008362E0">
            <w:pPr>
              <w:spacing w:before="120" w:after="120" w:line="240" w:lineRule="auto"/>
              <w:rPr>
                <w:rFonts w:cs="Arial"/>
                <w:b/>
                <w:sz w:val="16"/>
                <w:szCs w:val="16"/>
              </w:rPr>
            </w:pPr>
            <w:r>
              <w:rPr>
                <w:b/>
                <w:sz w:val="16"/>
              </w:rPr>
              <w:t>Methoden / Prozesse zur Identifikation, Messung, Bewirtschaftung und Überwachung von Risiken</w:t>
            </w:r>
          </w:p>
        </w:tc>
        <w:tc>
          <w:tcPr>
            <w:tcW w:w="3685" w:type="dxa"/>
            <w:shd w:val="clear" w:color="auto" w:fill="auto"/>
          </w:tcPr>
          <w:p w14:paraId="7388C94C" w14:textId="77777777" w:rsidR="00501862" w:rsidRPr="00461856" w:rsidRDefault="00501862" w:rsidP="008362E0">
            <w:pPr>
              <w:pStyle w:val="Bullet"/>
              <w:numPr>
                <w:ilvl w:val="0"/>
                <w:numId w:val="0"/>
              </w:numPr>
              <w:spacing w:before="120" w:after="120"/>
              <w:rPr>
                <w:i/>
              </w:rPr>
            </w:pPr>
            <w:r w:rsidRPr="00461856">
              <w:rPr>
                <w:i/>
              </w:rPr>
              <w:t>Beurteilung der Angemessenheit der Methoden / Prozesse zur Identifikation, Messung, Bewirtschaftung und Überwachung von schwerwiegenden Compliance-Verstössen nach Massgabe der Grösse, der Geschäfts- und Organisationskomplexität und des Compliance-Risikos des Instituts, namentlich</w:t>
            </w:r>
          </w:p>
        </w:tc>
        <w:tc>
          <w:tcPr>
            <w:tcW w:w="3827" w:type="dxa"/>
            <w:shd w:val="clear" w:color="auto" w:fill="auto"/>
          </w:tcPr>
          <w:p w14:paraId="619F65F6" w14:textId="77777777" w:rsidR="00501862" w:rsidRDefault="00501862" w:rsidP="008362E0">
            <w:pPr>
              <w:spacing w:before="120" w:after="120" w:line="240" w:lineRule="auto"/>
              <w:rPr>
                <w:rFonts w:cs="Arial"/>
                <w:sz w:val="16"/>
                <w:szCs w:val="16"/>
              </w:rPr>
            </w:pPr>
          </w:p>
        </w:tc>
        <w:tc>
          <w:tcPr>
            <w:tcW w:w="3686" w:type="dxa"/>
            <w:shd w:val="clear" w:color="auto" w:fill="auto"/>
          </w:tcPr>
          <w:p w14:paraId="3B178A39" w14:textId="77777777" w:rsidR="00501862" w:rsidRPr="00051CD5" w:rsidRDefault="00501862" w:rsidP="008362E0">
            <w:pPr>
              <w:spacing w:before="120" w:after="120" w:line="240" w:lineRule="auto"/>
              <w:rPr>
                <w:rFonts w:cs="Arial"/>
                <w:sz w:val="16"/>
                <w:szCs w:val="16"/>
              </w:rPr>
            </w:pPr>
          </w:p>
        </w:tc>
        <w:tc>
          <w:tcPr>
            <w:tcW w:w="992" w:type="dxa"/>
            <w:shd w:val="clear" w:color="auto" w:fill="auto"/>
          </w:tcPr>
          <w:p w14:paraId="111E9037" w14:textId="77777777" w:rsidR="00501862" w:rsidRPr="00051CD5" w:rsidRDefault="00501862" w:rsidP="008362E0">
            <w:pPr>
              <w:spacing w:before="120" w:after="120" w:line="240" w:lineRule="auto"/>
              <w:rPr>
                <w:rFonts w:cs="Arial"/>
                <w:sz w:val="16"/>
                <w:szCs w:val="16"/>
              </w:rPr>
            </w:pPr>
          </w:p>
        </w:tc>
      </w:tr>
      <w:tr w:rsidR="00501862" w:rsidRPr="00AF6AA5" w14:paraId="1333A065" w14:textId="77777777" w:rsidTr="008E0A38">
        <w:tc>
          <w:tcPr>
            <w:tcW w:w="531" w:type="dxa"/>
            <w:vMerge/>
            <w:shd w:val="clear" w:color="auto" w:fill="auto"/>
          </w:tcPr>
          <w:p w14:paraId="0010E8B2" w14:textId="77777777" w:rsidR="00501862" w:rsidRPr="00601043" w:rsidRDefault="00501862" w:rsidP="008362E0">
            <w:pPr>
              <w:spacing w:before="120" w:after="120" w:line="240" w:lineRule="auto"/>
              <w:rPr>
                <w:rFonts w:cs="Arial"/>
                <w:sz w:val="16"/>
                <w:szCs w:val="16"/>
              </w:rPr>
            </w:pPr>
          </w:p>
        </w:tc>
        <w:tc>
          <w:tcPr>
            <w:tcW w:w="1596" w:type="dxa"/>
            <w:vMerge/>
            <w:shd w:val="clear" w:color="auto" w:fill="auto"/>
          </w:tcPr>
          <w:p w14:paraId="23BBA67E" w14:textId="77777777" w:rsidR="00501862" w:rsidRPr="00E72478" w:rsidRDefault="00501862" w:rsidP="008362E0">
            <w:pPr>
              <w:spacing w:before="120" w:after="120" w:line="240" w:lineRule="auto"/>
              <w:rPr>
                <w:rFonts w:cs="Arial"/>
                <w:b/>
                <w:sz w:val="16"/>
                <w:szCs w:val="16"/>
              </w:rPr>
            </w:pPr>
          </w:p>
        </w:tc>
        <w:tc>
          <w:tcPr>
            <w:tcW w:w="3685" w:type="dxa"/>
            <w:shd w:val="clear" w:color="auto" w:fill="auto"/>
          </w:tcPr>
          <w:p w14:paraId="70EF0198" w14:textId="4D13E0C7" w:rsidR="00501862" w:rsidRPr="00CF0173" w:rsidRDefault="00580691" w:rsidP="00580691">
            <w:pPr>
              <w:pStyle w:val="Bullet"/>
              <w:numPr>
                <w:ilvl w:val="0"/>
                <w:numId w:val="0"/>
              </w:numPr>
              <w:spacing w:before="120" w:after="120"/>
            </w:pPr>
            <w:r w:rsidRPr="00BF1681">
              <w:rPr>
                <w:b/>
                <w:sz w:val="28"/>
              </w:rPr>
              <w:t>*</w:t>
            </w:r>
            <w:r>
              <w:t xml:space="preserve"> </w:t>
            </w:r>
            <w:r w:rsidR="00501862">
              <w:t xml:space="preserve">Beurteilung der Angemessenheit der Vorgehensweise der Compliance-Funktion zur </w:t>
            </w:r>
          </w:p>
          <w:p w14:paraId="1C1D192F" w14:textId="79E32F74" w:rsidR="00501862" w:rsidRPr="00CF0173" w:rsidRDefault="00501862" w:rsidP="008362E0">
            <w:pPr>
              <w:pStyle w:val="Bullet"/>
              <w:numPr>
                <w:ilvl w:val="0"/>
                <w:numId w:val="17"/>
              </w:numPr>
              <w:spacing w:before="120" w:after="120"/>
              <w:ind w:left="170" w:hanging="170"/>
            </w:pPr>
            <w:r>
              <w:t>Feststellung schwerwiegender Verstösse gegen anwendbare Gesetze und Vorschriften</w:t>
            </w:r>
          </w:p>
          <w:p w14:paraId="235BE862" w14:textId="24623B81" w:rsidR="00501862" w:rsidRPr="00CF0173" w:rsidRDefault="00501862" w:rsidP="008362E0">
            <w:pPr>
              <w:pStyle w:val="Bullet"/>
              <w:numPr>
                <w:ilvl w:val="0"/>
                <w:numId w:val="17"/>
              </w:numPr>
              <w:spacing w:before="120" w:after="120"/>
              <w:ind w:left="170" w:hanging="170"/>
            </w:pPr>
            <w:r>
              <w:t>Entgegennahme, Beurteilung, Dokumentation und Einschätzung von Anschuldigungen und Verdächtigungen</w:t>
            </w:r>
            <w:r w:rsidR="00D5658F" w:rsidRPr="00580691">
              <w:t>.</w:t>
            </w:r>
          </w:p>
        </w:tc>
        <w:tc>
          <w:tcPr>
            <w:tcW w:w="3827" w:type="dxa"/>
            <w:shd w:val="clear" w:color="auto" w:fill="auto"/>
          </w:tcPr>
          <w:p w14:paraId="17EEB5F2" w14:textId="77777777" w:rsidR="00501862" w:rsidRPr="00CF0173" w:rsidRDefault="00501862" w:rsidP="008362E0">
            <w:pPr>
              <w:spacing w:before="120" w:after="120" w:line="240" w:lineRule="auto"/>
              <w:rPr>
                <w:rFonts w:cs="Arial"/>
                <w:sz w:val="16"/>
                <w:szCs w:val="16"/>
              </w:rPr>
            </w:pPr>
          </w:p>
        </w:tc>
        <w:tc>
          <w:tcPr>
            <w:tcW w:w="3686" w:type="dxa"/>
            <w:shd w:val="clear" w:color="auto" w:fill="auto"/>
          </w:tcPr>
          <w:p w14:paraId="3BC6BD30" w14:textId="77777777" w:rsidR="00501862" w:rsidRPr="00051CD5" w:rsidRDefault="00501862" w:rsidP="008362E0">
            <w:pPr>
              <w:spacing w:before="120" w:after="120" w:line="240" w:lineRule="auto"/>
              <w:rPr>
                <w:rFonts w:cs="Arial"/>
                <w:sz w:val="16"/>
                <w:szCs w:val="16"/>
              </w:rPr>
            </w:pPr>
          </w:p>
        </w:tc>
        <w:tc>
          <w:tcPr>
            <w:tcW w:w="992" w:type="dxa"/>
            <w:shd w:val="clear" w:color="auto" w:fill="auto"/>
          </w:tcPr>
          <w:p w14:paraId="52549DB9" w14:textId="77777777" w:rsidR="00501862" w:rsidRPr="00051CD5" w:rsidRDefault="00501862" w:rsidP="008362E0">
            <w:pPr>
              <w:spacing w:before="120" w:after="120" w:line="240" w:lineRule="auto"/>
              <w:rPr>
                <w:rFonts w:cs="Arial"/>
                <w:sz w:val="16"/>
                <w:szCs w:val="16"/>
              </w:rPr>
            </w:pPr>
          </w:p>
        </w:tc>
      </w:tr>
      <w:tr w:rsidR="00501862" w:rsidRPr="00AF6AA5" w14:paraId="3C2745D2" w14:textId="77777777" w:rsidTr="008E0A38">
        <w:tc>
          <w:tcPr>
            <w:tcW w:w="531" w:type="dxa"/>
            <w:vMerge/>
            <w:shd w:val="clear" w:color="auto" w:fill="auto"/>
          </w:tcPr>
          <w:p w14:paraId="3E9D0288" w14:textId="77777777" w:rsidR="00501862" w:rsidRPr="00071D3A" w:rsidRDefault="00501862" w:rsidP="008362E0">
            <w:pPr>
              <w:spacing w:before="120" w:after="120" w:line="240" w:lineRule="auto"/>
              <w:rPr>
                <w:rFonts w:cs="Arial"/>
                <w:sz w:val="16"/>
                <w:szCs w:val="16"/>
              </w:rPr>
            </w:pPr>
          </w:p>
        </w:tc>
        <w:tc>
          <w:tcPr>
            <w:tcW w:w="1596" w:type="dxa"/>
            <w:vMerge/>
            <w:shd w:val="clear" w:color="auto" w:fill="auto"/>
          </w:tcPr>
          <w:p w14:paraId="2876EBF5" w14:textId="77777777" w:rsidR="00501862" w:rsidRPr="00D43330" w:rsidRDefault="00501862" w:rsidP="008362E0">
            <w:pPr>
              <w:spacing w:before="120" w:after="120" w:line="240" w:lineRule="auto"/>
              <w:rPr>
                <w:rFonts w:cs="Arial"/>
                <w:b/>
                <w:sz w:val="16"/>
                <w:szCs w:val="16"/>
              </w:rPr>
            </w:pPr>
          </w:p>
        </w:tc>
        <w:tc>
          <w:tcPr>
            <w:tcW w:w="3685" w:type="dxa"/>
            <w:tcBorders>
              <w:bottom w:val="single" w:sz="4" w:space="0" w:color="auto"/>
            </w:tcBorders>
            <w:shd w:val="clear" w:color="auto" w:fill="auto"/>
          </w:tcPr>
          <w:p w14:paraId="7546D398" w14:textId="77777777" w:rsidR="00501862" w:rsidRDefault="00501862" w:rsidP="008362E0">
            <w:pPr>
              <w:pStyle w:val="Bullet"/>
              <w:numPr>
                <w:ilvl w:val="0"/>
                <w:numId w:val="0"/>
              </w:numPr>
              <w:spacing w:before="120" w:after="120"/>
            </w:pPr>
            <w:r>
              <w:t>Beurteilung der Angemessenheit der Prozesse und Kontrollen in Bezug auf die Handhabung festgestellter Compliance-Verstösse und wie die nachfolgenden Schritte definiert sind oder eingeleitet werden, einschliesslich Eskalationsverfahren</w:t>
            </w:r>
            <w:r w:rsidR="0028473F">
              <w:t>.</w:t>
            </w:r>
          </w:p>
        </w:tc>
        <w:tc>
          <w:tcPr>
            <w:tcW w:w="3827" w:type="dxa"/>
            <w:tcBorders>
              <w:bottom w:val="single" w:sz="4" w:space="0" w:color="auto"/>
            </w:tcBorders>
            <w:shd w:val="clear" w:color="auto" w:fill="auto"/>
          </w:tcPr>
          <w:p w14:paraId="393053E6" w14:textId="77777777" w:rsidR="00501862" w:rsidRPr="00071D3A" w:rsidRDefault="00501862" w:rsidP="008362E0">
            <w:pPr>
              <w:pStyle w:val="Bullet"/>
              <w:numPr>
                <w:ilvl w:val="0"/>
                <w:numId w:val="0"/>
              </w:numPr>
              <w:spacing w:before="120" w:after="120"/>
            </w:pPr>
          </w:p>
        </w:tc>
        <w:tc>
          <w:tcPr>
            <w:tcW w:w="3686" w:type="dxa"/>
            <w:tcBorders>
              <w:bottom w:val="single" w:sz="4" w:space="0" w:color="auto"/>
            </w:tcBorders>
            <w:shd w:val="clear" w:color="auto" w:fill="auto"/>
          </w:tcPr>
          <w:p w14:paraId="0E0F64C4" w14:textId="77777777" w:rsidR="00501862" w:rsidRPr="00071D3A" w:rsidRDefault="00501862" w:rsidP="008362E0">
            <w:pPr>
              <w:spacing w:before="120" w:after="120" w:line="240" w:lineRule="auto"/>
              <w:rPr>
                <w:rFonts w:cs="Arial"/>
                <w:sz w:val="16"/>
                <w:szCs w:val="16"/>
              </w:rPr>
            </w:pPr>
          </w:p>
        </w:tc>
        <w:tc>
          <w:tcPr>
            <w:tcW w:w="992" w:type="dxa"/>
            <w:tcBorders>
              <w:bottom w:val="single" w:sz="4" w:space="0" w:color="auto"/>
            </w:tcBorders>
            <w:shd w:val="clear" w:color="auto" w:fill="auto"/>
          </w:tcPr>
          <w:p w14:paraId="7F996E3E" w14:textId="77777777" w:rsidR="00501862" w:rsidRPr="00071D3A" w:rsidRDefault="00501862" w:rsidP="008362E0">
            <w:pPr>
              <w:spacing w:before="120" w:after="120" w:line="240" w:lineRule="auto"/>
              <w:rPr>
                <w:rFonts w:cs="Arial"/>
                <w:sz w:val="16"/>
                <w:szCs w:val="16"/>
              </w:rPr>
            </w:pPr>
          </w:p>
        </w:tc>
      </w:tr>
      <w:tr w:rsidR="00501862" w:rsidRPr="00AF6AA5" w14:paraId="78609196" w14:textId="77777777" w:rsidTr="008E0A38">
        <w:tc>
          <w:tcPr>
            <w:tcW w:w="531" w:type="dxa"/>
            <w:vMerge/>
            <w:shd w:val="clear" w:color="auto" w:fill="auto"/>
          </w:tcPr>
          <w:p w14:paraId="49AE6886" w14:textId="77777777" w:rsidR="00501862" w:rsidRPr="00071D3A" w:rsidRDefault="00501862" w:rsidP="008362E0">
            <w:pPr>
              <w:spacing w:before="120" w:after="120" w:line="240" w:lineRule="auto"/>
              <w:rPr>
                <w:rFonts w:cs="Arial"/>
                <w:sz w:val="16"/>
                <w:szCs w:val="16"/>
              </w:rPr>
            </w:pPr>
          </w:p>
        </w:tc>
        <w:tc>
          <w:tcPr>
            <w:tcW w:w="1596" w:type="dxa"/>
            <w:vMerge/>
            <w:shd w:val="clear" w:color="auto" w:fill="auto"/>
          </w:tcPr>
          <w:p w14:paraId="42ECB159" w14:textId="77777777" w:rsidR="00501862" w:rsidRPr="00D43330" w:rsidRDefault="00501862" w:rsidP="008362E0">
            <w:pPr>
              <w:spacing w:before="120" w:after="120" w:line="240" w:lineRule="auto"/>
              <w:rPr>
                <w:rFonts w:cs="Arial"/>
                <w:b/>
                <w:sz w:val="16"/>
                <w:szCs w:val="16"/>
              </w:rPr>
            </w:pPr>
          </w:p>
        </w:tc>
        <w:tc>
          <w:tcPr>
            <w:tcW w:w="3685" w:type="dxa"/>
            <w:tcBorders>
              <w:bottom w:val="single" w:sz="4" w:space="0" w:color="auto"/>
            </w:tcBorders>
            <w:shd w:val="clear" w:color="auto" w:fill="auto"/>
          </w:tcPr>
          <w:p w14:paraId="0D5C86EA" w14:textId="77777777" w:rsidR="00501862" w:rsidRDefault="00501862" w:rsidP="008362E0">
            <w:pPr>
              <w:pStyle w:val="Bullet"/>
              <w:numPr>
                <w:ilvl w:val="0"/>
                <w:numId w:val="0"/>
              </w:numPr>
              <w:spacing w:before="120" w:after="120"/>
            </w:pPr>
            <w:r>
              <w:t>Beurteilung der Angemessenheit der definierten Vorgehensweise zur Interaktion mit dem Verwaltungsrat, dem Prüfungsausschuss und der Inter</w:t>
            </w:r>
            <w:r>
              <w:lastRenderedPageBreak/>
              <w:t>nen Revision hinsichtlich mutmasslicher und aufgetretener schwerwiegender Compliance-Verstösse und der im Anschluss getroffenen Massnahmen</w:t>
            </w:r>
            <w:r w:rsidR="0028473F">
              <w:t>.</w:t>
            </w:r>
          </w:p>
        </w:tc>
        <w:tc>
          <w:tcPr>
            <w:tcW w:w="3827" w:type="dxa"/>
            <w:tcBorders>
              <w:bottom w:val="single" w:sz="4" w:space="0" w:color="auto"/>
            </w:tcBorders>
            <w:shd w:val="clear" w:color="auto" w:fill="auto"/>
          </w:tcPr>
          <w:p w14:paraId="31B081D8" w14:textId="77777777" w:rsidR="00501862" w:rsidRPr="00071D3A" w:rsidRDefault="00501862" w:rsidP="008362E0">
            <w:pPr>
              <w:pStyle w:val="Bullet"/>
              <w:numPr>
                <w:ilvl w:val="0"/>
                <w:numId w:val="0"/>
              </w:numPr>
              <w:spacing w:before="120" w:after="120"/>
            </w:pPr>
          </w:p>
        </w:tc>
        <w:tc>
          <w:tcPr>
            <w:tcW w:w="3686" w:type="dxa"/>
            <w:tcBorders>
              <w:bottom w:val="single" w:sz="4" w:space="0" w:color="auto"/>
            </w:tcBorders>
            <w:shd w:val="clear" w:color="auto" w:fill="auto"/>
          </w:tcPr>
          <w:p w14:paraId="5B721635" w14:textId="77777777" w:rsidR="00501862" w:rsidRPr="00071D3A" w:rsidRDefault="00501862" w:rsidP="008362E0">
            <w:pPr>
              <w:spacing w:before="120" w:after="120" w:line="240" w:lineRule="auto"/>
              <w:rPr>
                <w:rFonts w:cs="Arial"/>
                <w:sz w:val="16"/>
                <w:szCs w:val="16"/>
              </w:rPr>
            </w:pPr>
          </w:p>
        </w:tc>
        <w:tc>
          <w:tcPr>
            <w:tcW w:w="992" w:type="dxa"/>
            <w:tcBorders>
              <w:bottom w:val="single" w:sz="4" w:space="0" w:color="auto"/>
            </w:tcBorders>
            <w:shd w:val="clear" w:color="auto" w:fill="auto"/>
          </w:tcPr>
          <w:p w14:paraId="42CAC7D2" w14:textId="77777777" w:rsidR="00501862" w:rsidRPr="00071D3A" w:rsidRDefault="00501862" w:rsidP="008362E0">
            <w:pPr>
              <w:spacing w:before="120" w:after="120" w:line="240" w:lineRule="auto"/>
              <w:rPr>
                <w:rFonts w:cs="Arial"/>
                <w:sz w:val="16"/>
                <w:szCs w:val="16"/>
              </w:rPr>
            </w:pPr>
          </w:p>
        </w:tc>
      </w:tr>
      <w:tr w:rsidR="00501862" w:rsidRPr="00AF6AA5" w14:paraId="3C6C39F5" w14:textId="77777777" w:rsidTr="008E0A38">
        <w:tc>
          <w:tcPr>
            <w:tcW w:w="531" w:type="dxa"/>
            <w:vMerge w:val="restart"/>
            <w:shd w:val="clear" w:color="auto" w:fill="auto"/>
          </w:tcPr>
          <w:p w14:paraId="2BBE2094" w14:textId="77777777" w:rsidR="00501862" w:rsidRPr="00200356" w:rsidRDefault="00501862" w:rsidP="008362E0">
            <w:pPr>
              <w:spacing w:before="120" w:after="120" w:line="240" w:lineRule="auto"/>
              <w:rPr>
                <w:rFonts w:cs="Arial"/>
                <w:sz w:val="16"/>
                <w:szCs w:val="16"/>
              </w:rPr>
            </w:pPr>
          </w:p>
        </w:tc>
        <w:tc>
          <w:tcPr>
            <w:tcW w:w="1596" w:type="dxa"/>
            <w:vMerge w:val="restart"/>
            <w:shd w:val="clear" w:color="auto" w:fill="auto"/>
          </w:tcPr>
          <w:p w14:paraId="37F4959F" w14:textId="62C6ECB6" w:rsidR="00501862" w:rsidRPr="005A0C5D" w:rsidRDefault="00501862" w:rsidP="00A030F9">
            <w:pPr>
              <w:spacing w:before="120" w:after="120" w:line="240" w:lineRule="auto"/>
              <w:rPr>
                <w:rFonts w:cs="Arial"/>
                <w:b/>
                <w:sz w:val="16"/>
                <w:szCs w:val="16"/>
              </w:rPr>
            </w:pPr>
            <w:r>
              <w:rPr>
                <w:b/>
                <w:sz w:val="16"/>
              </w:rPr>
              <w:t xml:space="preserve">Risikopolitik </w:t>
            </w:r>
          </w:p>
        </w:tc>
        <w:tc>
          <w:tcPr>
            <w:tcW w:w="3685" w:type="dxa"/>
            <w:shd w:val="clear" w:color="auto" w:fill="auto"/>
          </w:tcPr>
          <w:p w14:paraId="3D1CD605" w14:textId="77777777" w:rsidR="00501862" w:rsidRPr="00FB4707" w:rsidRDefault="00501862" w:rsidP="00073DB3">
            <w:pPr>
              <w:pStyle w:val="Bullet"/>
              <w:numPr>
                <w:ilvl w:val="0"/>
                <w:numId w:val="0"/>
              </w:numPr>
              <w:spacing w:before="120" w:after="120"/>
              <w:rPr>
                <w:i/>
              </w:rPr>
            </w:pPr>
            <w:r w:rsidRPr="006C19F9">
              <w:rPr>
                <w:i/>
              </w:rPr>
              <w:t>Beurteilung, ob Verantwortlichkeiten, Genehmigungskompetenzen, Berichterstattung</w:t>
            </w:r>
            <w:r w:rsidR="00A77C9B" w:rsidRPr="006C19F9">
              <w:rPr>
                <w:i/>
              </w:rPr>
              <w:t>s-</w:t>
            </w:r>
            <w:r w:rsidRPr="006C19F9">
              <w:rPr>
                <w:i/>
              </w:rPr>
              <w:t xml:space="preserve"> und Eskalationslinien sowie Sanktionen für schwerwiegende Compliance-Verstösse in der Risikopolitik, in internen Regelungen, Vorgaben, Handbüchern</w:t>
            </w:r>
            <w:r w:rsidR="00AB7BC8" w:rsidRPr="006C19F9">
              <w:rPr>
                <w:i/>
              </w:rPr>
              <w:t xml:space="preserve"> </w:t>
            </w:r>
            <w:r w:rsidRPr="006C19F9">
              <w:rPr>
                <w:i/>
              </w:rPr>
              <w:t xml:space="preserve"> und Stellenbeschreibungen nach Massgabe der Grösse, der Geschäfts- und Organisationskomplexität und des Compliance-Risikos des Instituts angemessen</w:t>
            </w:r>
            <w:r>
              <w:rPr>
                <w:i/>
              </w:rPr>
              <w:t xml:space="preserve"> definiert sind, namentlich</w:t>
            </w:r>
          </w:p>
        </w:tc>
        <w:tc>
          <w:tcPr>
            <w:tcW w:w="3827" w:type="dxa"/>
            <w:shd w:val="clear" w:color="auto" w:fill="auto"/>
          </w:tcPr>
          <w:p w14:paraId="164B4ED1" w14:textId="77777777" w:rsidR="00501862" w:rsidRPr="005A0C5D" w:rsidRDefault="00501862" w:rsidP="008362E0">
            <w:pPr>
              <w:pStyle w:val="Bullet"/>
              <w:numPr>
                <w:ilvl w:val="0"/>
                <w:numId w:val="0"/>
              </w:numPr>
              <w:spacing w:before="120" w:after="120"/>
            </w:pPr>
          </w:p>
        </w:tc>
        <w:tc>
          <w:tcPr>
            <w:tcW w:w="3686" w:type="dxa"/>
            <w:shd w:val="clear" w:color="auto" w:fill="auto"/>
          </w:tcPr>
          <w:p w14:paraId="621B68F6" w14:textId="77777777" w:rsidR="00501862" w:rsidRPr="005A0C5D" w:rsidRDefault="00501862" w:rsidP="008362E0">
            <w:pPr>
              <w:spacing w:before="120" w:after="120" w:line="240" w:lineRule="auto"/>
              <w:rPr>
                <w:rFonts w:cs="Arial"/>
                <w:sz w:val="16"/>
                <w:szCs w:val="16"/>
              </w:rPr>
            </w:pPr>
          </w:p>
        </w:tc>
        <w:tc>
          <w:tcPr>
            <w:tcW w:w="992" w:type="dxa"/>
            <w:shd w:val="clear" w:color="auto" w:fill="auto"/>
          </w:tcPr>
          <w:p w14:paraId="509698AE" w14:textId="77777777" w:rsidR="00501862" w:rsidRPr="001B731A" w:rsidRDefault="00501862" w:rsidP="008362E0">
            <w:pPr>
              <w:spacing w:before="120" w:after="120" w:line="240" w:lineRule="auto"/>
            </w:pPr>
          </w:p>
        </w:tc>
      </w:tr>
      <w:tr w:rsidR="00501862" w:rsidRPr="00AF6AA5" w14:paraId="17D3B005" w14:textId="77777777" w:rsidTr="008E0A38">
        <w:tc>
          <w:tcPr>
            <w:tcW w:w="531" w:type="dxa"/>
            <w:vMerge/>
            <w:shd w:val="clear" w:color="auto" w:fill="auto"/>
          </w:tcPr>
          <w:p w14:paraId="1EF83151" w14:textId="77777777" w:rsidR="00501862" w:rsidRPr="005A0C5D" w:rsidRDefault="00501862" w:rsidP="008362E0">
            <w:pPr>
              <w:spacing w:before="120" w:after="120" w:line="240" w:lineRule="auto"/>
              <w:rPr>
                <w:rFonts w:cs="Arial"/>
                <w:sz w:val="16"/>
                <w:szCs w:val="16"/>
              </w:rPr>
            </w:pPr>
          </w:p>
        </w:tc>
        <w:tc>
          <w:tcPr>
            <w:tcW w:w="1596" w:type="dxa"/>
            <w:vMerge/>
            <w:shd w:val="clear" w:color="auto" w:fill="auto"/>
          </w:tcPr>
          <w:p w14:paraId="3288A494" w14:textId="77777777" w:rsidR="00501862" w:rsidRPr="005A0C5D" w:rsidRDefault="00501862" w:rsidP="008362E0">
            <w:pPr>
              <w:spacing w:before="120" w:after="120" w:line="240" w:lineRule="auto"/>
              <w:rPr>
                <w:rFonts w:cs="Arial"/>
                <w:b/>
                <w:sz w:val="16"/>
                <w:szCs w:val="16"/>
              </w:rPr>
            </w:pPr>
          </w:p>
        </w:tc>
        <w:tc>
          <w:tcPr>
            <w:tcW w:w="3685" w:type="dxa"/>
            <w:shd w:val="clear" w:color="auto" w:fill="auto"/>
          </w:tcPr>
          <w:p w14:paraId="3F1E856D" w14:textId="1B27AA45" w:rsidR="00501862" w:rsidRPr="005A0C5D" w:rsidRDefault="00501862" w:rsidP="008362E0">
            <w:pPr>
              <w:pStyle w:val="Bullet"/>
              <w:numPr>
                <w:ilvl w:val="0"/>
                <w:numId w:val="0"/>
              </w:numPr>
              <w:spacing w:before="120" w:after="120"/>
            </w:pPr>
            <w:r>
              <w:t xml:space="preserve">Beurteilung, ob das Institut über ein adäquates Konzept verfügt, um allen Personen den Umgang mit Compliance-Verstössen zu vermitteln, einschliesslich der Benennung einer Kontaktstelle für schwerwiegende Compliance-Verstösse (z. B. Compliance-Funktion </w:t>
            </w:r>
            <w:r w:rsidRPr="00DA715C">
              <w:t xml:space="preserve">oder </w:t>
            </w:r>
            <w:r>
              <w:t>Whistleblowing-Helpline)</w:t>
            </w:r>
            <w:r w:rsidR="0028473F">
              <w:t>.</w:t>
            </w:r>
          </w:p>
        </w:tc>
        <w:tc>
          <w:tcPr>
            <w:tcW w:w="3827" w:type="dxa"/>
            <w:shd w:val="clear" w:color="auto" w:fill="auto"/>
          </w:tcPr>
          <w:p w14:paraId="10F18144" w14:textId="77777777" w:rsidR="00501862" w:rsidRPr="005A0C5D" w:rsidRDefault="00501862" w:rsidP="008362E0">
            <w:pPr>
              <w:spacing w:before="120" w:after="120" w:line="240" w:lineRule="auto"/>
              <w:ind w:left="33"/>
              <w:rPr>
                <w:rFonts w:cs="Arial"/>
                <w:sz w:val="16"/>
                <w:szCs w:val="16"/>
              </w:rPr>
            </w:pPr>
          </w:p>
        </w:tc>
        <w:tc>
          <w:tcPr>
            <w:tcW w:w="3686" w:type="dxa"/>
            <w:shd w:val="clear" w:color="auto" w:fill="auto"/>
          </w:tcPr>
          <w:p w14:paraId="1BF8B8F0" w14:textId="77777777" w:rsidR="00501862" w:rsidRPr="005A0C5D" w:rsidRDefault="00501862" w:rsidP="008362E0">
            <w:pPr>
              <w:spacing w:before="120" w:after="120" w:line="240" w:lineRule="auto"/>
              <w:rPr>
                <w:rFonts w:cs="Arial"/>
                <w:sz w:val="16"/>
                <w:szCs w:val="16"/>
              </w:rPr>
            </w:pPr>
          </w:p>
        </w:tc>
        <w:tc>
          <w:tcPr>
            <w:tcW w:w="992" w:type="dxa"/>
            <w:shd w:val="clear" w:color="auto" w:fill="auto"/>
          </w:tcPr>
          <w:p w14:paraId="2FDBA19C" w14:textId="77777777" w:rsidR="00501862" w:rsidRPr="001B731A" w:rsidRDefault="00501862" w:rsidP="008362E0">
            <w:pPr>
              <w:spacing w:before="120" w:after="120" w:line="240" w:lineRule="auto"/>
            </w:pPr>
          </w:p>
        </w:tc>
      </w:tr>
      <w:tr w:rsidR="00501862" w:rsidRPr="00AF6AA5" w14:paraId="70C41E8E" w14:textId="77777777" w:rsidTr="008E0A38">
        <w:tc>
          <w:tcPr>
            <w:tcW w:w="531" w:type="dxa"/>
            <w:vMerge/>
            <w:shd w:val="clear" w:color="auto" w:fill="auto"/>
          </w:tcPr>
          <w:p w14:paraId="2F147B32" w14:textId="77777777" w:rsidR="00501862" w:rsidRPr="005A0C5D" w:rsidRDefault="00501862" w:rsidP="008362E0">
            <w:pPr>
              <w:spacing w:before="120" w:after="120" w:line="240" w:lineRule="auto"/>
              <w:rPr>
                <w:rFonts w:cs="Arial"/>
                <w:sz w:val="16"/>
                <w:szCs w:val="16"/>
              </w:rPr>
            </w:pPr>
          </w:p>
        </w:tc>
        <w:tc>
          <w:tcPr>
            <w:tcW w:w="1596" w:type="dxa"/>
            <w:vMerge/>
            <w:shd w:val="clear" w:color="auto" w:fill="auto"/>
          </w:tcPr>
          <w:p w14:paraId="3FC6FCAA" w14:textId="77777777" w:rsidR="00501862" w:rsidRPr="005A0C5D" w:rsidRDefault="00501862" w:rsidP="008362E0">
            <w:pPr>
              <w:spacing w:before="120" w:after="120" w:line="240" w:lineRule="auto"/>
              <w:rPr>
                <w:rFonts w:cs="Arial"/>
                <w:b/>
                <w:sz w:val="16"/>
                <w:szCs w:val="16"/>
              </w:rPr>
            </w:pPr>
          </w:p>
        </w:tc>
        <w:tc>
          <w:tcPr>
            <w:tcW w:w="3685" w:type="dxa"/>
            <w:shd w:val="clear" w:color="auto" w:fill="auto"/>
          </w:tcPr>
          <w:p w14:paraId="4FD7D4E2" w14:textId="096DA04F" w:rsidR="00501862" w:rsidRDefault="00580691" w:rsidP="008362E0">
            <w:pPr>
              <w:spacing w:before="120" w:after="120" w:line="240" w:lineRule="auto"/>
              <w:rPr>
                <w:rFonts w:cs="Arial"/>
                <w:sz w:val="16"/>
                <w:szCs w:val="16"/>
              </w:rPr>
            </w:pPr>
            <w:r w:rsidRPr="00BF1681">
              <w:rPr>
                <w:rFonts w:eastAsiaTheme="minorHAnsi" w:cs="Arial"/>
                <w:b/>
                <w:sz w:val="28"/>
                <w:szCs w:val="16"/>
              </w:rPr>
              <w:t>*</w:t>
            </w:r>
            <w:r>
              <w:t xml:space="preserve"> </w:t>
            </w:r>
            <w:r w:rsidR="00501862">
              <w:rPr>
                <w:sz w:val="16"/>
              </w:rPr>
              <w:t xml:space="preserve">Beurteilung, ob </w:t>
            </w:r>
            <w:r w:rsidR="00A77C9B">
              <w:rPr>
                <w:sz w:val="16"/>
              </w:rPr>
              <w:t xml:space="preserve">der </w:t>
            </w:r>
            <w:r w:rsidR="00501862">
              <w:rPr>
                <w:sz w:val="16"/>
              </w:rPr>
              <w:t>Compliance-Funktion</w:t>
            </w:r>
            <w:r w:rsidR="00A77C9B">
              <w:rPr>
                <w:sz w:val="16"/>
              </w:rPr>
              <w:t xml:space="preserve"> </w:t>
            </w:r>
            <w:r w:rsidR="00501862">
              <w:rPr>
                <w:sz w:val="16"/>
              </w:rPr>
              <w:t xml:space="preserve">angemessene Verantwortlichkeiten zugewiesen wurden, </w:t>
            </w:r>
            <w:r w:rsidR="00A77C9B">
              <w:rPr>
                <w:sz w:val="16"/>
              </w:rPr>
              <w:t xml:space="preserve">damit sie </w:t>
            </w:r>
          </w:p>
          <w:p w14:paraId="260EB4C0" w14:textId="3C6B1E0A" w:rsidR="00501862" w:rsidRPr="002B52B1" w:rsidRDefault="00501862" w:rsidP="008362E0">
            <w:pPr>
              <w:numPr>
                <w:ilvl w:val="0"/>
                <w:numId w:val="9"/>
              </w:numPr>
              <w:spacing w:before="120" w:after="120" w:line="240" w:lineRule="auto"/>
              <w:ind w:left="170" w:hanging="170"/>
              <w:rPr>
                <w:rFonts w:cs="Arial"/>
                <w:sz w:val="16"/>
                <w:szCs w:val="16"/>
              </w:rPr>
            </w:pPr>
            <w:r>
              <w:rPr>
                <w:sz w:val="16"/>
              </w:rPr>
              <w:t>schwerwiegende Compliance-Verstösse fest</w:t>
            </w:r>
            <w:r w:rsidR="00A77C9B">
              <w:rPr>
                <w:sz w:val="16"/>
              </w:rPr>
              <w:t>s</w:t>
            </w:r>
            <w:r>
              <w:rPr>
                <w:sz w:val="16"/>
              </w:rPr>
              <w:t>tellen und untersuchen</w:t>
            </w:r>
            <w:r w:rsidR="00A77C9B">
              <w:rPr>
                <w:sz w:val="16"/>
              </w:rPr>
              <w:t xml:space="preserve"> kann</w:t>
            </w:r>
          </w:p>
          <w:p w14:paraId="1D38EAA4" w14:textId="633A9687" w:rsidR="00501862" w:rsidRDefault="00501862" w:rsidP="008362E0">
            <w:pPr>
              <w:numPr>
                <w:ilvl w:val="0"/>
                <w:numId w:val="9"/>
              </w:numPr>
              <w:spacing w:before="120" w:after="120" w:line="240" w:lineRule="auto"/>
              <w:ind w:left="170" w:hanging="170"/>
              <w:rPr>
                <w:rFonts w:cs="Arial"/>
                <w:sz w:val="16"/>
                <w:szCs w:val="16"/>
              </w:rPr>
            </w:pPr>
            <w:r>
              <w:rPr>
                <w:sz w:val="16"/>
              </w:rPr>
              <w:t xml:space="preserve">die </w:t>
            </w:r>
            <w:r w:rsidR="00771B14">
              <w:rPr>
                <w:sz w:val="16"/>
              </w:rPr>
              <w:t>Geschäftsleitung</w:t>
            </w:r>
            <w:r>
              <w:rPr>
                <w:sz w:val="16"/>
              </w:rPr>
              <w:t xml:space="preserve"> bei der Definition von Anweisungen und Massnahmen unterstützen</w:t>
            </w:r>
            <w:r w:rsidR="00D708F5">
              <w:rPr>
                <w:sz w:val="16"/>
              </w:rPr>
              <w:t xml:space="preserve"> kann</w:t>
            </w:r>
          </w:p>
          <w:p w14:paraId="2B8E5498" w14:textId="428D5EB2" w:rsidR="00501862" w:rsidRDefault="00501862" w:rsidP="008362E0">
            <w:pPr>
              <w:numPr>
                <w:ilvl w:val="0"/>
                <w:numId w:val="9"/>
              </w:numPr>
              <w:spacing w:before="120" w:after="120" w:line="240" w:lineRule="auto"/>
              <w:ind w:left="170" w:hanging="170"/>
              <w:rPr>
                <w:rFonts w:cs="Arial"/>
                <w:sz w:val="16"/>
                <w:szCs w:val="16"/>
              </w:rPr>
            </w:pPr>
            <w:r>
              <w:rPr>
                <w:sz w:val="16"/>
              </w:rPr>
              <w:t>die Interne Revision über schwerwiegende Compliance-Verstösse und bedeutende Entwicklungen bezüglich Compliance-Risiken informieren</w:t>
            </w:r>
            <w:r w:rsidR="0087033B">
              <w:rPr>
                <w:sz w:val="16"/>
              </w:rPr>
              <w:t xml:space="preserve"> kann</w:t>
            </w:r>
          </w:p>
          <w:p w14:paraId="0E501BD8" w14:textId="7E0118DA" w:rsidR="00501862" w:rsidRPr="002B52B1" w:rsidRDefault="00501862">
            <w:pPr>
              <w:numPr>
                <w:ilvl w:val="0"/>
                <w:numId w:val="9"/>
              </w:numPr>
              <w:spacing w:before="120" w:after="120" w:line="240" w:lineRule="auto"/>
              <w:ind w:left="170" w:hanging="170"/>
              <w:rPr>
                <w:rFonts w:cs="Arial"/>
                <w:sz w:val="16"/>
                <w:szCs w:val="16"/>
              </w:rPr>
            </w:pPr>
            <w:r>
              <w:rPr>
                <w:sz w:val="16"/>
              </w:rPr>
              <w:t>Verstösse an die entsprechenden Leitungsorgane und -ausschüsse eskalieren</w:t>
            </w:r>
            <w:r w:rsidR="00BC5D49">
              <w:rPr>
                <w:sz w:val="16"/>
              </w:rPr>
              <w:t xml:space="preserve"> kann</w:t>
            </w:r>
            <w:r>
              <w:rPr>
                <w:sz w:val="16"/>
              </w:rPr>
              <w:t xml:space="preserve">, falls </w:t>
            </w:r>
            <w:r>
              <w:rPr>
                <w:sz w:val="16"/>
              </w:rPr>
              <w:lastRenderedPageBreak/>
              <w:t xml:space="preserve">die </w:t>
            </w:r>
            <w:r w:rsidR="00771B14">
              <w:rPr>
                <w:sz w:val="16"/>
              </w:rPr>
              <w:t>Geschäftsleitung</w:t>
            </w:r>
            <w:r>
              <w:rPr>
                <w:sz w:val="16"/>
              </w:rPr>
              <w:t xml:space="preserve"> eine Behandlung oder eine Sanktion ablehnt</w:t>
            </w:r>
            <w:r w:rsidR="0028473F">
              <w:rPr>
                <w:sz w:val="16"/>
              </w:rPr>
              <w:t>.</w:t>
            </w:r>
          </w:p>
        </w:tc>
        <w:tc>
          <w:tcPr>
            <w:tcW w:w="3827" w:type="dxa"/>
            <w:shd w:val="clear" w:color="auto" w:fill="auto"/>
          </w:tcPr>
          <w:p w14:paraId="3248F208" w14:textId="77777777" w:rsidR="00501862" w:rsidRPr="005A0C5D" w:rsidRDefault="00501862" w:rsidP="008362E0">
            <w:pPr>
              <w:spacing w:before="120" w:after="120" w:line="240" w:lineRule="auto"/>
              <w:ind w:left="33"/>
              <w:rPr>
                <w:rFonts w:cs="Arial"/>
                <w:sz w:val="16"/>
                <w:szCs w:val="16"/>
              </w:rPr>
            </w:pPr>
          </w:p>
        </w:tc>
        <w:tc>
          <w:tcPr>
            <w:tcW w:w="3686" w:type="dxa"/>
            <w:shd w:val="clear" w:color="auto" w:fill="auto"/>
          </w:tcPr>
          <w:p w14:paraId="3379D81A" w14:textId="77777777" w:rsidR="00501862" w:rsidRPr="005A0C5D" w:rsidRDefault="00501862" w:rsidP="008362E0">
            <w:pPr>
              <w:spacing w:before="120" w:after="120" w:line="240" w:lineRule="auto"/>
              <w:rPr>
                <w:rFonts w:cs="Arial"/>
                <w:sz w:val="16"/>
                <w:szCs w:val="16"/>
              </w:rPr>
            </w:pPr>
          </w:p>
        </w:tc>
        <w:tc>
          <w:tcPr>
            <w:tcW w:w="992" w:type="dxa"/>
            <w:shd w:val="clear" w:color="auto" w:fill="auto"/>
          </w:tcPr>
          <w:p w14:paraId="646423F3" w14:textId="77777777" w:rsidR="00501862" w:rsidRPr="001B731A" w:rsidRDefault="00501862" w:rsidP="008362E0">
            <w:pPr>
              <w:spacing w:before="120" w:after="120" w:line="240" w:lineRule="auto"/>
            </w:pPr>
          </w:p>
        </w:tc>
      </w:tr>
      <w:tr w:rsidR="00501862" w:rsidRPr="00AF6AA5" w14:paraId="69DECC66" w14:textId="77777777" w:rsidTr="008E0A38">
        <w:tc>
          <w:tcPr>
            <w:tcW w:w="531" w:type="dxa"/>
            <w:vMerge/>
            <w:shd w:val="clear" w:color="auto" w:fill="auto"/>
          </w:tcPr>
          <w:p w14:paraId="2ED52267" w14:textId="77777777" w:rsidR="00501862" w:rsidRPr="005A0C5D" w:rsidRDefault="00501862" w:rsidP="008362E0">
            <w:pPr>
              <w:spacing w:before="120" w:after="120" w:line="240" w:lineRule="auto"/>
              <w:rPr>
                <w:rFonts w:cs="Arial"/>
                <w:sz w:val="16"/>
                <w:szCs w:val="16"/>
              </w:rPr>
            </w:pPr>
          </w:p>
        </w:tc>
        <w:tc>
          <w:tcPr>
            <w:tcW w:w="1596" w:type="dxa"/>
            <w:vMerge/>
            <w:shd w:val="clear" w:color="auto" w:fill="auto"/>
          </w:tcPr>
          <w:p w14:paraId="419583CA" w14:textId="77777777" w:rsidR="00501862" w:rsidRPr="005A0C5D" w:rsidRDefault="00501862" w:rsidP="008362E0">
            <w:pPr>
              <w:spacing w:before="120" w:after="120" w:line="240" w:lineRule="auto"/>
              <w:rPr>
                <w:rFonts w:cs="Arial"/>
                <w:b/>
                <w:sz w:val="16"/>
                <w:szCs w:val="16"/>
              </w:rPr>
            </w:pPr>
          </w:p>
        </w:tc>
        <w:tc>
          <w:tcPr>
            <w:tcW w:w="3685" w:type="dxa"/>
            <w:shd w:val="clear" w:color="auto" w:fill="auto"/>
          </w:tcPr>
          <w:p w14:paraId="1FEDA2F8" w14:textId="77777777" w:rsidR="00501862" w:rsidRPr="005A0C5D" w:rsidRDefault="00501862" w:rsidP="00D62382">
            <w:pPr>
              <w:pStyle w:val="Bullet"/>
              <w:numPr>
                <w:ilvl w:val="0"/>
                <w:numId w:val="0"/>
              </w:numPr>
              <w:spacing w:before="120" w:after="120"/>
            </w:pPr>
            <w:r>
              <w:t xml:space="preserve">Beurteilung der Angemessenheit der Zuweisung von Genehmigungskompetenzen für Anweisungen und Massnahmen im Zusammenhang mit schwerwiegenden Compliance-Verstössen, einschliesslich Genehmigung der untersuchenden Partei und Massnahmen im Anschluss an die Untersuchung (z. B. an die </w:t>
            </w:r>
            <w:r w:rsidR="00771B14">
              <w:t>Geschäftsleitung</w:t>
            </w:r>
            <w:r>
              <w:t xml:space="preserve"> bzw. an </w:t>
            </w:r>
            <w:r w:rsidRPr="00D62382">
              <w:t>den Verwaltungsrat</w:t>
            </w:r>
            <w:r>
              <w:t xml:space="preserve"> oder an einen seiner Ausschüsse)</w:t>
            </w:r>
            <w:r w:rsidR="00771D86">
              <w:t>.</w:t>
            </w:r>
          </w:p>
        </w:tc>
        <w:tc>
          <w:tcPr>
            <w:tcW w:w="3827" w:type="dxa"/>
            <w:shd w:val="clear" w:color="auto" w:fill="auto"/>
          </w:tcPr>
          <w:p w14:paraId="7A91BB9D" w14:textId="77777777" w:rsidR="00501862" w:rsidRPr="005A0C5D" w:rsidRDefault="00501862" w:rsidP="008362E0">
            <w:pPr>
              <w:pStyle w:val="Bullet"/>
              <w:numPr>
                <w:ilvl w:val="0"/>
                <w:numId w:val="0"/>
              </w:numPr>
              <w:spacing w:before="120" w:after="120"/>
              <w:ind w:left="33"/>
            </w:pPr>
          </w:p>
        </w:tc>
        <w:tc>
          <w:tcPr>
            <w:tcW w:w="3686" w:type="dxa"/>
            <w:shd w:val="clear" w:color="auto" w:fill="auto"/>
          </w:tcPr>
          <w:p w14:paraId="43D766BA" w14:textId="77777777" w:rsidR="00501862" w:rsidRPr="005A0C5D" w:rsidRDefault="00501862" w:rsidP="008362E0">
            <w:pPr>
              <w:spacing w:before="120" w:after="120" w:line="240" w:lineRule="auto"/>
              <w:rPr>
                <w:rFonts w:cs="Arial"/>
                <w:sz w:val="16"/>
                <w:szCs w:val="16"/>
              </w:rPr>
            </w:pPr>
          </w:p>
        </w:tc>
        <w:tc>
          <w:tcPr>
            <w:tcW w:w="992" w:type="dxa"/>
            <w:shd w:val="clear" w:color="auto" w:fill="auto"/>
          </w:tcPr>
          <w:p w14:paraId="398CCE9A" w14:textId="77777777" w:rsidR="00501862" w:rsidRPr="001B731A" w:rsidRDefault="00501862" w:rsidP="008362E0">
            <w:pPr>
              <w:spacing w:before="120" w:after="120" w:line="240" w:lineRule="auto"/>
            </w:pPr>
          </w:p>
        </w:tc>
      </w:tr>
      <w:tr w:rsidR="00501862" w:rsidRPr="00AF6AA5" w14:paraId="18784242" w14:textId="77777777" w:rsidTr="008E0A38">
        <w:tc>
          <w:tcPr>
            <w:tcW w:w="531" w:type="dxa"/>
            <w:shd w:val="clear" w:color="auto" w:fill="auto"/>
          </w:tcPr>
          <w:p w14:paraId="235458D2" w14:textId="77777777" w:rsidR="00501862" w:rsidRPr="005A0C5D" w:rsidRDefault="00501862" w:rsidP="008362E0">
            <w:pPr>
              <w:spacing w:before="120" w:after="120" w:line="240" w:lineRule="auto"/>
              <w:rPr>
                <w:rFonts w:cs="Arial"/>
                <w:sz w:val="16"/>
                <w:szCs w:val="16"/>
              </w:rPr>
            </w:pPr>
          </w:p>
        </w:tc>
        <w:tc>
          <w:tcPr>
            <w:tcW w:w="1596" w:type="dxa"/>
            <w:shd w:val="clear" w:color="auto" w:fill="auto"/>
          </w:tcPr>
          <w:p w14:paraId="75E03C1D" w14:textId="77777777" w:rsidR="00501862" w:rsidRPr="005A0C5D" w:rsidRDefault="00501862" w:rsidP="008362E0">
            <w:pPr>
              <w:spacing w:before="120" w:after="120" w:line="240" w:lineRule="auto"/>
              <w:rPr>
                <w:rFonts w:cs="Arial"/>
                <w:b/>
                <w:sz w:val="16"/>
                <w:szCs w:val="16"/>
              </w:rPr>
            </w:pPr>
          </w:p>
        </w:tc>
        <w:tc>
          <w:tcPr>
            <w:tcW w:w="3685" w:type="dxa"/>
            <w:shd w:val="clear" w:color="auto" w:fill="auto"/>
          </w:tcPr>
          <w:p w14:paraId="366F1DD8" w14:textId="77777777" w:rsidR="00501862" w:rsidRPr="00071D3A" w:rsidRDefault="00501862" w:rsidP="008362E0">
            <w:pPr>
              <w:pStyle w:val="Bullet"/>
              <w:numPr>
                <w:ilvl w:val="0"/>
                <w:numId w:val="0"/>
              </w:numPr>
              <w:spacing w:before="120" w:after="120"/>
            </w:pPr>
            <w:r>
              <w:t>Beurteilung der Angemessenheit der Vorgehensweise zur Berücksichtigung von Compliance-Zielen im Rahmen der Leistungsbeurteilung</w:t>
            </w:r>
            <w:r w:rsidR="00771D86">
              <w:t>.</w:t>
            </w:r>
          </w:p>
        </w:tc>
        <w:tc>
          <w:tcPr>
            <w:tcW w:w="3827" w:type="dxa"/>
            <w:shd w:val="clear" w:color="auto" w:fill="auto"/>
          </w:tcPr>
          <w:p w14:paraId="5FD8C44E" w14:textId="77777777" w:rsidR="00501862" w:rsidRPr="005A0C5D" w:rsidRDefault="00501862" w:rsidP="008362E0">
            <w:pPr>
              <w:pStyle w:val="Bullet"/>
              <w:numPr>
                <w:ilvl w:val="0"/>
                <w:numId w:val="0"/>
              </w:numPr>
              <w:spacing w:before="120" w:after="120"/>
              <w:ind w:left="33"/>
            </w:pPr>
          </w:p>
        </w:tc>
        <w:tc>
          <w:tcPr>
            <w:tcW w:w="3686" w:type="dxa"/>
            <w:shd w:val="clear" w:color="auto" w:fill="auto"/>
          </w:tcPr>
          <w:p w14:paraId="19EFC033" w14:textId="77777777" w:rsidR="00501862" w:rsidRPr="005A0C5D" w:rsidRDefault="00501862" w:rsidP="008362E0">
            <w:pPr>
              <w:spacing w:before="120" w:after="120" w:line="240" w:lineRule="auto"/>
              <w:rPr>
                <w:rFonts w:cs="Arial"/>
                <w:sz w:val="16"/>
                <w:szCs w:val="16"/>
              </w:rPr>
            </w:pPr>
          </w:p>
        </w:tc>
        <w:tc>
          <w:tcPr>
            <w:tcW w:w="992" w:type="dxa"/>
            <w:shd w:val="clear" w:color="auto" w:fill="auto"/>
          </w:tcPr>
          <w:p w14:paraId="1DAD3288" w14:textId="77777777" w:rsidR="00501862" w:rsidRPr="001B731A" w:rsidRDefault="00501862" w:rsidP="008362E0">
            <w:pPr>
              <w:spacing w:before="120" w:after="120" w:line="240" w:lineRule="auto"/>
            </w:pPr>
          </w:p>
        </w:tc>
      </w:tr>
      <w:tr w:rsidR="00501862" w:rsidRPr="00AF6AA5" w14:paraId="4BF6797C" w14:textId="77777777" w:rsidTr="008E0A38">
        <w:tc>
          <w:tcPr>
            <w:tcW w:w="531" w:type="dxa"/>
            <w:shd w:val="clear" w:color="auto" w:fill="auto"/>
          </w:tcPr>
          <w:p w14:paraId="58928FF4" w14:textId="77777777" w:rsidR="00501862" w:rsidRPr="005A0C5D" w:rsidRDefault="00501862" w:rsidP="008362E0">
            <w:pPr>
              <w:spacing w:before="120" w:after="120" w:line="240" w:lineRule="auto"/>
              <w:rPr>
                <w:rFonts w:cs="Arial"/>
                <w:sz w:val="16"/>
                <w:szCs w:val="16"/>
              </w:rPr>
            </w:pPr>
          </w:p>
        </w:tc>
        <w:tc>
          <w:tcPr>
            <w:tcW w:w="1596" w:type="dxa"/>
            <w:shd w:val="clear" w:color="auto" w:fill="auto"/>
          </w:tcPr>
          <w:p w14:paraId="09A96367" w14:textId="77777777" w:rsidR="00501862" w:rsidRPr="005A0C5D" w:rsidRDefault="00501862" w:rsidP="008362E0">
            <w:pPr>
              <w:spacing w:before="120" w:after="120" w:line="240" w:lineRule="auto"/>
              <w:rPr>
                <w:rFonts w:cs="Arial"/>
                <w:b/>
                <w:sz w:val="16"/>
                <w:szCs w:val="16"/>
              </w:rPr>
            </w:pPr>
          </w:p>
        </w:tc>
        <w:tc>
          <w:tcPr>
            <w:tcW w:w="3685" w:type="dxa"/>
            <w:shd w:val="clear" w:color="auto" w:fill="auto"/>
          </w:tcPr>
          <w:p w14:paraId="42571F24" w14:textId="375C509D" w:rsidR="00501862" w:rsidRPr="00071D3A" w:rsidRDefault="003C377B" w:rsidP="003C377B">
            <w:pPr>
              <w:pStyle w:val="Bullet"/>
              <w:numPr>
                <w:ilvl w:val="0"/>
                <w:numId w:val="0"/>
              </w:numPr>
              <w:spacing w:before="120" w:after="120"/>
            </w:pPr>
            <w:r w:rsidRPr="00BF1681">
              <w:rPr>
                <w:b/>
                <w:sz w:val="28"/>
                <w:szCs w:val="24"/>
              </w:rPr>
              <w:t>*</w:t>
            </w:r>
            <w:r>
              <w:t xml:space="preserve"> </w:t>
            </w:r>
            <w:r w:rsidR="00501862">
              <w:t>Beurteilung der Angemessenheit von allgemeinen Sanktionsregelungen des Instituts bezüglich der Einhaltung von aufsichtsrechtlichen Regeln und Vorschriften</w:t>
            </w:r>
            <w:r w:rsidR="00771D86">
              <w:t>.</w:t>
            </w:r>
          </w:p>
        </w:tc>
        <w:tc>
          <w:tcPr>
            <w:tcW w:w="3827" w:type="dxa"/>
            <w:shd w:val="clear" w:color="auto" w:fill="auto"/>
          </w:tcPr>
          <w:p w14:paraId="23526ED0" w14:textId="77777777" w:rsidR="00501862" w:rsidRPr="005A0C5D" w:rsidRDefault="00501862" w:rsidP="008362E0">
            <w:pPr>
              <w:pStyle w:val="Bullet"/>
              <w:numPr>
                <w:ilvl w:val="0"/>
                <w:numId w:val="0"/>
              </w:numPr>
              <w:spacing w:before="120" w:after="120"/>
              <w:ind w:left="33"/>
            </w:pPr>
          </w:p>
        </w:tc>
        <w:tc>
          <w:tcPr>
            <w:tcW w:w="3686" w:type="dxa"/>
            <w:shd w:val="clear" w:color="auto" w:fill="auto"/>
          </w:tcPr>
          <w:p w14:paraId="2C71E706" w14:textId="77777777" w:rsidR="00501862" w:rsidRPr="005A0C5D" w:rsidRDefault="00501862" w:rsidP="008362E0">
            <w:pPr>
              <w:spacing w:before="120" w:after="120" w:line="240" w:lineRule="auto"/>
              <w:rPr>
                <w:rFonts w:cs="Arial"/>
                <w:sz w:val="16"/>
                <w:szCs w:val="16"/>
              </w:rPr>
            </w:pPr>
          </w:p>
        </w:tc>
        <w:tc>
          <w:tcPr>
            <w:tcW w:w="992" w:type="dxa"/>
            <w:shd w:val="clear" w:color="auto" w:fill="auto"/>
          </w:tcPr>
          <w:p w14:paraId="28B89345" w14:textId="77777777" w:rsidR="00501862" w:rsidRPr="001B731A" w:rsidRDefault="00501862" w:rsidP="008362E0">
            <w:pPr>
              <w:spacing w:before="120" w:after="120" w:line="240" w:lineRule="auto"/>
            </w:pPr>
          </w:p>
        </w:tc>
      </w:tr>
      <w:tr w:rsidR="00501862" w:rsidRPr="00AF6AA5" w14:paraId="7D9FF916" w14:textId="77777777" w:rsidTr="008E0A38">
        <w:tc>
          <w:tcPr>
            <w:tcW w:w="531" w:type="dxa"/>
            <w:vMerge w:val="restart"/>
            <w:shd w:val="clear" w:color="auto" w:fill="auto"/>
          </w:tcPr>
          <w:p w14:paraId="499F6576" w14:textId="77777777" w:rsidR="00501862" w:rsidRPr="00200356" w:rsidRDefault="00501862" w:rsidP="008362E0">
            <w:pPr>
              <w:spacing w:before="120" w:after="120" w:line="240" w:lineRule="auto"/>
              <w:rPr>
                <w:rFonts w:cs="Arial"/>
                <w:sz w:val="16"/>
                <w:szCs w:val="16"/>
              </w:rPr>
            </w:pPr>
          </w:p>
        </w:tc>
        <w:tc>
          <w:tcPr>
            <w:tcW w:w="1596" w:type="dxa"/>
            <w:vMerge w:val="restart"/>
            <w:shd w:val="clear" w:color="auto" w:fill="auto"/>
          </w:tcPr>
          <w:p w14:paraId="03042A6D" w14:textId="0473E447" w:rsidR="00501862" w:rsidRPr="00051CD5" w:rsidRDefault="00501862" w:rsidP="00A030F9">
            <w:pPr>
              <w:spacing w:before="120" w:after="120" w:line="240" w:lineRule="auto"/>
              <w:rPr>
                <w:rFonts w:cs="Arial"/>
                <w:b/>
                <w:sz w:val="16"/>
                <w:szCs w:val="16"/>
              </w:rPr>
            </w:pPr>
            <w:r>
              <w:rPr>
                <w:b/>
                <w:sz w:val="16"/>
              </w:rPr>
              <w:t xml:space="preserve">Einhaltung der bestehenden Risikopolitik </w:t>
            </w:r>
          </w:p>
        </w:tc>
        <w:tc>
          <w:tcPr>
            <w:tcW w:w="3685" w:type="dxa"/>
            <w:shd w:val="clear" w:color="auto" w:fill="auto"/>
          </w:tcPr>
          <w:p w14:paraId="51DC40CF" w14:textId="6D092951" w:rsidR="00501862" w:rsidRPr="00051CD5" w:rsidRDefault="00501862" w:rsidP="00A030F9">
            <w:pPr>
              <w:pStyle w:val="Bullet"/>
              <w:numPr>
                <w:ilvl w:val="0"/>
                <w:numId w:val="0"/>
              </w:numPr>
              <w:spacing w:before="120" w:after="120"/>
              <w:rPr>
                <w:i/>
              </w:rPr>
            </w:pPr>
            <w:r>
              <w:rPr>
                <w:i/>
              </w:rPr>
              <w:t>Beurteilung, ob die Risikopolitik im Zusammenhang mit schwerwiegenden Compliance-Verstössen effektiv angewendet und eingehalten wurden, namentlich</w:t>
            </w:r>
          </w:p>
        </w:tc>
        <w:tc>
          <w:tcPr>
            <w:tcW w:w="3827" w:type="dxa"/>
            <w:shd w:val="clear" w:color="auto" w:fill="auto"/>
          </w:tcPr>
          <w:p w14:paraId="09AF1B4C" w14:textId="77777777" w:rsidR="00501862" w:rsidRPr="00051CD5" w:rsidRDefault="00501862" w:rsidP="008362E0">
            <w:pPr>
              <w:pStyle w:val="Bullet"/>
              <w:numPr>
                <w:ilvl w:val="0"/>
                <w:numId w:val="0"/>
              </w:numPr>
              <w:spacing w:before="120" w:after="120"/>
            </w:pPr>
          </w:p>
        </w:tc>
        <w:tc>
          <w:tcPr>
            <w:tcW w:w="3686" w:type="dxa"/>
            <w:shd w:val="clear" w:color="auto" w:fill="auto"/>
          </w:tcPr>
          <w:p w14:paraId="1DB6F1C7" w14:textId="77777777" w:rsidR="00501862" w:rsidRPr="00051CD5" w:rsidRDefault="00501862" w:rsidP="008362E0">
            <w:pPr>
              <w:spacing w:before="120" w:after="120" w:line="240" w:lineRule="auto"/>
              <w:rPr>
                <w:rFonts w:cs="Arial"/>
                <w:sz w:val="16"/>
                <w:szCs w:val="16"/>
              </w:rPr>
            </w:pPr>
          </w:p>
        </w:tc>
        <w:tc>
          <w:tcPr>
            <w:tcW w:w="992" w:type="dxa"/>
            <w:shd w:val="clear" w:color="auto" w:fill="auto"/>
          </w:tcPr>
          <w:p w14:paraId="0E66177E" w14:textId="77777777" w:rsidR="00501862" w:rsidRPr="001B731A" w:rsidRDefault="00501862" w:rsidP="008362E0">
            <w:pPr>
              <w:spacing w:before="120" w:after="120" w:line="240" w:lineRule="auto"/>
            </w:pPr>
          </w:p>
        </w:tc>
      </w:tr>
      <w:tr w:rsidR="00501862" w:rsidRPr="00AF6AA5" w14:paraId="030D2EF4" w14:textId="77777777" w:rsidTr="008E0A38">
        <w:tc>
          <w:tcPr>
            <w:tcW w:w="531" w:type="dxa"/>
            <w:vMerge/>
            <w:shd w:val="clear" w:color="auto" w:fill="auto"/>
          </w:tcPr>
          <w:p w14:paraId="7D23C9A8" w14:textId="77777777" w:rsidR="00501862" w:rsidRPr="00051CD5" w:rsidRDefault="00501862" w:rsidP="008362E0">
            <w:pPr>
              <w:spacing w:before="120" w:after="120" w:line="240" w:lineRule="auto"/>
              <w:rPr>
                <w:rFonts w:cs="Arial"/>
                <w:sz w:val="16"/>
                <w:szCs w:val="16"/>
              </w:rPr>
            </w:pPr>
          </w:p>
        </w:tc>
        <w:tc>
          <w:tcPr>
            <w:tcW w:w="1596" w:type="dxa"/>
            <w:vMerge/>
            <w:shd w:val="clear" w:color="auto" w:fill="auto"/>
          </w:tcPr>
          <w:p w14:paraId="60FC3E38" w14:textId="77777777" w:rsidR="00501862" w:rsidRPr="00051CD5" w:rsidRDefault="00501862" w:rsidP="008362E0">
            <w:pPr>
              <w:spacing w:before="120" w:after="120" w:line="240" w:lineRule="auto"/>
              <w:rPr>
                <w:rFonts w:cs="Arial"/>
                <w:b/>
                <w:sz w:val="16"/>
                <w:szCs w:val="16"/>
              </w:rPr>
            </w:pPr>
          </w:p>
        </w:tc>
        <w:tc>
          <w:tcPr>
            <w:tcW w:w="3685" w:type="dxa"/>
            <w:shd w:val="clear" w:color="auto" w:fill="auto"/>
          </w:tcPr>
          <w:p w14:paraId="47EBE4DA" w14:textId="77777777" w:rsidR="00501862" w:rsidRPr="00051CD5" w:rsidRDefault="00501862" w:rsidP="008362E0">
            <w:pPr>
              <w:pStyle w:val="Bullet"/>
              <w:numPr>
                <w:ilvl w:val="0"/>
                <w:numId w:val="0"/>
              </w:numPr>
              <w:spacing w:before="120" w:after="120"/>
            </w:pPr>
            <w:r>
              <w:t xml:space="preserve">Aneignung eines Überblicks über schwerwiegende Compliance-Verstösse während der Prüfperiode. Untersuchung und Beurteilung, wie die </w:t>
            </w:r>
            <w:r w:rsidR="00771B14">
              <w:t>Geschäftsleitung</w:t>
            </w:r>
            <w:r>
              <w:t xml:space="preserve"> die Einhaltung interner Richtlinien, Weisungen und Limiten sichergestellt hat</w:t>
            </w:r>
            <w:r w:rsidR="00771D86">
              <w:t>.</w:t>
            </w:r>
          </w:p>
        </w:tc>
        <w:tc>
          <w:tcPr>
            <w:tcW w:w="3827" w:type="dxa"/>
            <w:shd w:val="clear" w:color="auto" w:fill="auto"/>
          </w:tcPr>
          <w:p w14:paraId="3FB7585C" w14:textId="77777777" w:rsidR="00501862" w:rsidRPr="00051CD5" w:rsidRDefault="00501862" w:rsidP="00354A21">
            <w:pPr>
              <w:spacing w:before="120" w:after="120" w:line="240" w:lineRule="auto"/>
              <w:ind w:left="33"/>
              <w:rPr>
                <w:rFonts w:cs="Arial"/>
                <w:sz w:val="16"/>
                <w:szCs w:val="16"/>
              </w:rPr>
            </w:pPr>
            <w:r>
              <w:rPr>
                <w:sz w:val="16"/>
              </w:rPr>
              <w:t xml:space="preserve">Durchführung </w:t>
            </w:r>
            <w:r w:rsidR="00354A21" w:rsidRPr="00F0695B">
              <w:rPr>
                <w:sz w:val="16"/>
              </w:rPr>
              <w:t xml:space="preserve">von aussagebezogenen Prüfungshandlungen </w:t>
            </w:r>
            <w:r w:rsidRPr="00F0695B">
              <w:rPr>
                <w:sz w:val="16"/>
              </w:rPr>
              <w:t>auf Stichprobenbasis, ob interne Richtlinien, Weisungen und Limiten beim Umgang mit schwerwiegenden Compliance-Verstössen</w:t>
            </w:r>
            <w:r>
              <w:rPr>
                <w:sz w:val="16"/>
              </w:rPr>
              <w:t xml:space="preserve"> eingehalten wurden</w:t>
            </w:r>
            <w:r w:rsidR="00771D86">
              <w:rPr>
                <w:sz w:val="16"/>
              </w:rPr>
              <w:t>.</w:t>
            </w:r>
          </w:p>
        </w:tc>
        <w:tc>
          <w:tcPr>
            <w:tcW w:w="3686" w:type="dxa"/>
            <w:shd w:val="clear" w:color="auto" w:fill="auto"/>
          </w:tcPr>
          <w:p w14:paraId="77C5A11A" w14:textId="77777777" w:rsidR="00501862" w:rsidRPr="00051CD5" w:rsidRDefault="00501862" w:rsidP="008362E0">
            <w:pPr>
              <w:spacing w:before="120" w:after="120" w:line="240" w:lineRule="auto"/>
              <w:rPr>
                <w:rFonts w:cs="Arial"/>
                <w:sz w:val="16"/>
                <w:szCs w:val="16"/>
              </w:rPr>
            </w:pPr>
          </w:p>
        </w:tc>
        <w:tc>
          <w:tcPr>
            <w:tcW w:w="992" w:type="dxa"/>
            <w:shd w:val="clear" w:color="auto" w:fill="auto"/>
          </w:tcPr>
          <w:p w14:paraId="73C260EC" w14:textId="77777777" w:rsidR="00501862" w:rsidRPr="001B731A" w:rsidRDefault="00501862" w:rsidP="008362E0">
            <w:pPr>
              <w:spacing w:before="120" w:after="120" w:line="240" w:lineRule="auto"/>
            </w:pPr>
          </w:p>
        </w:tc>
      </w:tr>
    </w:tbl>
    <w:p w14:paraId="2BCF0BCD" w14:textId="77777777" w:rsidR="00E768A7" w:rsidRDefault="00E768A7" w:rsidP="008362E0">
      <w:pPr>
        <w:spacing w:before="120" w:after="120" w:line="240" w:lineRule="auto"/>
        <w:rPr>
          <w:rFonts w:ascii="EYInterstate Light" w:hAnsi="EYInterstate Light"/>
        </w:rPr>
      </w:pPr>
    </w:p>
    <w:p w14:paraId="4104840D" w14:textId="77777777" w:rsidR="00E768A7" w:rsidRDefault="00E768A7">
      <w:pPr>
        <w:spacing w:line="240" w:lineRule="auto"/>
        <w:rPr>
          <w:rFonts w:ascii="EYInterstate Light" w:hAnsi="EYInterstate Light"/>
        </w:rPr>
      </w:pPr>
      <w:r>
        <w:rPr>
          <w:rFonts w:ascii="EYInterstate Light" w:hAnsi="EYInterstate Light"/>
        </w:rPr>
        <w:br w:type="page"/>
      </w:r>
    </w:p>
    <w:tbl>
      <w:tblPr>
        <w:tblpPr w:leftFromText="141" w:rightFromText="141" w:vertAnchor="text" w:tblpX="13745" w:tblpY="-184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
      </w:tblGrid>
      <w:tr w:rsidR="00E768A7" w:rsidRPr="000373CD" w14:paraId="28681AB5" w14:textId="77777777" w:rsidTr="00A26E0F">
        <w:trPr>
          <w:trHeight w:val="138"/>
        </w:trPr>
        <w:tc>
          <w:tcPr>
            <w:tcW w:w="288" w:type="dxa"/>
          </w:tcPr>
          <w:p w14:paraId="0125F657" w14:textId="77777777" w:rsidR="00E768A7" w:rsidRPr="00791040" w:rsidRDefault="00E768A7" w:rsidP="00A26E0F">
            <w:pPr>
              <w:spacing w:before="120" w:after="120" w:line="240" w:lineRule="auto"/>
              <w:rPr>
                <w:rFonts w:cs="Arial"/>
                <w:b/>
              </w:rPr>
            </w:pPr>
          </w:p>
        </w:tc>
      </w:tr>
    </w:tbl>
    <w:p w14:paraId="3CD566F3" w14:textId="77777777" w:rsidR="00E768A7" w:rsidRPr="00791040" w:rsidRDefault="00655431" w:rsidP="00E768A7">
      <w:pPr>
        <w:spacing w:before="120" w:after="120" w:line="240" w:lineRule="auto"/>
        <w:rPr>
          <w:rFonts w:cs="Arial"/>
          <w:b/>
          <w:sz w:val="2"/>
          <w:szCs w:val="2"/>
        </w:rPr>
      </w:pPr>
      <w:r w:rsidRPr="00791040">
        <w:rPr>
          <w:rFonts w:cs="Arial"/>
          <w:b/>
        </w:rPr>
        <w:t xml:space="preserve">Prüfprogramm - </w:t>
      </w:r>
      <w:r w:rsidRPr="00655431">
        <w:rPr>
          <w:b/>
          <w:u w:val="single"/>
        </w:rPr>
        <w:t>Andere Risiken im Zusammenhang mit Compliance-Fragen</w:t>
      </w:r>
      <w:r w:rsidR="00E768A7" w:rsidRPr="00791040">
        <w:rPr>
          <w:rFonts w:cs="Arial"/>
          <w:u w:val="single"/>
        </w:rPr>
        <w:t xml:space="preserve"> – </w:t>
      </w:r>
      <w:r w:rsidRPr="00655431">
        <w:rPr>
          <w:rFonts w:cs="Arial"/>
          <w:u w:val="single"/>
        </w:rPr>
        <w:t>Direktübermittlung</w:t>
      </w:r>
    </w:p>
    <w:tbl>
      <w:tblPr>
        <w:tblpPr w:leftFromText="141" w:rightFromText="141" w:vertAnchor="text" w:tblpX="108" w:tblpY="1"/>
        <w:tblOverlap w:val="never"/>
        <w:tblW w:w="14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
        <w:gridCol w:w="1766"/>
        <w:gridCol w:w="4139"/>
        <w:gridCol w:w="3827"/>
        <w:gridCol w:w="3402"/>
        <w:gridCol w:w="992"/>
        <w:gridCol w:w="34"/>
      </w:tblGrid>
      <w:tr w:rsidR="00E768A7" w:rsidRPr="00C839F7" w14:paraId="52981DE6" w14:textId="77777777" w:rsidTr="00A07C2C">
        <w:trPr>
          <w:gridAfter w:val="1"/>
          <w:wAfter w:w="34" w:type="dxa"/>
        </w:trPr>
        <w:tc>
          <w:tcPr>
            <w:tcW w:w="531" w:type="dxa"/>
            <w:shd w:val="clear" w:color="auto" w:fill="A6A6A6" w:themeFill="background1" w:themeFillShade="A6"/>
          </w:tcPr>
          <w:p w14:paraId="61DB4B69" w14:textId="77777777" w:rsidR="00E768A7" w:rsidRDefault="00655431" w:rsidP="00A07C2C">
            <w:pPr>
              <w:spacing w:before="120" w:after="120" w:line="240" w:lineRule="auto"/>
              <w:rPr>
                <w:rFonts w:cs="Arial"/>
                <w:sz w:val="16"/>
                <w:szCs w:val="16"/>
                <w:lang w:val="en-GB"/>
              </w:rPr>
            </w:pPr>
            <w:r>
              <w:rPr>
                <w:rFonts w:cs="Arial"/>
                <w:b/>
                <w:sz w:val="16"/>
                <w:szCs w:val="16"/>
                <w:lang w:val="en-US"/>
              </w:rPr>
              <w:t>Nr</w:t>
            </w:r>
            <w:r w:rsidR="00E768A7" w:rsidRPr="00DB7CF3">
              <w:rPr>
                <w:rFonts w:cs="Arial"/>
                <w:b/>
                <w:sz w:val="16"/>
                <w:szCs w:val="16"/>
                <w:lang w:val="en-US"/>
              </w:rPr>
              <w:t>.</w:t>
            </w:r>
          </w:p>
        </w:tc>
        <w:tc>
          <w:tcPr>
            <w:tcW w:w="1766" w:type="dxa"/>
            <w:shd w:val="clear" w:color="auto" w:fill="A6A6A6" w:themeFill="background1" w:themeFillShade="A6"/>
          </w:tcPr>
          <w:p w14:paraId="34E8D61C" w14:textId="77777777" w:rsidR="00E768A7" w:rsidRDefault="00655431" w:rsidP="00A07C2C">
            <w:pPr>
              <w:spacing w:before="120" w:after="120" w:line="240" w:lineRule="auto"/>
              <w:rPr>
                <w:rFonts w:cs="Arial"/>
                <w:b/>
                <w:sz w:val="16"/>
                <w:szCs w:val="16"/>
                <w:lang w:val="en-GB"/>
              </w:rPr>
            </w:pPr>
            <w:r>
              <w:rPr>
                <w:rFonts w:cs="Arial"/>
                <w:b/>
                <w:sz w:val="16"/>
                <w:szCs w:val="16"/>
                <w:lang w:val="en-US"/>
              </w:rPr>
              <w:t>Thema</w:t>
            </w:r>
            <w:r w:rsidR="00E768A7" w:rsidRPr="00DB7CF3">
              <w:rPr>
                <w:rFonts w:cs="Arial"/>
                <w:b/>
                <w:sz w:val="16"/>
                <w:szCs w:val="16"/>
                <w:lang w:val="en-US"/>
              </w:rPr>
              <w:t>:</w:t>
            </w:r>
          </w:p>
        </w:tc>
        <w:tc>
          <w:tcPr>
            <w:tcW w:w="4139" w:type="dxa"/>
            <w:shd w:val="clear" w:color="auto" w:fill="A6A6A6" w:themeFill="background1" w:themeFillShade="A6"/>
          </w:tcPr>
          <w:p w14:paraId="636AB747" w14:textId="13830B1B" w:rsidR="00E768A7" w:rsidRPr="00791040" w:rsidRDefault="00655431" w:rsidP="00A07C2C">
            <w:pPr>
              <w:pStyle w:val="Bullet"/>
              <w:numPr>
                <w:ilvl w:val="0"/>
                <w:numId w:val="0"/>
              </w:numPr>
              <w:spacing w:before="120" w:after="120"/>
              <w:rPr>
                <w:i/>
              </w:rPr>
            </w:pPr>
            <w:r>
              <w:rPr>
                <w:b/>
              </w:rPr>
              <w:t>Prüfungshandlungen für Prüftiefe „kritische Beurteilung“</w:t>
            </w:r>
          </w:p>
        </w:tc>
        <w:tc>
          <w:tcPr>
            <w:tcW w:w="3827" w:type="dxa"/>
            <w:shd w:val="clear" w:color="auto" w:fill="A6A6A6" w:themeFill="background1" w:themeFillShade="A6"/>
          </w:tcPr>
          <w:p w14:paraId="10060719" w14:textId="254DB5E5" w:rsidR="00E768A7" w:rsidRPr="00791040" w:rsidRDefault="00655431" w:rsidP="00A66BB2">
            <w:pPr>
              <w:spacing w:before="120" w:after="120" w:line="240" w:lineRule="auto"/>
              <w:ind w:left="33"/>
              <w:rPr>
                <w:rFonts w:cs="Arial"/>
                <w:sz w:val="16"/>
                <w:szCs w:val="16"/>
              </w:rPr>
            </w:pPr>
            <w:r>
              <w:rPr>
                <w:b/>
                <w:sz w:val="16"/>
                <w:u w:val="single"/>
              </w:rPr>
              <w:t>Zusätzliche</w:t>
            </w:r>
            <w:r>
              <w:rPr>
                <w:b/>
                <w:sz w:val="16"/>
              </w:rPr>
              <w:t xml:space="preserve"> Prüfungshandlungen für Prüftiefe „Prüfung“</w:t>
            </w:r>
          </w:p>
        </w:tc>
        <w:tc>
          <w:tcPr>
            <w:tcW w:w="3402" w:type="dxa"/>
            <w:shd w:val="clear" w:color="auto" w:fill="A6A6A6" w:themeFill="background1" w:themeFillShade="A6"/>
          </w:tcPr>
          <w:p w14:paraId="524AF790" w14:textId="77777777" w:rsidR="00E768A7" w:rsidRPr="00051CD5" w:rsidRDefault="00655431" w:rsidP="00A07C2C">
            <w:pPr>
              <w:spacing w:before="120" w:after="120" w:line="240" w:lineRule="auto"/>
              <w:rPr>
                <w:rFonts w:cs="Arial"/>
                <w:sz w:val="16"/>
                <w:szCs w:val="16"/>
                <w:lang w:val="en-GB"/>
              </w:rPr>
            </w:pPr>
            <w:r>
              <w:rPr>
                <w:b/>
                <w:sz w:val="16"/>
              </w:rPr>
              <w:t>Durchgeführte Prüfungshandlungen / Feststellungen</w:t>
            </w:r>
          </w:p>
        </w:tc>
        <w:tc>
          <w:tcPr>
            <w:tcW w:w="992" w:type="dxa"/>
            <w:shd w:val="clear" w:color="auto" w:fill="A6A6A6" w:themeFill="background1" w:themeFillShade="A6"/>
          </w:tcPr>
          <w:p w14:paraId="210832F8" w14:textId="77777777" w:rsidR="00E768A7" w:rsidRDefault="00655431" w:rsidP="00A07C2C">
            <w:pPr>
              <w:spacing w:before="120" w:after="120" w:line="240" w:lineRule="auto"/>
              <w:rPr>
                <w:lang w:val="en-GB"/>
              </w:rPr>
            </w:pPr>
            <w:r>
              <w:rPr>
                <w:b/>
                <w:sz w:val="16"/>
              </w:rPr>
              <w:t>Arbeitspapiere Ref.:</w:t>
            </w:r>
          </w:p>
        </w:tc>
      </w:tr>
      <w:tr w:rsidR="00E768A7" w:rsidRPr="00F72EE5" w14:paraId="5BF8EEDA" w14:textId="77777777" w:rsidTr="00A07C2C">
        <w:tc>
          <w:tcPr>
            <w:tcW w:w="14691" w:type="dxa"/>
            <w:gridSpan w:val="7"/>
            <w:shd w:val="clear" w:color="auto" w:fill="D9D9D9" w:themeFill="background1" w:themeFillShade="D9"/>
          </w:tcPr>
          <w:p w14:paraId="30BFD72C" w14:textId="77777777" w:rsidR="00E768A7" w:rsidRPr="00791040" w:rsidRDefault="00E768A7" w:rsidP="00A07C2C">
            <w:pPr>
              <w:spacing w:before="120" w:after="120" w:line="240" w:lineRule="auto"/>
              <w:rPr>
                <w:rFonts w:cs="Arial"/>
                <w:i/>
                <w:sz w:val="16"/>
                <w:szCs w:val="16"/>
                <w:lang w:val="en-GB"/>
              </w:rPr>
            </w:pPr>
            <w:r w:rsidRPr="00791040">
              <w:rPr>
                <w:rFonts w:cs="Arial"/>
                <w:i/>
                <w:sz w:val="16"/>
                <w:szCs w:val="16"/>
                <w:lang w:val="en-GB"/>
              </w:rPr>
              <w:t>Confirmation that methods / processes for identification, measurement, management and monitoring of other risks in connection with compliance issues were adequate and, in case of the audit depth “audit”, were applied effectively.</w:t>
            </w:r>
          </w:p>
          <w:p w14:paraId="4AAE8BED" w14:textId="77777777" w:rsidR="00E768A7" w:rsidRPr="00791040" w:rsidRDefault="00E768A7" w:rsidP="00A07C2C">
            <w:pPr>
              <w:spacing w:before="120" w:after="120" w:line="240" w:lineRule="auto"/>
              <w:rPr>
                <w:bCs/>
                <w:i/>
                <w:sz w:val="16"/>
                <w:szCs w:val="16"/>
              </w:rPr>
            </w:pPr>
            <w:r w:rsidRPr="00791040">
              <w:rPr>
                <w:bCs/>
                <w:i/>
                <w:sz w:val="16"/>
                <w:szCs w:val="16"/>
              </w:rPr>
              <w:t>Bestätigung, dass die Methoden / Prozesse zur Identifikation, Messung, Bewirtschaftung und Überwachung von anderen Risiken im Zusammenhang mit Compliance-Fragen Risiken angemessen waren und im Falle der Prüftiefe „Prüfung“ effektiv angewendet wurden.</w:t>
            </w:r>
          </w:p>
          <w:p w14:paraId="253ACDE1" w14:textId="77777777" w:rsidR="00E768A7" w:rsidRPr="00791040" w:rsidRDefault="00E768A7" w:rsidP="00A07C2C">
            <w:pPr>
              <w:spacing w:before="120" w:after="120" w:line="240" w:lineRule="auto"/>
              <w:rPr>
                <w:lang w:val="fr-CH"/>
              </w:rPr>
            </w:pPr>
            <w:r w:rsidRPr="00791040">
              <w:rPr>
                <w:bCs/>
                <w:i/>
                <w:sz w:val="16"/>
                <w:szCs w:val="16"/>
                <w:lang w:val="fr-CH"/>
              </w:rPr>
              <w:t>Confirmation que les méthodes / processus relatifs à l’identification, la mesure, la gestion et la surveillance des autres risques en lien avec les questions de compliance ont été appropriés et en cas d’étendue d’audit « audit </w:t>
            </w:r>
            <w:r w:rsidR="004A419A">
              <w:rPr>
                <w:bCs/>
                <w:i/>
                <w:sz w:val="16"/>
                <w:szCs w:val="16"/>
                <w:lang w:val="fr-CH"/>
              </w:rPr>
              <w:t>»</w:t>
            </w:r>
            <w:r w:rsidRPr="00791040">
              <w:rPr>
                <w:bCs/>
                <w:i/>
                <w:sz w:val="16"/>
                <w:szCs w:val="16"/>
                <w:lang w:val="fr-CH"/>
              </w:rPr>
              <w:t> ont été effectivement appliqués. »</w:t>
            </w:r>
          </w:p>
        </w:tc>
      </w:tr>
      <w:tr w:rsidR="00E768A7" w:rsidRPr="00B37516" w14:paraId="479AA15E" w14:textId="77777777" w:rsidTr="00A07C2C">
        <w:trPr>
          <w:gridAfter w:val="1"/>
          <w:wAfter w:w="34" w:type="dxa"/>
        </w:trPr>
        <w:tc>
          <w:tcPr>
            <w:tcW w:w="531" w:type="dxa"/>
            <w:shd w:val="clear" w:color="auto" w:fill="auto"/>
          </w:tcPr>
          <w:p w14:paraId="77F01149" w14:textId="77777777" w:rsidR="00E768A7" w:rsidRPr="00073DB3" w:rsidRDefault="00E768A7" w:rsidP="00A07C2C">
            <w:pPr>
              <w:spacing w:before="120" w:after="120" w:line="240" w:lineRule="auto"/>
              <w:rPr>
                <w:rFonts w:cs="Arial"/>
                <w:sz w:val="16"/>
                <w:szCs w:val="16"/>
                <w:lang w:val="fr-CH"/>
              </w:rPr>
            </w:pPr>
          </w:p>
        </w:tc>
        <w:tc>
          <w:tcPr>
            <w:tcW w:w="1766" w:type="dxa"/>
            <w:shd w:val="clear" w:color="auto" w:fill="auto"/>
          </w:tcPr>
          <w:p w14:paraId="4FD41388" w14:textId="77777777" w:rsidR="00E768A7" w:rsidRPr="00791040" w:rsidRDefault="00A26E0F" w:rsidP="00A07C2C">
            <w:pPr>
              <w:spacing w:before="120" w:after="120" w:line="240" w:lineRule="auto"/>
              <w:rPr>
                <w:rFonts w:cs="Arial"/>
                <w:b/>
                <w:sz w:val="16"/>
                <w:szCs w:val="16"/>
                <w:lang w:val="de-DE"/>
              </w:rPr>
            </w:pPr>
            <w:r w:rsidRPr="00791040">
              <w:rPr>
                <w:rFonts w:cs="Arial"/>
                <w:b/>
                <w:sz w:val="16"/>
                <w:szCs w:val="16"/>
                <w:lang w:val="de-DE"/>
              </w:rPr>
              <w:t>Einhaltung des FINMA-Rundschreiben</w:t>
            </w:r>
            <w:r>
              <w:rPr>
                <w:rFonts w:cs="Arial"/>
                <w:b/>
                <w:sz w:val="16"/>
                <w:szCs w:val="16"/>
                <w:lang w:val="de-DE"/>
              </w:rPr>
              <w:t>s</w:t>
            </w:r>
            <w:r w:rsidRPr="00791040">
              <w:rPr>
                <w:rFonts w:cs="Arial"/>
                <w:b/>
                <w:sz w:val="16"/>
                <w:szCs w:val="16"/>
                <w:lang w:val="de-DE"/>
              </w:rPr>
              <w:t xml:space="preserve"> 17/6</w:t>
            </w:r>
          </w:p>
        </w:tc>
        <w:tc>
          <w:tcPr>
            <w:tcW w:w="4139" w:type="dxa"/>
            <w:shd w:val="clear" w:color="auto" w:fill="auto"/>
          </w:tcPr>
          <w:p w14:paraId="15FE258C" w14:textId="77777777" w:rsidR="00E768A7" w:rsidRPr="00791040" w:rsidRDefault="00A26E0F" w:rsidP="00A07C2C">
            <w:pPr>
              <w:pStyle w:val="Bullet"/>
              <w:numPr>
                <w:ilvl w:val="0"/>
                <w:numId w:val="0"/>
              </w:numPr>
              <w:spacing w:before="120" w:after="120"/>
              <w:rPr>
                <w:i/>
                <w:strike/>
                <w:highlight w:val="cyan"/>
              </w:rPr>
            </w:pPr>
            <w:r w:rsidRPr="00791040">
              <w:rPr>
                <w:i/>
                <w:lang w:val="de-DE"/>
              </w:rPr>
              <w:t>Beurteilung der Berücksichtigung der Erfordernisse des Rundschreibens in Zusammenhang mit der Übermittlung von Informationen an ausländische Aufsichtsbehörden</w:t>
            </w:r>
            <w:r w:rsidR="005B7F47">
              <w:rPr>
                <w:i/>
                <w:lang w:val="de-DE"/>
              </w:rPr>
              <w:t xml:space="preserve"> und</w:t>
            </w:r>
            <w:r w:rsidR="005B7F47" w:rsidRPr="00426ED1">
              <w:rPr>
                <w:lang w:val="de-DE"/>
              </w:rPr>
              <w:t xml:space="preserve"> </w:t>
            </w:r>
            <w:r w:rsidR="005B7F47" w:rsidRPr="00791040">
              <w:rPr>
                <w:i/>
                <w:lang w:val="de-DE"/>
              </w:rPr>
              <w:t>weitere mit der Aufsicht betraute ausländische Stellen</w:t>
            </w:r>
            <w:r w:rsidR="005B7F47">
              <w:rPr>
                <w:lang w:val="de-DE"/>
              </w:rPr>
              <w:t>,</w:t>
            </w:r>
            <w:r w:rsidRPr="00791040">
              <w:rPr>
                <w:i/>
                <w:lang w:val="de-DE"/>
              </w:rPr>
              <w:t xml:space="preserve"> namentlich: </w:t>
            </w:r>
          </w:p>
        </w:tc>
        <w:tc>
          <w:tcPr>
            <w:tcW w:w="3827" w:type="dxa"/>
            <w:shd w:val="clear" w:color="auto" w:fill="auto"/>
          </w:tcPr>
          <w:p w14:paraId="51F316DE" w14:textId="77777777" w:rsidR="00E768A7" w:rsidRPr="00791040" w:rsidRDefault="00E768A7" w:rsidP="00A07C2C">
            <w:pPr>
              <w:spacing w:before="120" w:after="120" w:line="240" w:lineRule="auto"/>
              <w:ind w:left="33"/>
              <w:rPr>
                <w:rFonts w:cs="Arial"/>
                <w:sz w:val="16"/>
                <w:szCs w:val="16"/>
                <w:highlight w:val="cyan"/>
              </w:rPr>
            </w:pPr>
          </w:p>
        </w:tc>
        <w:tc>
          <w:tcPr>
            <w:tcW w:w="3402" w:type="dxa"/>
            <w:shd w:val="clear" w:color="auto" w:fill="auto"/>
          </w:tcPr>
          <w:p w14:paraId="75C12686" w14:textId="77777777" w:rsidR="00E768A7" w:rsidRPr="00791040" w:rsidRDefault="00E768A7" w:rsidP="00A07C2C">
            <w:pPr>
              <w:spacing w:before="120" w:after="120" w:line="240" w:lineRule="auto"/>
              <w:rPr>
                <w:rFonts w:cs="Arial"/>
                <w:sz w:val="16"/>
                <w:szCs w:val="16"/>
              </w:rPr>
            </w:pPr>
          </w:p>
        </w:tc>
        <w:tc>
          <w:tcPr>
            <w:tcW w:w="992" w:type="dxa"/>
            <w:shd w:val="clear" w:color="auto" w:fill="auto"/>
          </w:tcPr>
          <w:p w14:paraId="0DEFE7C1" w14:textId="77777777" w:rsidR="00E768A7" w:rsidRPr="00791040" w:rsidRDefault="00E768A7" w:rsidP="00A07C2C">
            <w:pPr>
              <w:spacing w:before="120" w:after="120" w:line="240" w:lineRule="auto"/>
            </w:pPr>
          </w:p>
        </w:tc>
      </w:tr>
      <w:tr w:rsidR="00E768A7" w:rsidRPr="003249AE" w14:paraId="009D78EF" w14:textId="77777777" w:rsidTr="00A07C2C">
        <w:trPr>
          <w:gridAfter w:val="1"/>
          <w:wAfter w:w="34" w:type="dxa"/>
        </w:trPr>
        <w:tc>
          <w:tcPr>
            <w:tcW w:w="531" w:type="dxa"/>
            <w:shd w:val="clear" w:color="auto" w:fill="auto"/>
          </w:tcPr>
          <w:p w14:paraId="122D6D37" w14:textId="77777777" w:rsidR="00E768A7" w:rsidRPr="00791040" w:rsidRDefault="00E768A7" w:rsidP="00A07C2C">
            <w:pPr>
              <w:spacing w:before="120" w:after="120" w:line="240" w:lineRule="auto"/>
              <w:rPr>
                <w:rFonts w:cs="Arial"/>
                <w:sz w:val="16"/>
                <w:szCs w:val="16"/>
              </w:rPr>
            </w:pPr>
          </w:p>
        </w:tc>
        <w:tc>
          <w:tcPr>
            <w:tcW w:w="1766" w:type="dxa"/>
            <w:shd w:val="clear" w:color="auto" w:fill="auto"/>
          </w:tcPr>
          <w:p w14:paraId="73C39731" w14:textId="77777777" w:rsidR="00E768A7" w:rsidRPr="00791040" w:rsidRDefault="00E768A7" w:rsidP="00A07C2C">
            <w:pPr>
              <w:spacing w:before="120" w:after="120" w:line="240" w:lineRule="auto"/>
              <w:rPr>
                <w:rFonts w:cs="Arial"/>
                <w:b/>
                <w:sz w:val="16"/>
                <w:szCs w:val="16"/>
              </w:rPr>
            </w:pPr>
          </w:p>
        </w:tc>
        <w:tc>
          <w:tcPr>
            <w:tcW w:w="4139" w:type="dxa"/>
            <w:shd w:val="clear" w:color="auto" w:fill="auto"/>
          </w:tcPr>
          <w:p w14:paraId="318C2631" w14:textId="77777777" w:rsidR="00A26E0F" w:rsidRPr="00073DB3" w:rsidRDefault="00121FE4" w:rsidP="00A07C2C">
            <w:pPr>
              <w:pStyle w:val="Bullet"/>
              <w:numPr>
                <w:ilvl w:val="0"/>
                <w:numId w:val="0"/>
              </w:numPr>
              <w:spacing w:before="120" w:after="120"/>
            </w:pPr>
            <w:r>
              <w:t>Beurteilen, ob die Übermittlung von keiner oder sehr geringer Releva</w:t>
            </w:r>
            <w:r w:rsidR="00612A94">
              <w:t>n</w:t>
            </w:r>
            <w:r w:rsidR="00D5658F">
              <w:t>z für das Institut ist.</w:t>
            </w:r>
          </w:p>
          <w:p w14:paraId="68A1F526" w14:textId="77777777" w:rsidR="00FD70E4" w:rsidRPr="00073DB3" w:rsidRDefault="002C3B33" w:rsidP="00A07C2C">
            <w:pPr>
              <w:pStyle w:val="Bullet"/>
              <w:numPr>
                <w:ilvl w:val="0"/>
                <w:numId w:val="0"/>
              </w:numPr>
              <w:spacing w:before="120" w:after="120"/>
            </w:pPr>
            <w:r w:rsidRPr="00073DB3">
              <w:t xml:space="preserve">Falls </w:t>
            </w:r>
            <w:r w:rsidR="00121FE4">
              <w:t>ja</w:t>
            </w:r>
            <w:r w:rsidRPr="00073DB3">
              <w:t xml:space="preserve">: Beurteilung, ob das Institut Vorgaben implementiert hat </w:t>
            </w:r>
            <w:r w:rsidRPr="00B53F2A">
              <w:t xml:space="preserve">um Direktübermittlungen </w:t>
            </w:r>
            <w:r w:rsidR="007E2334" w:rsidRPr="00B53F2A">
              <w:t>vor entsprechender Eskalation und dem Erlass von Instruktionen</w:t>
            </w:r>
            <w:r w:rsidR="00FD70E4" w:rsidRPr="00B53F2A">
              <w:t>, internen Weisungen und formalisierten Prozessen</w:t>
            </w:r>
            <w:r w:rsidR="007E2334" w:rsidRPr="00B53F2A">
              <w:t xml:space="preserve"> </w:t>
            </w:r>
            <w:r w:rsidRPr="00B53F2A">
              <w:t>zu verhindern</w:t>
            </w:r>
            <w:r w:rsidR="00FD70E4" w:rsidRPr="00B53F2A">
              <w:t>.</w:t>
            </w:r>
            <w:r w:rsidR="00B37516" w:rsidRPr="00B53F2A">
              <w:t xml:space="preserve"> </w:t>
            </w:r>
          </w:p>
          <w:p w14:paraId="28469A5B" w14:textId="69EE6656" w:rsidR="00E768A7" w:rsidRPr="00791040" w:rsidRDefault="00FD70E4" w:rsidP="0083015B">
            <w:pPr>
              <w:pStyle w:val="Bullet"/>
              <w:numPr>
                <w:ilvl w:val="0"/>
                <w:numId w:val="0"/>
              </w:numPr>
              <w:spacing w:before="120" w:after="120"/>
              <w:rPr>
                <w:strike/>
                <w:highlight w:val="cyan"/>
              </w:rPr>
            </w:pPr>
            <w:r w:rsidRPr="00073DB3">
              <w:t xml:space="preserve">Falls </w:t>
            </w:r>
            <w:r w:rsidR="00121FE4">
              <w:t>nein</w:t>
            </w:r>
            <w:r w:rsidRPr="00073DB3">
              <w:t>: Beurteilung der Angemessenheit der Instruktionen bzw. der internen Weisungen und formalisierten Prozessen</w:t>
            </w:r>
            <w:r w:rsidR="00CA6AD9" w:rsidRPr="00073DB3">
              <w:rPr>
                <w:lang w:val="de-DE"/>
              </w:rPr>
              <w:t xml:space="preserve"> betreffend </w:t>
            </w:r>
            <w:r w:rsidR="00D5658F">
              <w:rPr>
                <w:lang w:val="de-DE"/>
              </w:rPr>
              <w:t xml:space="preserve">die </w:t>
            </w:r>
            <w:r w:rsidR="00CA6AD9" w:rsidRPr="00073DB3">
              <w:rPr>
                <w:lang w:val="de-DE"/>
              </w:rPr>
              <w:t>Übermittlung von Informationen</w:t>
            </w:r>
            <w:r w:rsidR="003249AE">
              <w:rPr>
                <w:lang w:val="de-DE"/>
              </w:rPr>
              <w:t xml:space="preserve"> </w:t>
            </w:r>
            <w:r w:rsidR="00C51944" w:rsidRPr="00426ED1">
              <w:rPr>
                <w:lang w:val="de-DE"/>
              </w:rPr>
              <w:t xml:space="preserve">an ausländische Finanzmarktaufsichtsbehörden und weitere mit der Aufsicht betraute ausländische Stellen. </w:t>
            </w:r>
          </w:p>
        </w:tc>
        <w:tc>
          <w:tcPr>
            <w:tcW w:w="3827" w:type="dxa"/>
            <w:shd w:val="clear" w:color="auto" w:fill="auto"/>
          </w:tcPr>
          <w:p w14:paraId="379C6FF3" w14:textId="77777777" w:rsidR="00E768A7" w:rsidRPr="00791040" w:rsidRDefault="00E768A7" w:rsidP="00A07C2C">
            <w:pPr>
              <w:spacing w:before="120" w:after="120" w:line="240" w:lineRule="auto"/>
              <w:ind w:left="33"/>
              <w:rPr>
                <w:rFonts w:cs="Arial"/>
                <w:sz w:val="16"/>
                <w:szCs w:val="16"/>
                <w:highlight w:val="cyan"/>
              </w:rPr>
            </w:pPr>
          </w:p>
        </w:tc>
        <w:tc>
          <w:tcPr>
            <w:tcW w:w="3402" w:type="dxa"/>
            <w:shd w:val="clear" w:color="auto" w:fill="auto"/>
          </w:tcPr>
          <w:p w14:paraId="077F7D6B" w14:textId="77777777" w:rsidR="00E768A7" w:rsidRPr="00791040" w:rsidRDefault="00E768A7" w:rsidP="00A07C2C">
            <w:pPr>
              <w:spacing w:before="120" w:after="120" w:line="240" w:lineRule="auto"/>
              <w:rPr>
                <w:rFonts w:cs="Arial"/>
                <w:sz w:val="16"/>
                <w:szCs w:val="16"/>
              </w:rPr>
            </w:pPr>
          </w:p>
        </w:tc>
        <w:tc>
          <w:tcPr>
            <w:tcW w:w="992" w:type="dxa"/>
            <w:shd w:val="clear" w:color="auto" w:fill="auto"/>
          </w:tcPr>
          <w:p w14:paraId="40FB37EE" w14:textId="77777777" w:rsidR="00E768A7" w:rsidRPr="00791040" w:rsidRDefault="00E768A7" w:rsidP="00A07C2C">
            <w:pPr>
              <w:spacing w:before="120" w:after="120" w:line="240" w:lineRule="auto"/>
            </w:pPr>
          </w:p>
        </w:tc>
      </w:tr>
      <w:tr w:rsidR="00E768A7" w:rsidRPr="00DE56E9" w14:paraId="25AFE03B" w14:textId="77777777" w:rsidTr="00A07C2C">
        <w:trPr>
          <w:gridAfter w:val="1"/>
          <w:wAfter w:w="34" w:type="dxa"/>
        </w:trPr>
        <w:tc>
          <w:tcPr>
            <w:tcW w:w="531" w:type="dxa"/>
            <w:shd w:val="clear" w:color="auto" w:fill="auto"/>
          </w:tcPr>
          <w:p w14:paraId="343529A3" w14:textId="77777777" w:rsidR="00E768A7" w:rsidRPr="00791040" w:rsidRDefault="00E768A7" w:rsidP="00A07C2C">
            <w:pPr>
              <w:spacing w:before="120" w:after="120" w:line="240" w:lineRule="auto"/>
              <w:rPr>
                <w:rFonts w:cs="Arial"/>
                <w:sz w:val="16"/>
                <w:szCs w:val="16"/>
              </w:rPr>
            </w:pPr>
          </w:p>
        </w:tc>
        <w:tc>
          <w:tcPr>
            <w:tcW w:w="1766" w:type="dxa"/>
            <w:shd w:val="clear" w:color="auto" w:fill="auto"/>
          </w:tcPr>
          <w:p w14:paraId="768B309F" w14:textId="77777777" w:rsidR="00E768A7" w:rsidRPr="00791040" w:rsidRDefault="00E768A7" w:rsidP="00A07C2C">
            <w:pPr>
              <w:spacing w:before="120" w:after="120" w:line="240" w:lineRule="auto"/>
              <w:rPr>
                <w:rFonts w:cs="Arial"/>
                <w:b/>
                <w:sz w:val="16"/>
                <w:szCs w:val="16"/>
              </w:rPr>
            </w:pPr>
          </w:p>
        </w:tc>
        <w:tc>
          <w:tcPr>
            <w:tcW w:w="4139" w:type="dxa"/>
            <w:shd w:val="clear" w:color="auto" w:fill="auto"/>
          </w:tcPr>
          <w:p w14:paraId="54D54A5F" w14:textId="77777777" w:rsidR="00E768A7" w:rsidRPr="00791040" w:rsidRDefault="009257B8" w:rsidP="00612A94">
            <w:pPr>
              <w:pStyle w:val="Bullet"/>
              <w:numPr>
                <w:ilvl w:val="0"/>
                <w:numId w:val="0"/>
              </w:numPr>
              <w:spacing w:before="120" w:after="120"/>
              <w:rPr>
                <w:strike/>
                <w:highlight w:val="cyan"/>
              </w:rPr>
            </w:pPr>
            <w:r w:rsidRPr="00791040">
              <w:t xml:space="preserve">Beurteilung, ob </w:t>
            </w:r>
            <w:r w:rsidR="00D5658F">
              <w:t xml:space="preserve">im Falle einer Übermittlung von nicht öffentlichen Informationen </w:t>
            </w:r>
            <w:r w:rsidRPr="00791040">
              <w:t>di</w:t>
            </w:r>
            <w:r w:rsidR="00D5658F">
              <w:t>e</w:t>
            </w:r>
            <w:r w:rsidR="00C8336A" w:rsidRPr="0065337C">
              <w:t xml:space="preserve"> </w:t>
            </w:r>
            <w:r w:rsidR="006304CC">
              <w:t>V</w:t>
            </w:r>
            <w:r w:rsidR="00C8336A" w:rsidRPr="0065337C">
              <w:t>oraussetzungen</w:t>
            </w:r>
            <w:r w:rsidR="00C8336A" w:rsidRPr="00A07C2C">
              <w:t xml:space="preserve"> erfüllt waren</w:t>
            </w:r>
            <w:r w:rsidRPr="00791040">
              <w:t xml:space="preserve"> (Rz 19 FINMA-RS 17/6) oder – falls die relevanten Voraussetzungen von einer anfragenden Behörde nicht erfüllt wurden – das In</w:t>
            </w:r>
            <w:r w:rsidRPr="009257B8">
              <w:t>stitut</w:t>
            </w:r>
            <w:r w:rsidRPr="00791040">
              <w:t xml:space="preserve"> </w:t>
            </w:r>
            <w:r w:rsidR="00C8336A">
              <w:t xml:space="preserve">zusätzliche Abklärungen </w:t>
            </w:r>
            <w:r w:rsidR="006304CC">
              <w:t xml:space="preserve">und Vorkehrungen getroffen hat </w:t>
            </w:r>
            <w:r w:rsidR="00C8336A">
              <w:t xml:space="preserve">(Rz 22-25 FINMA-RS 17/6) und die Übermittlung im Falle von Zweifeln </w:t>
            </w:r>
            <w:r w:rsidR="00C8336A">
              <w:lastRenderedPageBreak/>
              <w:t xml:space="preserve">betreffend </w:t>
            </w:r>
            <w:r w:rsidR="006304CC">
              <w:t>Vertr</w:t>
            </w:r>
            <w:r w:rsidR="00C8336A">
              <w:t>aulichkeit und Spezialität abgeleh</w:t>
            </w:r>
            <w:r w:rsidR="006304CC">
              <w:t>n</w:t>
            </w:r>
            <w:r w:rsidR="00C8336A">
              <w:t>t hat (Rz 27-29 FINMA-RS 17/6).</w:t>
            </w:r>
          </w:p>
        </w:tc>
        <w:tc>
          <w:tcPr>
            <w:tcW w:w="3827" w:type="dxa"/>
            <w:shd w:val="clear" w:color="auto" w:fill="auto"/>
          </w:tcPr>
          <w:p w14:paraId="1592F176" w14:textId="77777777" w:rsidR="00C8336A" w:rsidRPr="00791040" w:rsidRDefault="00C8336A" w:rsidP="00A07C2C">
            <w:pPr>
              <w:spacing w:before="120" w:after="120" w:line="240" w:lineRule="auto"/>
              <w:rPr>
                <w:rFonts w:cs="Arial"/>
                <w:sz w:val="16"/>
                <w:szCs w:val="16"/>
              </w:rPr>
            </w:pPr>
            <w:r w:rsidRPr="00791040">
              <w:rPr>
                <w:rFonts w:cs="Arial"/>
                <w:sz w:val="16"/>
                <w:szCs w:val="16"/>
              </w:rPr>
              <w:lastRenderedPageBreak/>
              <w:t>Prüfung auf Basis einer</w:t>
            </w:r>
            <w:r w:rsidRPr="00A07C2C">
              <w:rPr>
                <w:rFonts w:cs="Arial"/>
                <w:sz w:val="16"/>
                <w:szCs w:val="16"/>
              </w:rPr>
              <w:t xml:space="preserve"> Stichprobe, ob die V</w:t>
            </w:r>
            <w:r>
              <w:rPr>
                <w:rFonts w:cs="Arial"/>
                <w:sz w:val="16"/>
                <w:szCs w:val="16"/>
              </w:rPr>
              <w:t xml:space="preserve">orschriften zu den </w:t>
            </w:r>
            <w:r w:rsidR="006304CC">
              <w:rPr>
                <w:rFonts w:cs="Arial"/>
                <w:sz w:val="16"/>
                <w:szCs w:val="16"/>
              </w:rPr>
              <w:t>V</w:t>
            </w:r>
            <w:r>
              <w:rPr>
                <w:rFonts w:cs="Arial"/>
                <w:sz w:val="16"/>
                <w:szCs w:val="16"/>
              </w:rPr>
              <w:t>oraussetzungen (Rz 19 FINMA-RS 17/6) und zur Angemessenheit der zusätzlichen Abklärungen</w:t>
            </w:r>
            <w:r w:rsidR="006304CC">
              <w:rPr>
                <w:rFonts w:cs="Arial"/>
                <w:sz w:val="16"/>
                <w:szCs w:val="16"/>
              </w:rPr>
              <w:t xml:space="preserve"> und Vorkehrungen</w:t>
            </w:r>
            <w:r>
              <w:rPr>
                <w:rFonts w:cs="Arial"/>
                <w:sz w:val="16"/>
                <w:szCs w:val="16"/>
              </w:rPr>
              <w:t xml:space="preserve"> (Rz 22-25 FINMA-RS 17/6) eingehalten wurden und somit die Übermittlung oder Nicht-Übermittlung angemessen war (Rz 27-29 FINMA-RS 17/6).</w:t>
            </w:r>
          </w:p>
          <w:p w14:paraId="4145F244" w14:textId="77777777" w:rsidR="00E768A7" w:rsidRPr="00791040" w:rsidRDefault="00E768A7" w:rsidP="00A07C2C">
            <w:pPr>
              <w:spacing w:before="120" w:after="120" w:line="240" w:lineRule="auto"/>
              <w:rPr>
                <w:rFonts w:cs="Arial"/>
                <w:strike/>
                <w:sz w:val="16"/>
                <w:szCs w:val="16"/>
                <w:highlight w:val="cyan"/>
              </w:rPr>
            </w:pPr>
          </w:p>
        </w:tc>
        <w:tc>
          <w:tcPr>
            <w:tcW w:w="3402" w:type="dxa"/>
            <w:shd w:val="clear" w:color="auto" w:fill="auto"/>
          </w:tcPr>
          <w:p w14:paraId="336BEF99" w14:textId="77777777" w:rsidR="00E768A7" w:rsidRPr="00791040" w:rsidRDefault="00E768A7" w:rsidP="00A07C2C">
            <w:pPr>
              <w:spacing w:before="120" w:after="120" w:line="240" w:lineRule="auto"/>
              <w:rPr>
                <w:rFonts w:cs="Arial"/>
                <w:sz w:val="16"/>
                <w:szCs w:val="16"/>
              </w:rPr>
            </w:pPr>
          </w:p>
        </w:tc>
        <w:tc>
          <w:tcPr>
            <w:tcW w:w="992" w:type="dxa"/>
            <w:shd w:val="clear" w:color="auto" w:fill="auto"/>
          </w:tcPr>
          <w:p w14:paraId="4ED392B4" w14:textId="77777777" w:rsidR="00E768A7" w:rsidRPr="00791040" w:rsidRDefault="00E768A7" w:rsidP="00A07C2C">
            <w:pPr>
              <w:spacing w:before="120" w:after="120" w:line="240" w:lineRule="auto"/>
            </w:pPr>
          </w:p>
        </w:tc>
      </w:tr>
      <w:tr w:rsidR="00E768A7" w:rsidRPr="00194D84" w14:paraId="019B4CEA" w14:textId="77777777" w:rsidTr="00A07C2C">
        <w:trPr>
          <w:gridAfter w:val="1"/>
          <w:wAfter w:w="34" w:type="dxa"/>
        </w:trPr>
        <w:tc>
          <w:tcPr>
            <w:tcW w:w="531" w:type="dxa"/>
            <w:shd w:val="clear" w:color="auto" w:fill="auto"/>
          </w:tcPr>
          <w:p w14:paraId="6739ECEE" w14:textId="77777777" w:rsidR="00E768A7" w:rsidRPr="00791040" w:rsidRDefault="00E768A7" w:rsidP="00A07C2C">
            <w:pPr>
              <w:spacing w:before="120" w:after="120" w:line="240" w:lineRule="auto"/>
              <w:rPr>
                <w:rFonts w:cs="Arial"/>
                <w:sz w:val="16"/>
                <w:szCs w:val="16"/>
              </w:rPr>
            </w:pPr>
          </w:p>
        </w:tc>
        <w:tc>
          <w:tcPr>
            <w:tcW w:w="1766" w:type="dxa"/>
            <w:shd w:val="clear" w:color="auto" w:fill="auto"/>
          </w:tcPr>
          <w:p w14:paraId="34435AD3" w14:textId="77777777" w:rsidR="00E768A7" w:rsidRPr="00791040" w:rsidRDefault="00E768A7" w:rsidP="00A07C2C">
            <w:pPr>
              <w:spacing w:before="120" w:after="120" w:line="240" w:lineRule="auto"/>
              <w:rPr>
                <w:rFonts w:cs="Arial"/>
                <w:b/>
                <w:sz w:val="16"/>
                <w:szCs w:val="16"/>
              </w:rPr>
            </w:pPr>
          </w:p>
        </w:tc>
        <w:tc>
          <w:tcPr>
            <w:tcW w:w="4139" w:type="dxa"/>
            <w:shd w:val="clear" w:color="auto" w:fill="auto"/>
          </w:tcPr>
          <w:p w14:paraId="17002DDE" w14:textId="77777777" w:rsidR="00E768A7" w:rsidRPr="00791040" w:rsidRDefault="00C8336A" w:rsidP="00A07C2C">
            <w:pPr>
              <w:pStyle w:val="Bullet"/>
              <w:numPr>
                <w:ilvl w:val="0"/>
                <w:numId w:val="0"/>
              </w:numPr>
              <w:spacing w:before="120" w:after="120"/>
              <w:rPr>
                <w:strike/>
                <w:highlight w:val="cyan"/>
              </w:rPr>
            </w:pPr>
            <w:r w:rsidRPr="00791040">
              <w:t>Beurteilung, ob das Institut die Vorschriften betreffend Schutz der Rec</w:t>
            </w:r>
            <w:r w:rsidR="006304CC" w:rsidRPr="00A07C2C">
              <w:t>hte für Kunden und Dritt</w:t>
            </w:r>
            <w:r w:rsidR="006304CC">
              <w:t>e</w:t>
            </w:r>
            <w:r w:rsidRPr="00791040">
              <w:t xml:space="preserve"> eingehalten hat (Rz 30-31 FINMA-RS 17/6)</w:t>
            </w:r>
            <w:r w:rsidR="00D5658F">
              <w:t>.</w:t>
            </w:r>
          </w:p>
        </w:tc>
        <w:tc>
          <w:tcPr>
            <w:tcW w:w="3827" w:type="dxa"/>
            <w:shd w:val="clear" w:color="auto" w:fill="auto"/>
          </w:tcPr>
          <w:p w14:paraId="7CEC4F9F" w14:textId="77777777" w:rsidR="00E768A7" w:rsidRPr="00791040" w:rsidRDefault="00E768A7" w:rsidP="00A07C2C">
            <w:pPr>
              <w:spacing w:before="120" w:after="120" w:line="240" w:lineRule="auto"/>
              <w:ind w:left="33"/>
              <w:rPr>
                <w:rFonts w:cs="Arial"/>
                <w:sz w:val="16"/>
                <w:szCs w:val="16"/>
                <w:highlight w:val="cyan"/>
              </w:rPr>
            </w:pPr>
          </w:p>
        </w:tc>
        <w:tc>
          <w:tcPr>
            <w:tcW w:w="3402" w:type="dxa"/>
            <w:shd w:val="clear" w:color="auto" w:fill="auto"/>
          </w:tcPr>
          <w:p w14:paraId="10B78CE3" w14:textId="77777777" w:rsidR="00E768A7" w:rsidRPr="00791040" w:rsidRDefault="00E768A7" w:rsidP="00A07C2C">
            <w:pPr>
              <w:spacing w:before="120" w:after="120" w:line="240" w:lineRule="auto"/>
              <w:rPr>
                <w:rFonts w:cs="Arial"/>
                <w:sz w:val="16"/>
                <w:szCs w:val="16"/>
              </w:rPr>
            </w:pPr>
          </w:p>
        </w:tc>
        <w:tc>
          <w:tcPr>
            <w:tcW w:w="992" w:type="dxa"/>
            <w:shd w:val="clear" w:color="auto" w:fill="auto"/>
          </w:tcPr>
          <w:p w14:paraId="6CA49955" w14:textId="77777777" w:rsidR="00E768A7" w:rsidRPr="00791040" w:rsidRDefault="00E768A7" w:rsidP="00A07C2C">
            <w:pPr>
              <w:spacing w:before="120" w:after="120" w:line="240" w:lineRule="auto"/>
            </w:pPr>
          </w:p>
        </w:tc>
      </w:tr>
      <w:tr w:rsidR="00E768A7" w:rsidRPr="00194D84" w14:paraId="5C7E61FB" w14:textId="77777777" w:rsidTr="00A07C2C">
        <w:trPr>
          <w:gridAfter w:val="1"/>
          <w:wAfter w:w="34" w:type="dxa"/>
        </w:trPr>
        <w:tc>
          <w:tcPr>
            <w:tcW w:w="531" w:type="dxa"/>
            <w:shd w:val="clear" w:color="auto" w:fill="auto"/>
          </w:tcPr>
          <w:p w14:paraId="3DE26A60" w14:textId="77777777" w:rsidR="00E768A7" w:rsidRPr="00791040" w:rsidRDefault="00E768A7" w:rsidP="00A07C2C">
            <w:pPr>
              <w:spacing w:before="120" w:after="120" w:line="240" w:lineRule="auto"/>
              <w:rPr>
                <w:rFonts w:cs="Arial"/>
                <w:sz w:val="16"/>
                <w:szCs w:val="16"/>
              </w:rPr>
            </w:pPr>
          </w:p>
        </w:tc>
        <w:tc>
          <w:tcPr>
            <w:tcW w:w="1766" w:type="dxa"/>
            <w:shd w:val="clear" w:color="auto" w:fill="auto"/>
          </w:tcPr>
          <w:p w14:paraId="3217B5A6" w14:textId="77777777" w:rsidR="00E768A7" w:rsidRPr="00791040" w:rsidRDefault="00E768A7" w:rsidP="00A07C2C">
            <w:pPr>
              <w:spacing w:before="120" w:after="120" w:line="240" w:lineRule="auto"/>
              <w:rPr>
                <w:rFonts w:cs="Arial"/>
                <w:b/>
                <w:sz w:val="16"/>
                <w:szCs w:val="16"/>
              </w:rPr>
            </w:pPr>
          </w:p>
        </w:tc>
        <w:tc>
          <w:tcPr>
            <w:tcW w:w="4139" w:type="dxa"/>
            <w:shd w:val="clear" w:color="auto" w:fill="auto"/>
          </w:tcPr>
          <w:p w14:paraId="52A07F44" w14:textId="77777777" w:rsidR="00E768A7" w:rsidRPr="00791040" w:rsidRDefault="00C8336A" w:rsidP="00A07C2C">
            <w:pPr>
              <w:pStyle w:val="Bullet"/>
              <w:numPr>
                <w:ilvl w:val="0"/>
                <w:numId w:val="0"/>
              </w:numPr>
              <w:spacing w:before="120" w:after="120"/>
              <w:rPr>
                <w:strike/>
                <w:highlight w:val="cyan"/>
              </w:rPr>
            </w:pPr>
            <w:r w:rsidRPr="00791040">
              <w:t>Beurteilung, ob die</w:t>
            </w:r>
            <w:r w:rsidR="00197D0E" w:rsidRPr="00A07C2C">
              <w:t xml:space="preserve"> Übermittlung von Informationen </w:t>
            </w:r>
            <w:r w:rsidR="006304CC">
              <w:t>lediglich im Zusammenhang mit den G</w:t>
            </w:r>
            <w:r w:rsidR="006304CC" w:rsidRPr="00A07C2C">
              <w:t>eschäften</w:t>
            </w:r>
            <w:r w:rsidR="00197D0E" w:rsidRPr="00A07C2C">
              <w:t xml:space="preserve"> </w:t>
            </w:r>
            <w:r w:rsidR="006304CC">
              <w:t>von</w:t>
            </w:r>
            <w:r w:rsidR="00197D0E">
              <w:t xml:space="preserve"> Kunden </w:t>
            </w:r>
            <w:r w:rsidR="006304CC">
              <w:t xml:space="preserve">und Beaufsichtigten stehen </w:t>
            </w:r>
            <w:r w:rsidR="00197D0E">
              <w:t>(gemäss Anwendung von Art. 42c Abs. 2</w:t>
            </w:r>
            <w:r w:rsidR="006304CC">
              <w:t xml:space="preserve"> FINMAG; </w:t>
            </w:r>
            <w:r w:rsidR="00197D0E">
              <w:t>Rz 39-41 FINMA-RS 17/6)</w:t>
            </w:r>
            <w:r w:rsidR="00D5658F">
              <w:t>.</w:t>
            </w:r>
          </w:p>
        </w:tc>
        <w:tc>
          <w:tcPr>
            <w:tcW w:w="3827" w:type="dxa"/>
            <w:shd w:val="clear" w:color="auto" w:fill="auto"/>
          </w:tcPr>
          <w:p w14:paraId="723F24FF" w14:textId="77777777" w:rsidR="00197D0E" w:rsidRPr="00791040" w:rsidRDefault="00197D0E" w:rsidP="00A07C2C">
            <w:pPr>
              <w:spacing w:before="120" w:after="120" w:line="240" w:lineRule="auto"/>
              <w:ind w:left="33"/>
              <w:rPr>
                <w:rFonts w:cs="Arial"/>
                <w:sz w:val="16"/>
                <w:szCs w:val="16"/>
              </w:rPr>
            </w:pPr>
            <w:r w:rsidRPr="00791040">
              <w:rPr>
                <w:rFonts w:cs="Arial"/>
                <w:sz w:val="16"/>
                <w:szCs w:val="16"/>
              </w:rPr>
              <w:t>Prüfung auf Basis</w:t>
            </w:r>
            <w:r w:rsidRPr="00A07C2C">
              <w:rPr>
                <w:rFonts w:cs="Arial"/>
                <w:sz w:val="16"/>
                <w:szCs w:val="16"/>
              </w:rPr>
              <w:t xml:space="preserve"> einer Stichprobe, ob die Vorga</w:t>
            </w:r>
            <w:r w:rsidRPr="00791040">
              <w:rPr>
                <w:rFonts w:cs="Arial"/>
                <w:sz w:val="16"/>
                <w:szCs w:val="16"/>
              </w:rPr>
              <w:t>ben betreffend Übermittlung von Informationen eingehalten wurden (Rz 39-41 FINMA-RS 17/6)</w:t>
            </w:r>
            <w:r w:rsidR="00D5658F">
              <w:rPr>
                <w:rFonts w:cs="Arial"/>
                <w:sz w:val="16"/>
                <w:szCs w:val="16"/>
              </w:rPr>
              <w:t>.</w:t>
            </w:r>
          </w:p>
          <w:p w14:paraId="7B7B4DE8" w14:textId="77777777" w:rsidR="00E768A7" w:rsidRPr="00791040" w:rsidRDefault="00E768A7" w:rsidP="00791040">
            <w:pPr>
              <w:spacing w:before="120" w:after="120" w:line="240" w:lineRule="auto"/>
              <w:rPr>
                <w:rFonts w:cs="Arial"/>
                <w:strike/>
                <w:sz w:val="16"/>
                <w:szCs w:val="16"/>
                <w:highlight w:val="cyan"/>
              </w:rPr>
            </w:pPr>
          </w:p>
        </w:tc>
        <w:tc>
          <w:tcPr>
            <w:tcW w:w="3402" w:type="dxa"/>
            <w:shd w:val="clear" w:color="auto" w:fill="auto"/>
          </w:tcPr>
          <w:p w14:paraId="4468C67A" w14:textId="77777777" w:rsidR="00E768A7" w:rsidRPr="00791040" w:rsidRDefault="00E768A7" w:rsidP="00A07C2C">
            <w:pPr>
              <w:spacing w:before="120" w:after="120" w:line="240" w:lineRule="auto"/>
              <w:rPr>
                <w:rFonts w:cs="Arial"/>
                <w:sz w:val="16"/>
                <w:szCs w:val="16"/>
              </w:rPr>
            </w:pPr>
          </w:p>
        </w:tc>
        <w:tc>
          <w:tcPr>
            <w:tcW w:w="992" w:type="dxa"/>
            <w:shd w:val="clear" w:color="auto" w:fill="auto"/>
          </w:tcPr>
          <w:p w14:paraId="02930047" w14:textId="77777777" w:rsidR="00E768A7" w:rsidRPr="00791040" w:rsidRDefault="00E768A7" w:rsidP="00A07C2C">
            <w:pPr>
              <w:spacing w:before="120" w:after="120" w:line="240" w:lineRule="auto"/>
            </w:pPr>
          </w:p>
        </w:tc>
      </w:tr>
      <w:tr w:rsidR="00E768A7" w:rsidRPr="00194D84" w14:paraId="63C32CA9" w14:textId="77777777" w:rsidTr="00A07C2C">
        <w:trPr>
          <w:gridAfter w:val="1"/>
          <w:wAfter w:w="34" w:type="dxa"/>
        </w:trPr>
        <w:tc>
          <w:tcPr>
            <w:tcW w:w="531" w:type="dxa"/>
            <w:shd w:val="clear" w:color="auto" w:fill="auto"/>
          </w:tcPr>
          <w:p w14:paraId="7781D13E" w14:textId="77777777" w:rsidR="00E768A7" w:rsidRPr="00791040" w:rsidRDefault="00E768A7" w:rsidP="00A07C2C">
            <w:pPr>
              <w:spacing w:before="120" w:after="120" w:line="240" w:lineRule="auto"/>
              <w:rPr>
                <w:rFonts w:cs="Arial"/>
                <w:sz w:val="16"/>
                <w:szCs w:val="16"/>
              </w:rPr>
            </w:pPr>
          </w:p>
        </w:tc>
        <w:tc>
          <w:tcPr>
            <w:tcW w:w="1766" w:type="dxa"/>
            <w:shd w:val="clear" w:color="auto" w:fill="auto"/>
          </w:tcPr>
          <w:p w14:paraId="4A45406B" w14:textId="77777777" w:rsidR="00E768A7" w:rsidRPr="00791040" w:rsidRDefault="00E768A7" w:rsidP="00A07C2C">
            <w:pPr>
              <w:spacing w:before="120" w:after="120" w:line="240" w:lineRule="auto"/>
              <w:rPr>
                <w:rFonts w:cs="Arial"/>
                <w:b/>
                <w:sz w:val="16"/>
                <w:szCs w:val="16"/>
              </w:rPr>
            </w:pPr>
          </w:p>
        </w:tc>
        <w:tc>
          <w:tcPr>
            <w:tcW w:w="4139" w:type="dxa"/>
            <w:shd w:val="clear" w:color="auto" w:fill="auto"/>
          </w:tcPr>
          <w:p w14:paraId="5DC51D50" w14:textId="77777777" w:rsidR="00E768A7" w:rsidRPr="00791040" w:rsidRDefault="00197D0E" w:rsidP="00A07C2C">
            <w:pPr>
              <w:pStyle w:val="Bullet"/>
              <w:numPr>
                <w:ilvl w:val="0"/>
                <w:numId w:val="0"/>
              </w:numPr>
              <w:spacing w:before="120" w:after="120"/>
              <w:rPr>
                <w:strike/>
                <w:highlight w:val="cyan"/>
              </w:rPr>
            </w:pPr>
            <w:r w:rsidRPr="00791040">
              <w:t>Beurteilung, ob das Institut ihre Informations- und Melde</w:t>
            </w:r>
            <w:r>
              <w:t>pflichten zu Gunsten der FINMA wahrgenommen hat (Rz 43-57 FINMA-RS 17/6)</w:t>
            </w:r>
            <w:r w:rsidR="00D5658F">
              <w:t>.</w:t>
            </w:r>
          </w:p>
        </w:tc>
        <w:tc>
          <w:tcPr>
            <w:tcW w:w="3827" w:type="dxa"/>
            <w:shd w:val="clear" w:color="auto" w:fill="auto"/>
          </w:tcPr>
          <w:p w14:paraId="6E027B19" w14:textId="77777777" w:rsidR="00E768A7" w:rsidRPr="00435240" w:rsidRDefault="00197D0E" w:rsidP="00435240">
            <w:pPr>
              <w:spacing w:before="120" w:after="120" w:line="240" w:lineRule="auto"/>
              <w:ind w:left="33"/>
              <w:rPr>
                <w:rFonts w:cs="Arial"/>
                <w:sz w:val="16"/>
                <w:szCs w:val="16"/>
              </w:rPr>
            </w:pPr>
            <w:r w:rsidRPr="00791040">
              <w:rPr>
                <w:rFonts w:cs="Arial"/>
                <w:sz w:val="16"/>
                <w:szCs w:val="16"/>
              </w:rPr>
              <w:t xml:space="preserve">Prüfung auf Basis einer Stichprobe, ob die </w:t>
            </w:r>
            <w:r>
              <w:rPr>
                <w:rFonts w:cs="Arial"/>
                <w:sz w:val="16"/>
                <w:szCs w:val="16"/>
              </w:rPr>
              <w:t xml:space="preserve">Vorgaben betreffend </w:t>
            </w:r>
            <w:r w:rsidRPr="00A07C2C">
              <w:rPr>
                <w:rFonts w:cs="Arial"/>
                <w:sz w:val="16"/>
                <w:szCs w:val="16"/>
              </w:rPr>
              <w:t>Informations- und Meldepflichten eingehalten wurden</w:t>
            </w:r>
            <w:r>
              <w:rPr>
                <w:rFonts w:cs="Arial"/>
                <w:sz w:val="16"/>
                <w:szCs w:val="16"/>
              </w:rPr>
              <w:t xml:space="preserve"> (Rz 43-57 FINMA-RS 17/6)</w:t>
            </w:r>
            <w:r w:rsidR="00D5658F">
              <w:rPr>
                <w:rFonts w:cs="Arial"/>
                <w:sz w:val="16"/>
                <w:szCs w:val="16"/>
              </w:rPr>
              <w:t>.</w:t>
            </w:r>
            <w:r w:rsidRPr="00791040">
              <w:rPr>
                <w:rFonts w:cs="Arial"/>
                <w:sz w:val="16"/>
                <w:szCs w:val="16"/>
              </w:rPr>
              <w:t xml:space="preserve"> </w:t>
            </w:r>
          </w:p>
        </w:tc>
        <w:tc>
          <w:tcPr>
            <w:tcW w:w="3402" w:type="dxa"/>
            <w:shd w:val="clear" w:color="auto" w:fill="auto"/>
          </w:tcPr>
          <w:p w14:paraId="703963A4" w14:textId="77777777" w:rsidR="00E768A7" w:rsidRPr="00791040" w:rsidRDefault="00E768A7" w:rsidP="00A07C2C">
            <w:pPr>
              <w:spacing w:before="120" w:after="120" w:line="240" w:lineRule="auto"/>
              <w:rPr>
                <w:rFonts w:cs="Arial"/>
                <w:sz w:val="16"/>
                <w:szCs w:val="16"/>
              </w:rPr>
            </w:pPr>
          </w:p>
        </w:tc>
        <w:tc>
          <w:tcPr>
            <w:tcW w:w="992" w:type="dxa"/>
            <w:shd w:val="clear" w:color="auto" w:fill="auto"/>
          </w:tcPr>
          <w:p w14:paraId="64B08AA1" w14:textId="77777777" w:rsidR="00E768A7" w:rsidRPr="00791040" w:rsidRDefault="00E768A7" w:rsidP="00A07C2C">
            <w:pPr>
              <w:spacing w:before="120" w:after="120" w:line="240" w:lineRule="auto"/>
            </w:pPr>
          </w:p>
        </w:tc>
      </w:tr>
    </w:tbl>
    <w:p w14:paraId="6491FAFD" w14:textId="52471516" w:rsidR="00501862" w:rsidRDefault="00501862" w:rsidP="008362E0">
      <w:pPr>
        <w:spacing w:before="120" w:after="120" w:line="240" w:lineRule="auto"/>
        <w:rPr>
          <w:rFonts w:ascii="EYInterstate Light" w:hAnsi="EYInterstate Light"/>
        </w:rPr>
      </w:pPr>
    </w:p>
    <w:p w14:paraId="0C00CE8D" w14:textId="77777777" w:rsidR="00461856" w:rsidRPr="00791040" w:rsidRDefault="00461856" w:rsidP="008362E0">
      <w:pPr>
        <w:spacing w:before="120" w:after="120" w:line="240" w:lineRule="auto"/>
        <w:rPr>
          <w:rFonts w:ascii="EYInterstate Light" w:hAnsi="EYInterstate Light"/>
        </w:rPr>
      </w:pPr>
    </w:p>
    <w:p w14:paraId="4F56B571" w14:textId="77777777" w:rsidR="00501862" w:rsidRDefault="00501862" w:rsidP="008362E0">
      <w:pPr>
        <w:spacing w:before="120" w:after="120" w:line="240" w:lineRule="auto"/>
        <w:jc w:val="center"/>
        <w:rPr>
          <w:rFonts w:cs="Arial"/>
        </w:rPr>
      </w:pPr>
      <w:r>
        <w:t>*********************************</w:t>
      </w:r>
    </w:p>
    <w:bookmarkEnd w:id="0"/>
    <w:p w14:paraId="4C7BA1B7" w14:textId="77777777" w:rsidR="002A48CF" w:rsidRPr="00AF6AA5" w:rsidRDefault="002A48CF" w:rsidP="00AF6AA5">
      <w:pPr>
        <w:spacing w:line="240" w:lineRule="auto"/>
        <w:rPr>
          <w:sz w:val="2"/>
        </w:rPr>
      </w:pPr>
    </w:p>
    <w:sectPr w:rsidR="002A48CF" w:rsidRPr="00AF6AA5" w:rsidSect="00F72EE5">
      <w:headerReference w:type="default" r:id="rId14"/>
      <w:footerReference w:type="default" r:id="rId15"/>
      <w:headerReference w:type="first" r:id="rId16"/>
      <w:footerReference w:type="first" r:id="rId17"/>
      <w:type w:val="continuous"/>
      <w:pgSz w:w="16838" w:h="11906" w:orient="landscape" w:code="9"/>
      <w:pgMar w:top="1701" w:right="1418" w:bottom="1134" w:left="1134" w:header="425" w:footer="48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DFEA5" w14:textId="77777777" w:rsidR="00A14843" w:rsidRDefault="00A14843">
      <w:r>
        <w:separator/>
      </w:r>
    </w:p>
  </w:endnote>
  <w:endnote w:type="continuationSeparator" w:id="0">
    <w:p w14:paraId="79F5C06F" w14:textId="77777777" w:rsidR="00A14843" w:rsidRDefault="00A14843">
      <w:r>
        <w:continuationSeparator/>
      </w:r>
    </w:p>
  </w:endnote>
  <w:endnote w:type="continuationNotice" w:id="1">
    <w:p w14:paraId="7B2B60A4" w14:textId="77777777" w:rsidR="00B22A8E" w:rsidRDefault="00B22A8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EYInterstate Light">
    <w:altName w:val="Arial Narrow"/>
    <w:charset w:val="00"/>
    <w:family w:val="auto"/>
    <w:pitch w:val="variable"/>
    <w:sig w:usb0="A00002AF" w:usb1="5000206A" w:usb2="00000000" w:usb3="00000000" w:csb0="0000009F" w:csb1="00000000"/>
  </w:font>
  <w:font w:name="Calibri">
    <w:panose1 w:val="020F0502020204030204"/>
    <w:charset w:val="00"/>
    <w:family w:val="swiss"/>
    <w:pitch w:val="variable"/>
    <w:sig w:usb0="E0002EFF" w:usb1="C000247B" w:usb2="00000009" w:usb3="00000000" w:csb0="000001FF" w:csb1="00000000"/>
  </w:font>
  <w:font w:name="EYInterstate">
    <w:altName w:val="Times New Roman"/>
    <w:charset w:val="00"/>
    <w:family w:val="auto"/>
    <w:pitch w:val="variable"/>
    <w:sig w:usb0="A00002AF" w:usb1="5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72" w:type="pct"/>
      <w:tblCellMar>
        <w:right w:w="0" w:type="dxa"/>
      </w:tblCellMar>
      <w:tblLook w:val="04A0" w:firstRow="1" w:lastRow="0" w:firstColumn="1" w:lastColumn="0" w:noHBand="0" w:noVBand="1"/>
    </w:tblPr>
    <w:tblGrid>
      <w:gridCol w:w="14461"/>
      <w:gridCol w:w="8008"/>
      <w:gridCol w:w="2309"/>
    </w:tblGrid>
    <w:tr w:rsidR="00A14843" w14:paraId="06B9F3B0" w14:textId="77777777" w:rsidTr="00791040">
      <w:trPr>
        <w:trHeight w:val="851"/>
      </w:trPr>
      <w:tc>
        <w:tcPr>
          <w:tcW w:w="2918" w:type="pct"/>
          <w:tcMar>
            <w:left w:w="0" w:type="dxa"/>
          </w:tcMar>
        </w:tcPr>
        <w:p w14:paraId="2E97D3AD" w14:textId="00F6AD2E" w:rsidR="00A14843" w:rsidRDefault="00A14843" w:rsidP="005131A0">
          <w:pPr>
            <w:pStyle w:val="Fuzeile"/>
          </w:pPr>
          <w:r>
            <w:t xml:space="preserve">Für das Prüfgebiet „Geschäftsrisiken – Risikomanagement / Andere Risiken im Zusammenhang mit Compliance-Fragen“ anwendbare Prüfungshandlungen </w:t>
          </w:r>
        </w:p>
        <w:p w14:paraId="502FE68B" w14:textId="18A542D8" w:rsidR="00A14843" w:rsidRPr="001A2BD4" w:rsidRDefault="00A14843" w:rsidP="009F0861">
          <w:pPr>
            <w:pStyle w:val="Fuzeile"/>
            <w:tabs>
              <w:tab w:val="right" w:pos="14460"/>
            </w:tabs>
            <w:rPr>
              <w:szCs w:val="16"/>
            </w:rPr>
          </w:pPr>
          <w:r>
            <w:t xml:space="preserve">Version vom </w:t>
          </w:r>
          <w:r w:rsidR="009F0861">
            <w:t>31. März</w:t>
          </w:r>
          <w:r>
            <w:t xml:space="preserve"> 20</w:t>
          </w:r>
          <w:r w:rsidR="002B5D89">
            <w:t>20</w:t>
          </w:r>
          <w:r>
            <w:t>, anwendbar ab</w:t>
          </w:r>
          <w:r w:rsidR="002B5D89">
            <w:t xml:space="preserve"> Prüfperiode 2020 (Prüfjahre beginnend am 01.01.2020 oder später)</w:t>
          </w:r>
          <w:r w:rsidR="002B5D89">
            <w:tab/>
          </w:r>
          <w:r w:rsidR="002B5D89">
            <w:tab/>
          </w:r>
          <w:sdt>
            <w:sdtPr>
              <w:id w:val="131833022"/>
              <w:docPartObj>
                <w:docPartGallery w:val="Page Numbers (Bottom of Page)"/>
                <w:docPartUnique/>
              </w:docPartObj>
            </w:sdtPr>
            <w:sdtEndPr>
              <w:rPr>
                <w:noProof/>
                <w:szCs w:val="16"/>
              </w:rPr>
            </w:sdtEndPr>
            <w:sdtContent>
              <w:r>
                <w:t xml:space="preserve">Seite </w:t>
              </w:r>
              <w:r w:rsidRPr="00163FB7">
                <w:rPr>
                  <w:szCs w:val="16"/>
                </w:rPr>
                <w:fldChar w:fldCharType="begin"/>
              </w:r>
              <w:r w:rsidRPr="005D5015">
                <w:rPr>
                  <w:szCs w:val="16"/>
                </w:rPr>
                <w:instrText xml:space="preserve"> PAGE   \* MERGEFORMAT </w:instrText>
              </w:r>
              <w:r w:rsidRPr="00163FB7">
                <w:rPr>
                  <w:szCs w:val="16"/>
                </w:rPr>
                <w:fldChar w:fldCharType="separate"/>
              </w:r>
              <w:r w:rsidR="009F0861">
                <w:rPr>
                  <w:noProof/>
                  <w:szCs w:val="16"/>
                </w:rPr>
                <w:t>16</w:t>
              </w:r>
              <w:r w:rsidRPr="00163FB7">
                <w:rPr>
                  <w:noProof/>
                  <w:szCs w:val="16"/>
                </w:rPr>
                <w:fldChar w:fldCharType="end"/>
              </w:r>
            </w:sdtContent>
          </w:sdt>
        </w:p>
      </w:tc>
      <w:tc>
        <w:tcPr>
          <w:tcW w:w="1616" w:type="pct"/>
          <w:tcMar>
            <w:left w:w="0" w:type="dxa"/>
          </w:tcMar>
        </w:tcPr>
        <w:p w14:paraId="58AC43AD" w14:textId="77777777" w:rsidR="00A14843" w:rsidRPr="005131A0" w:rsidRDefault="00A14843" w:rsidP="00455E44">
          <w:pPr>
            <w:pStyle w:val="Fuzeile"/>
            <w:tabs>
              <w:tab w:val="clear" w:pos="8618"/>
            </w:tabs>
          </w:pPr>
        </w:p>
      </w:tc>
      <w:tc>
        <w:tcPr>
          <w:tcW w:w="466" w:type="pct"/>
          <w:tcMar>
            <w:left w:w="0" w:type="dxa"/>
          </w:tcMar>
        </w:tcPr>
        <w:p w14:paraId="63AD343D" w14:textId="50159A09" w:rsidR="00A14843" w:rsidRPr="00D81961" w:rsidRDefault="00A14843" w:rsidP="00D81961">
          <w:pPr>
            <w:pStyle w:val="Fuzeile"/>
            <w:tabs>
              <w:tab w:val="clear" w:pos="8618"/>
              <w:tab w:val="left" w:pos="1473"/>
            </w:tabs>
            <w:ind w:right="29"/>
            <w:rPr>
              <w:sz w:val="15"/>
              <w:szCs w:val="15"/>
            </w:rPr>
          </w:pPr>
          <w:r w:rsidRPr="00D81961">
            <w:rPr>
              <w:sz w:val="15"/>
              <w:szCs w:val="15"/>
            </w:rPr>
            <w:fldChar w:fldCharType="begin"/>
          </w:r>
          <w:r w:rsidRPr="00D81961">
            <w:rPr>
              <w:sz w:val="15"/>
              <w:szCs w:val="15"/>
            </w:rPr>
            <w:instrText xml:space="preserve"> PAGE </w:instrText>
          </w:r>
          <w:r w:rsidRPr="00D81961">
            <w:rPr>
              <w:sz w:val="15"/>
              <w:szCs w:val="15"/>
            </w:rPr>
            <w:fldChar w:fldCharType="separate"/>
          </w:r>
          <w:r w:rsidR="009F0861">
            <w:rPr>
              <w:noProof/>
              <w:sz w:val="15"/>
              <w:szCs w:val="15"/>
            </w:rPr>
            <w:t>16</w:t>
          </w:r>
          <w:r w:rsidRPr="00D81961">
            <w:rPr>
              <w:noProof/>
              <w:sz w:val="15"/>
              <w:szCs w:val="15"/>
            </w:rPr>
            <w:fldChar w:fldCharType="end"/>
          </w:r>
          <w:r>
            <w:rPr>
              <w:sz w:val="15"/>
            </w:rPr>
            <w:t>/</w:t>
          </w:r>
          <w:r w:rsidRPr="00D81961">
            <w:rPr>
              <w:sz w:val="15"/>
              <w:szCs w:val="15"/>
            </w:rPr>
            <w:fldChar w:fldCharType="begin"/>
          </w:r>
          <w:r w:rsidRPr="00D81961">
            <w:rPr>
              <w:sz w:val="15"/>
              <w:szCs w:val="15"/>
            </w:rPr>
            <w:instrText xml:space="preserve"> NUMPAGES </w:instrText>
          </w:r>
          <w:r w:rsidRPr="00D81961">
            <w:rPr>
              <w:sz w:val="15"/>
              <w:szCs w:val="15"/>
            </w:rPr>
            <w:fldChar w:fldCharType="separate"/>
          </w:r>
          <w:r w:rsidR="009F0861">
            <w:rPr>
              <w:noProof/>
              <w:sz w:val="15"/>
              <w:szCs w:val="15"/>
            </w:rPr>
            <w:t>16</w:t>
          </w:r>
          <w:r w:rsidRPr="00D81961">
            <w:rPr>
              <w:noProof/>
              <w:sz w:val="15"/>
              <w:szCs w:val="15"/>
            </w:rPr>
            <w:fldChar w:fldCharType="end"/>
          </w:r>
        </w:p>
      </w:tc>
    </w:tr>
  </w:tbl>
  <w:p w14:paraId="26C64D27" w14:textId="77777777" w:rsidR="00A14843" w:rsidRDefault="00A14843" w:rsidP="001A2BD4">
    <w:pPr>
      <w:pStyle w:val="Fuzeile"/>
      <w:tabs>
        <w:tab w:val="clear" w:pos="8618"/>
        <w:tab w:val="right" w:pos="1460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4"/>
    </w:tblGrid>
    <w:tr w:rsidR="00A14843" w:rsidRPr="00680FFB" w14:paraId="5F4B3E00" w14:textId="75CAC5B3" w:rsidTr="001A2BD4">
      <w:tc>
        <w:tcPr>
          <w:tcW w:w="14175" w:type="dxa"/>
        </w:tcPr>
        <w:p w14:paraId="152FD361" w14:textId="4AE98AC1" w:rsidR="00A14843" w:rsidRPr="00680FFB" w:rsidRDefault="00A14843" w:rsidP="001A2BD4">
          <w:pPr>
            <w:pStyle w:val="Fuzeile"/>
            <w:ind w:left="-109"/>
          </w:pPr>
          <w:bookmarkStart w:id="2" w:name="BkmBarcode01" w:colFirst="1" w:colLast="1"/>
          <w:r>
            <w:t>Für das Prüfgebiet „Geschäftsrisiken – Risikomanagement / Andere Risiken im Zusammenhang mit Compliance-Fragen“ anwendbare Prüfungshandlungen</w:t>
          </w:r>
        </w:p>
      </w:tc>
    </w:tr>
    <w:tr w:rsidR="00A14843" w:rsidRPr="00680FFB" w14:paraId="1A0F6F27" w14:textId="77777777" w:rsidTr="001A2BD4">
      <w:tc>
        <w:tcPr>
          <w:tcW w:w="14175" w:type="dxa"/>
        </w:tcPr>
        <w:p w14:paraId="406E6403" w14:textId="4169CAA3" w:rsidR="00A14843" w:rsidRDefault="00A14843" w:rsidP="001A2BD4">
          <w:pPr>
            <w:pStyle w:val="Fuzeile"/>
            <w:tabs>
              <w:tab w:val="right" w:pos="13925"/>
            </w:tabs>
            <w:ind w:left="-109"/>
            <w:rPr>
              <w:szCs w:val="16"/>
            </w:rPr>
          </w:pPr>
          <w:r w:rsidRPr="003D22FB">
            <w:rPr>
              <w:szCs w:val="16"/>
            </w:rPr>
            <w:t xml:space="preserve">Version </w:t>
          </w:r>
          <w:r w:rsidR="00F72EE5">
            <w:rPr>
              <w:szCs w:val="16"/>
            </w:rPr>
            <w:t xml:space="preserve">vom xxxx 2020, </w:t>
          </w:r>
          <w:r w:rsidRPr="003D22FB">
            <w:rPr>
              <w:szCs w:val="16"/>
            </w:rPr>
            <w:t xml:space="preserve">gültig ab </w:t>
          </w:r>
          <w:r w:rsidR="00F72EE5">
            <w:rPr>
              <w:szCs w:val="16"/>
            </w:rPr>
            <w:t>Prüfperiode 2020 (Prüfjahre beginnend am 01.01.2020 oder später)</w:t>
          </w:r>
          <w:r w:rsidRPr="00BF1E2E">
            <w:rPr>
              <w:szCs w:val="16"/>
            </w:rPr>
            <w:tab/>
          </w:r>
          <w:r>
            <w:tab/>
          </w:r>
          <w:sdt>
            <w:sdtPr>
              <w:id w:val="1645000466"/>
              <w:docPartObj>
                <w:docPartGallery w:val="Page Numbers (Bottom of Page)"/>
                <w:docPartUnique/>
              </w:docPartObj>
            </w:sdtPr>
            <w:sdtEndPr>
              <w:rPr>
                <w:noProof/>
                <w:szCs w:val="16"/>
              </w:rPr>
            </w:sdtEndPr>
            <w:sdtContent>
              <w:r>
                <w:t xml:space="preserve">Seite </w:t>
              </w:r>
              <w:r w:rsidRPr="00163FB7">
                <w:rPr>
                  <w:szCs w:val="16"/>
                </w:rPr>
                <w:fldChar w:fldCharType="begin"/>
              </w:r>
              <w:r w:rsidRPr="005D5015">
                <w:rPr>
                  <w:szCs w:val="16"/>
                </w:rPr>
                <w:instrText xml:space="preserve"> PAGE   \* MERGEFORMAT </w:instrText>
              </w:r>
              <w:r w:rsidRPr="00163FB7">
                <w:rPr>
                  <w:szCs w:val="16"/>
                </w:rPr>
                <w:fldChar w:fldCharType="separate"/>
              </w:r>
              <w:r w:rsidR="00F72EE5">
                <w:rPr>
                  <w:noProof/>
                  <w:szCs w:val="16"/>
                </w:rPr>
                <w:t>1</w:t>
              </w:r>
              <w:r w:rsidRPr="00163FB7">
                <w:rPr>
                  <w:noProof/>
                  <w:szCs w:val="16"/>
                </w:rPr>
                <w:fldChar w:fldCharType="end"/>
              </w:r>
            </w:sdtContent>
          </w:sdt>
        </w:p>
        <w:p w14:paraId="64967CFC" w14:textId="0A95991D" w:rsidR="00A14843" w:rsidRPr="00465386" w:rsidRDefault="00A14843" w:rsidP="003E3A99">
          <w:pPr>
            <w:pStyle w:val="Fuzeile"/>
            <w:tabs>
              <w:tab w:val="right" w:pos="14287"/>
            </w:tabs>
            <w:ind w:left="-365"/>
          </w:pPr>
        </w:p>
      </w:tc>
    </w:tr>
    <w:tr w:rsidR="00A14843" w:rsidRPr="00680FFB" w14:paraId="266CC514" w14:textId="77777777" w:rsidTr="001A2BD4">
      <w:tc>
        <w:tcPr>
          <w:tcW w:w="14175" w:type="dxa"/>
        </w:tcPr>
        <w:p w14:paraId="4992F924" w14:textId="77777777" w:rsidR="00A14843" w:rsidRPr="003D22FB" w:rsidRDefault="00A14843" w:rsidP="003E3A99">
          <w:pPr>
            <w:pStyle w:val="Fuzeile"/>
            <w:ind w:left="-365"/>
            <w:rPr>
              <w:szCs w:val="16"/>
            </w:rPr>
          </w:pPr>
        </w:p>
      </w:tc>
    </w:tr>
  </w:tbl>
  <w:bookmarkEnd w:id="2"/>
  <w:p w14:paraId="5834B0BB" w14:textId="1FB7F8B8" w:rsidR="00A14843" w:rsidRPr="00F768F1" w:rsidRDefault="00A14843" w:rsidP="003E3A99">
    <w:pPr>
      <w:pStyle w:val="Fuzeile"/>
      <w:spacing w:line="240" w:lineRule="auto"/>
      <w:rPr>
        <w:sz w:val="2"/>
        <w:szCs w:val="2"/>
      </w:rPr>
    </w:pPr>
    <w:r>
      <w:rPr>
        <w:sz w:val="2"/>
        <w:szCs w:val="2"/>
      </w:rPr>
      <w:t>asdflkjsdfkljasd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84990" w14:textId="77777777" w:rsidR="00A14843" w:rsidRDefault="00A14843">
      <w:r>
        <w:separator/>
      </w:r>
    </w:p>
  </w:footnote>
  <w:footnote w:type="continuationSeparator" w:id="0">
    <w:p w14:paraId="2C739277" w14:textId="77777777" w:rsidR="00A14843" w:rsidRDefault="00A14843">
      <w:r>
        <w:continuationSeparator/>
      </w:r>
    </w:p>
  </w:footnote>
  <w:footnote w:type="continuationNotice" w:id="1">
    <w:p w14:paraId="586F8F33" w14:textId="77777777" w:rsidR="00B22A8E" w:rsidRDefault="00B22A8E">
      <w:pPr>
        <w:spacing w:line="240" w:lineRule="auto"/>
      </w:pPr>
    </w:p>
  </w:footnote>
  <w:footnote w:id="2">
    <w:p w14:paraId="7921A7DD" w14:textId="7ACE153B" w:rsidR="002A25BF" w:rsidRPr="000671E1" w:rsidRDefault="002A25BF" w:rsidP="002A25BF">
      <w:pPr>
        <w:pStyle w:val="Funotentext"/>
      </w:pPr>
      <w:r>
        <w:rPr>
          <w:rStyle w:val="Funotenzeichen"/>
        </w:rPr>
        <w:footnoteRef/>
      </w:r>
      <w:r w:rsidRPr="00F72EE5">
        <w:rPr>
          <w:sz w:val="18"/>
          <w:szCs w:val="18"/>
        </w:rPr>
        <w:t xml:space="preserve"> Rz 33 und 34 FINMA-RS 13/3.</w:t>
      </w:r>
    </w:p>
  </w:footnote>
  <w:footnote w:id="3">
    <w:p w14:paraId="0AC05FFF" w14:textId="3200D4BA" w:rsidR="00A14843" w:rsidRPr="00F61ADA" w:rsidRDefault="00A14843">
      <w:pPr>
        <w:pStyle w:val="Funotentext"/>
        <w:rPr>
          <w:sz w:val="16"/>
        </w:rPr>
      </w:pPr>
      <w:r w:rsidRPr="00F61ADA">
        <w:rPr>
          <w:rStyle w:val="Funotenzeichen"/>
          <w:sz w:val="16"/>
        </w:rPr>
        <w:footnoteRef/>
      </w:r>
      <w:r w:rsidRPr="00F61ADA">
        <w:rPr>
          <w:sz w:val="16"/>
        </w:rPr>
        <w:t xml:space="preserve"> Diese Prüftätigkeit stützt sich auf das Erstellen einer Übersicht der rechtlichen und regulatorischen Änderungen in der Schweiz und im Ausland durch das Institut oder einen Dritten, die fü</w:t>
      </w:r>
      <w:r w:rsidR="005564E9">
        <w:rPr>
          <w:sz w:val="16"/>
        </w:rPr>
        <w:t xml:space="preserve">r die </w:t>
      </w:r>
      <w:r w:rsidRPr="00F61ADA">
        <w:rPr>
          <w:sz w:val="16"/>
        </w:rPr>
        <w:t>Tätigkeiten des geprüften Instituts relevant und bedeutend sind.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gridCol w:w="5528"/>
    </w:tblGrid>
    <w:tr w:rsidR="00A14843" w:rsidRPr="00AF6AA5" w14:paraId="546C976F" w14:textId="77777777" w:rsidTr="00F72EE5">
      <w:trPr>
        <w:trHeight w:val="901"/>
      </w:trPr>
      <w:tc>
        <w:tcPr>
          <w:tcW w:w="9498" w:type="dxa"/>
          <w:tcBorders>
            <w:top w:val="nil"/>
            <w:left w:val="nil"/>
            <w:bottom w:val="nil"/>
            <w:right w:val="nil"/>
          </w:tcBorders>
          <w:vAlign w:val="bottom"/>
        </w:tcPr>
        <w:p w14:paraId="73BAE64E" w14:textId="77777777" w:rsidR="00F72EE5" w:rsidRDefault="00A14843" w:rsidP="00F72EE5">
          <w:pPr>
            <w:pStyle w:val="Kopfzeile"/>
            <w:tabs>
              <w:tab w:val="clear" w:pos="4536"/>
              <w:tab w:val="clear" w:pos="9072"/>
              <w:tab w:val="left" w:pos="4290"/>
              <w:tab w:val="right" w:pos="14317"/>
            </w:tabs>
            <w:rPr>
              <w:rFonts w:cs="Arial"/>
              <w:sz w:val="16"/>
              <w:szCs w:val="16"/>
            </w:rPr>
          </w:pPr>
          <w:r>
            <w:rPr>
              <w:b/>
              <w:sz w:val="16"/>
              <w:highlight w:val="yellow"/>
            </w:rPr>
            <w:t>[Institut XY]</w:t>
          </w:r>
          <w:r w:rsidR="00F72EE5">
            <w:rPr>
              <w:b/>
              <w:sz w:val="16"/>
            </w:rPr>
            <w:tab/>
          </w:r>
          <w:r w:rsidR="00F72EE5">
            <w:rPr>
              <w:sz w:val="16"/>
            </w:rPr>
            <w:t xml:space="preserve">Referenz: </w:t>
          </w:r>
          <w:r w:rsidR="00F72EE5">
            <w:rPr>
              <w:sz w:val="16"/>
              <w:highlight w:val="yellow"/>
            </w:rPr>
            <w:t>[Referenz hinzufügen]</w:t>
          </w:r>
        </w:p>
        <w:p w14:paraId="09D1B80F" w14:textId="77777777" w:rsidR="00F72EE5" w:rsidRPr="00F72EE5" w:rsidRDefault="00A14843" w:rsidP="00F72EE5">
          <w:pPr>
            <w:tabs>
              <w:tab w:val="left" w:pos="4290"/>
            </w:tabs>
            <w:rPr>
              <w:rFonts w:cs="Arial"/>
              <w:sz w:val="12"/>
              <w:szCs w:val="16"/>
            </w:rPr>
          </w:pPr>
          <w:r>
            <w:rPr>
              <w:sz w:val="16"/>
            </w:rPr>
            <w:t xml:space="preserve">Prüfperiode </w:t>
          </w:r>
          <w:r>
            <w:rPr>
              <w:sz w:val="16"/>
              <w:highlight w:val="yellow"/>
            </w:rPr>
            <w:t>20XX</w:t>
          </w:r>
          <w:r w:rsidR="00F72EE5">
            <w:rPr>
              <w:b/>
              <w:sz w:val="32"/>
            </w:rPr>
            <w:tab/>
          </w:r>
          <w:r w:rsidR="00F72EE5" w:rsidRPr="00F72EE5">
            <w:rPr>
              <w:b/>
              <w:sz w:val="16"/>
            </w:rPr>
            <w:t>Andere Risiken im Zusammenhang mit Compliance-Fragen</w:t>
          </w:r>
        </w:p>
        <w:p w14:paraId="59BB3670" w14:textId="7C42515E" w:rsidR="00A14843" w:rsidRPr="00501862" w:rsidRDefault="00A14843" w:rsidP="00501862">
          <w:pPr>
            <w:tabs>
              <w:tab w:val="left" w:pos="1800"/>
            </w:tabs>
          </w:pPr>
        </w:p>
      </w:tc>
      <w:tc>
        <w:tcPr>
          <w:tcW w:w="5528" w:type="dxa"/>
          <w:tcBorders>
            <w:top w:val="nil"/>
            <w:left w:val="nil"/>
            <w:bottom w:val="nil"/>
            <w:right w:val="nil"/>
          </w:tcBorders>
        </w:tcPr>
        <w:p w14:paraId="7E245F65" w14:textId="232B9CAC" w:rsidR="00A14843" w:rsidRPr="00501862" w:rsidRDefault="00F72EE5" w:rsidP="00F05C8A">
          <w:pPr>
            <w:tabs>
              <w:tab w:val="right" w:pos="9360"/>
            </w:tabs>
            <w:ind w:right="40"/>
          </w:pPr>
          <w:r>
            <w:rPr>
              <w:noProof/>
              <w:lang w:bidi="ar-SA"/>
            </w:rPr>
            <w:drawing>
              <wp:anchor distT="0" distB="0" distL="114300" distR="114300" simplePos="0" relativeHeight="251660289" behindDoc="0" locked="0" layoutInCell="1" allowOverlap="1" wp14:anchorId="0DC1BF47" wp14:editId="534239D5">
                <wp:simplePos x="0" y="0"/>
                <wp:positionH relativeFrom="column">
                  <wp:posOffset>1191260</wp:posOffset>
                </wp:positionH>
                <wp:positionV relativeFrom="paragraph">
                  <wp:posOffset>4445</wp:posOffset>
                </wp:positionV>
                <wp:extent cx="1799590" cy="791845"/>
                <wp:effectExtent l="0" t="0" r="0" b="8255"/>
                <wp:wrapNone/>
                <wp:docPr id="1"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_des_farb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791845"/>
                        </a:xfrm>
                        <a:prstGeom prst="rect">
                          <a:avLst/>
                        </a:prstGeom>
                      </pic:spPr>
                    </pic:pic>
                  </a:graphicData>
                </a:graphic>
                <wp14:sizeRelH relativeFrom="page">
                  <wp14:pctWidth>0</wp14:pctWidth>
                </wp14:sizeRelH>
                <wp14:sizeRelV relativeFrom="page">
                  <wp14:pctHeight>0</wp14:pctHeight>
                </wp14:sizeRelV>
              </wp:anchor>
            </w:drawing>
          </w:r>
        </w:p>
      </w:tc>
    </w:tr>
  </w:tbl>
  <w:p w14:paraId="64FA4CF9" w14:textId="1BC65806" w:rsidR="00A14843" w:rsidRPr="00110559" w:rsidRDefault="00A14843" w:rsidP="00F05C8A">
    <w:pPr>
      <w:spacing w:after="120" w:line="240" w:lineRule="auto"/>
      <w:ind w:right="11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306" w:type="dxa"/>
      <w:tblLook w:val="01E0" w:firstRow="1" w:lastRow="1" w:firstColumn="1" w:lastColumn="1" w:noHBand="0" w:noVBand="0"/>
    </w:tblPr>
    <w:tblGrid>
      <w:gridCol w:w="9117"/>
      <w:gridCol w:w="5189"/>
    </w:tblGrid>
    <w:tr w:rsidR="00A14843" w:rsidRPr="00AF6AA5" w14:paraId="6F60C7B9" w14:textId="77777777" w:rsidTr="00F72EE5">
      <w:trPr>
        <w:trHeight w:val="1046"/>
      </w:trPr>
      <w:tc>
        <w:tcPr>
          <w:tcW w:w="9117" w:type="dxa"/>
        </w:tcPr>
        <w:p w14:paraId="63BDF67C" w14:textId="77777777" w:rsidR="00F72EE5" w:rsidRDefault="00A14843" w:rsidP="00F72EE5">
          <w:pPr>
            <w:pStyle w:val="Kopfzeile"/>
            <w:tabs>
              <w:tab w:val="clear" w:pos="4536"/>
              <w:tab w:val="clear" w:pos="9072"/>
              <w:tab w:val="left" w:pos="4290"/>
              <w:tab w:val="right" w:pos="14317"/>
            </w:tabs>
            <w:rPr>
              <w:rFonts w:cs="Arial"/>
              <w:sz w:val="16"/>
              <w:szCs w:val="16"/>
            </w:rPr>
          </w:pPr>
          <w:r>
            <w:rPr>
              <w:b/>
              <w:sz w:val="16"/>
              <w:highlight w:val="yellow"/>
            </w:rPr>
            <w:t>[Institut XY]</w:t>
          </w:r>
          <w:r w:rsidR="00F72EE5">
            <w:rPr>
              <w:b/>
              <w:sz w:val="16"/>
            </w:rPr>
            <w:tab/>
          </w:r>
          <w:r w:rsidR="00F72EE5">
            <w:rPr>
              <w:sz w:val="16"/>
            </w:rPr>
            <w:t xml:space="preserve">Referenz: </w:t>
          </w:r>
          <w:r w:rsidR="00F72EE5">
            <w:rPr>
              <w:sz w:val="16"/>
              <w:highlight w:val="yellow"/>
            </w:rPr>
            <w:t>[Referenz hinzufügen]</w:t>
          </w:r>
        </w:p>
        <w:p w14:paraId="00B89575" w14:textId="07C30D44" w:rsidR="00A14843" w:rsidRPr="00F72EE5" w:rsidRDefault="00A14843" w:rsidP="00F72EE5">
          <w:pPr>
            <w:tabs>
              <w:tab w:val="left" w:pos="4290"/>
            </w:tabs>
            <w:rPr>
              <w:rFonts w:cs="Arial"/>
              <w:sz w:val="12"/>
              <w:szCs w:val="16"/>
            </w:rPr>
          </w:pPr>
          <w:r>
            <w:rPr>
              <w:sz w:val="16"/>
            </w:rPr>
            <w:t xml:space="preserve">Prüfperiode </w:t>
          </w:r>
          <w:r>
            <w:rPr>
              <w:sz w:val="16"/>
              <w:highlight w:val="yellow"/>
            </w:rPr>
            <w:t>20XX</w:t>
          </w:r>
          <w:r w:rsidR="00F72EE5">
            <w:rPr>
              <w:b/>
              <w:sz w:val="32"/>
            </w:rPr>
            <w:tab/>
          </w:r>
          <w:r w:rsidR="00F72EE5" w:rsidRPr="00F72EE5">
            <w:rPr>
              <w:b/>
              <w:sz w:val="16"/>
            </w:rPr>
            <w:t>Andere Risiken im Zusammenhang mit Compliance-Fragen</w:t>
          </w:r>
        </w:p>
        <w:p w14:paraId="3CBB4A29" w14:textId="71492D53" w:rsidR="00A14843" w:rsidRPr="00501862" w:rsidRDefault="00A14843" w:rsidP="003E3A99">
          <w:pPr>
            <w:rPr>
              <w:b/>
              <w:sz w:val="32"/>
              <w:szCs w:val="32"/>
            </w:rPr>
          </w:pPr>
          <w:r w:rsidRPr="008E3C27">
            <w:rPr>
              <w:b/>
              <w:sz w:val="32"/>
              <w:szCs w:val="32"/>
            </w:rPr>
            <w:fldChar w:fldCharType="begin"/>
          </w:r>
          <w:r w:rsidRPr="00501862">
            <w:rPr>
              <w:b/>
              <w:sz w:val="32"/>
              <w:szCs w:val="32"/>
            </w:rPr>
            <w:instrText xml:space="preserve"> IF "</w:instrText>
          </w:r>
          <w:r w:rsidRPr="008E3C27">
            <w:rPr>
              <w:b/>
              <w:sz w:val="32"/>
              <w:szCs w:val="32"/>
            </w:rPr>
            <w:fldChar w:fldCharType="begin"/>
          </w:r>
          <w:r w:rsidRPr="00501862">
            <w:rPr>
              <w:b/>
              <w:sz w:val="32"/>
              <w:szCs w:val="32"/>
            </w:rPr>
            <w:instrText xml:space="preserve"> DOCPROPERTY "feld_vertraulich" </w:instrText>
          </w:r>
          <w:r w:rsidRPr="008E3C27">
            <w:rPr>
              <w:b/>
              <w:sz w:val="32"/>
              <w:szCs w:val="32"/>
            </w:rPr>
            <w:fldChar w:fldCharType="separate"/>
          </w:r>
          <w:r>
            <w:rPr>
              <w:bCs/>
              <w:sz w:val="32"/>
              <w:szCs w:val="32"/>
              <w:lang w:val="de-DE"/>
            </w:rPr>
            <w:instrText>Fehler! Unbekannter Name für Dokument-Eigenschaft.</w:instrText>
          </w:r>
          <w:r w:rsidRPr="008E3C27">
            <w:rPr>
              <w:b/>
              <w:bCs/>
              <w:sz w:val="32"/>
              <w:szCs w:val="32"/>
            </w:rPr>
            <w:fldChar w:fldCharType="end"/>
          </w:r>
          <w:r w:rsidRPr="00501862">
            <w:rPr>
              <w:b/>
              <w:sz w:val="32"/>
              <w:szCs w:val="32"/>
            </w:rPr>
            <w:instrText xml:space="preserve">"="Ja" "VERTRAULICH" "" </w:instrText>
          </w:r>
          <w:r w:rsidRPr="008E3C27">
            <w:rPr>
              <w:b/>
              <w:sz w:val="32"/>
              <w:szCs w:val="32"/>
            </w:rPr>
            <w:fldChar w:fldCharType="end"/>
          </w:r>
        </w:p>
      </w:tc>
      <w:tc>
        <w:tcPr>
          <w:tcW w:w="5189" w:type="dxa"/>
        </w:tcPr>
        <w:p w14:paraId="7818ED9E" w14:textId="77777777" w:rsidR="00A14843" w:rsidRPr="00501862" w:rsidRDefault="00A14843" w:rsidP="00455E44">
          <w:r>
            <w:rPr>
              <w:noProof/>
              <w:lang w:bidi="ar-SA"/>
            </w:rPr>
            <w:drawing>
              <wp:anchor distT="0" distB="0" distL="114300" distR="114300" simplePos="0" relativeHeight="251658240" behindDoc="0" locked="0" layoutInCell="1" allowOverlap="1" wp14:anchorId="43C8B939" wp14:editId="14CC1DBB">
                <wp:simplePos x="0" y="0"/>
                <wp:positionH relativeFrom="column">
                  <wp:posOffset>1383030</wp:posOffset>
                </wp:positionH>
                <wp:positionV relativeFrom="paragraph">
                  <wp:posOffset>-11430</wp:posOffset>
                </wp:positionV>
                <wp:extent cx="1799590" cy="791845"/>
                <wp:effectExtent l="0" t="0" r="0" b="8255"/>
                <wp:wrapNone/>
                <wp:docPr id="6"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_des_farb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791845"/>
                        </a:xfrm>
                        <a:prstGeom prst="rect">
                          <a:avLst/>
                        </a:prstGeom>
                      </pic:spPr>
                    </pic:pic>
                  </a:graphicData>
                </a:graphic>
                <wp14:sizeRelH relativeFrom="page">
                  <wp14:pctWidth>0</wp14:pctWidth>
                </wp14:sizeRelH>
                <wp14:sizeRelV relativeFrom="page">
                  <wp14:pctHeight>0</wp14:pctHeight>
                </wp14:sizeRelV>
              </wp:anchor>
            </w:drawing>
          </w:r>
        </w:p>
      </w:tc>
    </w:tr>
  </w:tbl>
  <w:tbl>
    <w:tblPr>
      <w:tblStyle w:val="Tabellenraster"/>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7"/>
      <w:gridCol w:w="7017"/>
    </w:tblGrid>
    <w:tr w:rsidR="00A14843" w:rsidRPr="00680FFB" w14:paraId="6ED1E090" w14:textId="77777777" w:rsidTr="00F72EE5">
      <w:trPr>
        <w:trHeight w:val="156"/>
      </w:trPr>
      <w:tc>
        <w:tcPr>
          <w:tcW w:w="6951" w:type="dxa"/>
        </w:tcPr>
        <w:p w14:paraId="388EE2B9" w14:textId="77777777" w:rsidR="005D4968" w:rsidRPr="003D22FB" w:rsidRDefault="005D4968" w:rsidP="001A2BD4">
          <w:pPr>
            <w:spacing w:line="240" w:lineRule="auto"/>
            <w:rPr>
              <w:szCs w:val="16"/>
            </w:rPr>
          </w:pPr>
        </w:p>
      </w:tc>
      <w:tc>
        <w:tcPr>
          <w:tcW w:w="6951" w:type="dxa"/>
        </w:tcPr>
        <w:p w14:paraId="4F89A6D4" w14:textId="77777777" w:rsidR="00A14843" w:rsidRPr="003D22FB" w:rsidRDefault="00A14843" w:rsidP="001A2BD4">
          <w:pPr>
            <w:spacing w:line="240" w:lineRule="auto"/>
            <w:rPr>
              <w:szCs w:val="16"/>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C0827"/>
    <w:multiLevelType w:val="multilevel"/>
    <w:tmpl w:val="9DDA4288"/>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 w15:restartNumberingAfterBreak="0">
    <w:nsid w:val="099E2F74"/>
    <w:multiLevelType w:val="hybridMultilevel"/>
    <w:tmpl w:val="7882B036"/>
    <w:lvl w:ilvl="0" w:tplc="AB0EDA6C">
      <w:start w:val="1"/>
      <w:numFmt w:val="bullet"/>
      <w:pStyle w:val="FINMAAufzhlungEbene2"/>
      <w:lvlText w:val=""/>
      <w:lvlJc w:val="left"/>
      <w:pPr>
        <w:ind w:left="1128" w:hanging="360"/>
      </w:pPr>
      <w:rPr>
        <w:rFonts w:ascii="Symbol" w:hAnsi="Symbol" w:hint="default"/>
        <w:sz w:val="20"/>
      </w:rPr>
    </w:lvl>
    <w:lvl w:ilvl="1" w:tplc="08070003" w:tentative="1">
      <w:start w:val="1"/>
      <w:numFmt w:val="bullet"/>
      <w:lvlText w:val="o"/>
      <w:lvlJc w:val="left"/>
      <w:pPr>
        <w:ind w:left="1848" w:hanging="360"/>
      </w:pPr>
      <w:rPr>
        <w:rFonts w:ascii="Courier New" w:hAnsi="Courier New" w:cs="Courier New" w:hint="default"/>
      </w:rPr>
    </w:lvl>
    <w:lvl w:ilvl="2" w:tplc="08070005" w:tentative="1">
      <w:start w:val="1"/>
      <w:numFmt w:val="bullet"/>
      <w:lvlText w:val=""/>
      <w:lvlJc w:val="left"/>
      <w:pPr>
        <w:ind w:left="2568" w:hanging="360"/>
      </w:pPr>
      <w:rPr>
        <w:rFonts w:ascii="Wingdings" w:hAnsi="Wingdings" w:hint="default"/>
      </w:rPr>
    </w:lvl>
    <w:lvl w:ilvl="3" w:tplc="08070001" w:tentative="1">
      <w:start w:val="1"/>
      <w:numFmt w:val="bullet"/>
      <w:lvlText w:val=""/>
      <w:lvlJc w:val="left"/>
      <w:pPr>
        <w:ind w:left="3288" w:hanging="360"/>
      </w:pPr>
      <w:rPr>
        <w:rFonts w:ascii="Symbol" w:hAnsi="Symbol" w:hint="default"/>
      </w:rPr>
    </w:lvl>
    <w:lvl w:ilvl="4" w:tplc="08070003" w:tentative="1">
      <w:start w:val="1"/>
      <w:numFmt w:val="bullet"/>
      <w:lvlText w:val="o"/>
      <w:lvlJc w:val="left"/>
      <w:pPr>
        <w:ind w:left="4008" w:hanging="360"/>
      </w:pPr>
      <w:rPr>
        <w:rFonts w:ascii="Courier New" w:hAnsi="Courier New" w:cs="Courier New" w:hint="default"/>
      </w:rPr>
    </w:lvl>
    <w:lvl w:ilvl="5" w:tplc="08070005" w:tentative="1">
      <w:start w:val="1"/>
      <w:numFmt w:val="bullet"/>
      <w:lvlText w:val=""/>
      <w:lvlJc w:val="left"/>
      <w:pPr>
        <w:ind w:left="4728" w:hanging="360"/>
      </w:pPr>
      <w:rPr>
        <w:rFonts w:ascii="Wingdings" w:hAnsi="Wingdings" w:hint="default"/>
      </w:rPr>
    </w:lvl>
    <w:lvl w:ilvl="6" w:tplc="08070001" w:tentative="1">
      <w:start w:val="1"/>
      <w:numFmt w:val="bullet"/>
      <w:lvlText w:val=""/>
      <w:lvlJc w:val="left"/>
      <w:pPr>
        <w:ind w:left="5448" w:hanging="360"/>
      </w:pPr>
      <w:rPr>
        <w:rFonts w:ascii="Symbol" w:hAnsi="Symbol" w:hint="default"/>
      </w:rPr>
    </w:lvl>
    <w:lvl w:ilvl="7" w:tplc="08070003" w:tentative="1">
      <w:start w:val="1"/>
      <w:numFmt w:val="bullet"/>
      <w:lvlText w:val="o"/>
      <w:lvlJc w:val="left"/>
      <w:pPr>
        <w:ind w:left="6168" w:hanging="360"/>
      </w:pPr>
      <w:rPr>
        <w:rFonts w:ascii="Courier New" w:hAnsi="Courier New" w:cs="Courier New" w:hint="default"/>
      </w:rPr>
    </w:lvl>
    <w:lvl w:ilvl="8" w:tplc="08070005" w:tentative="1">
      <w:start w:val="1"/>
      <w:numFmt w:val="bullet"/>
      <w:lvlText w:val=""/>
      <w:lvlJc w:val="left"/>
      <w:pPr>
        <w:ind w:left="6888" w:hanging="360"/>
      </w:pPr>
      <w:rPr>
        <w:rFonts w:ascii="Wingdings" w:hAnsi="Wingdings" w:hint="default"/>
      </w:rPr>
    </w:lvl>
  </w:abstractNum>
  <w:abstractNum w:abstractNumId="2" w15:restartNumberingAfterBreak="0">
    <w:nsid w:val="0C235ACF"/>
    <w:multiLevelType w:val="hybridMultilevel"/>
    <w:tmpl w:val="A1606C3E"/>
    <w:lvl w:ilvl="0" w:tplc="FCC4893A">
      <w:start w:val="1"/>
      <w:numFmt w:val="bullet"/>
      <w:lvlText w:val=""/>
      <w:lvlJc w:val="left"/>
      <w:pPr>
        <w:ind w:left="766" w:hanging="360"/>
      </w:pPr>
      <w:rPr>
        <w:rFonts w:ascii="Symbol" w:hAnsi="Symbol" w:hint="default"/>
        <w:lang w:val="en-US"/>
      </w:rPr>
    </w:lvl>
    <w:lvl w:ilvl="1" w:tplc="08090003">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 w15:restartNumberingAfterBreak="0">
    <w:nsid w:val="18680276"/>
    <w:multiLevelType w:val="multilevel"/>
    <w:tmpl w:val="545A961C"/>
    <w:styleLink w:val="ListePP"/>
    <w:lvl w:ilvl="0">
      <w:start w:val="1"/>
      <w:numFmt w:val="upperLetter"/>
      <w:lvlText w:val="%1"/>
      <w:lvlJc w:val="left"/>
      <w:pPr>
        <w:ind w:left="357" w:hanging="357"/>
      </w:pPr>
      <w:rPr>
        <w:rFonts w:hint="default"/>
      </w:rPr>
    </w:lvl>
    <w:lvl w:ilvl="1">
      <w:start w:val="1"/>
      <w:numFmt w:val="decimal"/>
      <w:suff w:val="nothing"/>
      <w:lvlText w:val="%1.%2"/>
      <w:lvlJc w:val="left"/>
      <w:pPr>
        <w:ind w:left="357" w:hanging="357"/>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4" w15:restartNumberingAfterBreak="0">
    <w:nsid w:val="203E20BD"/>
    <w:multiLevelType w:val="multilevel"/>
    <w:tmpl w:val="545A961C"/>
    <w:lvl w:ilvl="0">
      <w:start w:val="1"/>
      <w:numFmt w:val="upperLetter"/>
      <w:lvlText w:val="%1"/>
      <w:lvlJc w:val="left"/>
      <w:pPr>
        <w:ind w:left="357" w:hanging="357"/>
      </w:pPr>
      <w:rPr>
        <w:rFonts w:hint="default"/>
      </w:rPr>
    </w:lvl>
    <w:lvl w:ilvl="1">
      <w:start w:val="1"/>
      <w:numFmt w:val="decimal"/>
      <w:suff w:val="nothing"/>
      <w:lvlText w:val="%1.%2"/>
      <w:lvlJc w:val="left"/>
      <w:pPr>
        <w:ind w:left="357" w:hanging="357"/>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5" w15:restartNumberingAfterBreak="0">
    <w:nsid w:val="21091258"/>
    <w:multiLevelType w:val="multilevel"/>
    <w:tmpl w:val="C9787858"/>
    <w:lvl w:ilvl="0">
      <w:start w:val="1"/>
      <w:numFmt w:val="decimal"/>
      <w:pStyle w:val="FINMAGliederungEbene1"/>
      <w:lvlText w:val="%1."/>
      <w:lvlJc w:val="left"/>
      <w:pPr>
        <w:tabs>
          <w:tab w:val="num" w:pos="432"/>
        </w:tabs>
        <w:ind w:left="432" w:hanging="432"/>
      </w:pPr>
      <w:rPr>
        <w:rFonts w:hint="default"/>
      </w:rPr>
    </w:lvl>
    <w:lvl w:ilvl="1">
      <w:start w:val="1"/>
      <w:numFmt w:val="decimal"/>
      <w:pStyle w:val="FINMAGliederungEbene2"/>
      <w:lvlText w:val="%1.%2"/>
      <w:lvlJc w:val="left"/>
      <w:pPr>
        <w:tabs>
          <w:tab w:val="num" w:pos="576"/>
        </w:tabs>
        <w:ind w:left="576" w:hanging="576"/>
      </w:pPr>
      <w:rPr>
        <w:rFonts w:hint="default"/>
      </w:rPr>
    </w:lvl>
    <w:lvl w:ilvl="2">
      <w:start w:val="1"/>
      <w:numFmt w:val="decimal"/>
      <w:pStyle w:val="FINMAGliederungEbene3"/>
      <w:lvlText w:val="%1.%2.%3"/>
      <w:lvlJc w:val="left"/>
      <w:pPr>
        <w:tabs>
          <w:tab w:val="num" w:pos="720"/>
        </w:tabs>
        <w:ind w:left="720" w:hanging="720"/>
      </w:pPr>
      <w:rPr>
        <w:rFonts w:hint="default"/>
      </w:rPr>
    </w:lvl>
    <w:lvl w:ilvl="3">
      <w:start w:val="1"/>
      <w:numFmt w:val="decimal"/>
      <w:pStyle w:val="FINMAGliederungEben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2CC3091"/>
    <w:multiLevelType w:val="hybridMultilevel"/>
    <w:tmpl w:val="BFA82456"/>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7" w15:restartNumberingAfterBreak="0">
    <w:nsid w:val="295F682E"/>
    <w:multiLevelType w:val="hybridMultilevel"/>
    <w:tmpl w:val="DA3CB030"/>
    <w:lvl w:ilvl="0" w:tplc="08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BC0CD6"/>
    <w:multiLevelType w:val="hybridMultilevel"/>
    <w:tmpl w:val="5B846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CC68B1"/>
    <w:multiLevelType w:val="hybridMultilevel"/>
    <w:tmpl w:val="198E9BD8"/>
    <w:lvl w:ilvl="0" w:tplc="FCC4893A">
      <w:start w:val="1"/>
      <w:numFmt w:val="bullet"/>
      <w:lvlText w:val=""/>
      <w:lvlJc w:val="left"/>
      <w:pPr>
        <w:ind w:left="766" w:hanging="360"/>
      </w:pPr>
      <w:rPr>
        <w:rFonts w:ascii="Symbol" w:hAnsi="Symbo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607D97"/>
    <w:multiLevelType w:val="hybridMultilevel"/>
    <w:tmpl w:val="D7462C4A"/>
    <w:lvl w:ilvl="0" w:tplc="5F5EEE46">
      <w:start w:val="1"/>
      <w:numFmt w:val="bullet"/>
      <w:pStyle w:val="FINMAAufzhlungEbene4"/>
      <w:lvlText w:val=""/>
      <w:lvlJc w:val="left"/>
      <w:pPr>
        <w:ind w:left="1769" w:hanging="360"/>
      </w:pPr>
      <w:rPr>
        <w:rFonts w:ascii="Symbol" w:hAnsi="Symbol" w:hint="default"/>
        <w:sz w:val="20"/>
      </w:rPr>
    </w:lvl>
    <w:lvl w:ilvl="1" w:tplc="08070003" w:tentative="1">
      <w:start w:val="1"/>
      <w:numFmt w:val="bullet"/>
      <w:lvlText w:val="o"/>
      <w:lvlJc w:val="left"/>
      <w:pPr>
        <w:ind w:left="2489" w:hanging="360"/>
      </w:pPr>
      <w:rPr>
        <w:rFonts w:ascii="Courier New" w:hAnsi="Courier New" w:cs="Courier New" w:hint="default"/>
      </w:rPr>
    </w:lvl>
    <w:lvl w:ilvl="2" w:tplc="08070005" w:tentative="1">
      <w:start w:val="1"/>
      <w:numFmt w:val="bullet"/>
      <w:lvlText w:val=""/>
      <w:lvlJc w:val="left"/>
      <w:pPr>
        <w:ind w:left="3209" w:hanging="360"/>
      </w:pPr>
      <w:rPr>
        <w:rFonts w:ascii="Wingdings" w:hAnsi="Wingdings" w:hint="default"/>
      </w:rPr>
    </w:lvl>
    <w:lvl w:ilvl="3" w:tplc="08070001" w:tentative="1">
      <w:start w:val="1"/>
      <w:numFmt w:val="bullet"/>
      <w:lvlText w:val=""/>
      <w:lvlJc w:val="left"/>
      <w:pPr>
        <w:ind w:left="3929" w:hanging="360"/>
      </w:pPr>
      <w:rPr>
        <w:rFonts w:ascii="Symbol" w:hAnsi="Symbol" w:hint="default"/>
      </w:rPr>
    </w:lvl>
    <w:lvl w:ilvl="4" w:tplc="08070003" w:tentative="1">
      <w:start w:val="1"/>
      <w:numFmt w:val="bullet"/>
      <w:lvlText w:val="o"/>
      <w:lvlJc w:val="left"/>
      <w:pPr>
        <w:ind w:left="4649" w:hanging="360"/>
      </w:pPr>
      <w:rPr>
        <w:rFonts w:ascii="Courier New" w:hAnsi="Courier New" w:cs="Courier New" w:hint="default"/>
      </w:rPr>
    </w:lvl>
    <w:lvl w:ilvl="5" w:tplc="08070005" w:tentative="1">
      <w:start w:val="1"/>
      <w:numFmt w:val="bullet"/>
      <w:lvlText w:val=""/>
      <w:lvlJc w:val="left"/>
      <w:pPr>
        <w:ind w:left="5369" w:hanging="360"/>
      </w:pPr>
      <w:rPr>
        <w:rFonts w:ascii="Wingdings" w:hAnsi="Wingdings" w:hint="default"/>
      </w:rPr>
    </w:lvl>
    <w:lvl w:ilvl="6" w:tplc="08070001" w:tentative="1">
      <w:start w:val="1"/>
      <w:numFmt w:val="bullet"/>
      <w:lvlText w:val=""/>
      <w:lvlJc w:val="left"/>
      <w:pPr>
        <w:ind w:left="6089" w:hanging="360"/>
      </w:pPr>
      <w:rPr>
        <w:rFonts w:ascii="Symbol" w:hAnsi="Symbol" w:hint="default"/>
      </w:rPr>
    </w:lvl>
    <w:lvl w:ilvl="7" w:tplc="08070003" w:tentative="1">
      <w:start w:val="1"/>
      <w:numFmt w:val="bullet"/>
      <w:lvlText w:val="o"/>
      <w:lvlJc w:val="left"/>
      <w:pPr>
        <w:ind w:left="6809" w:hanging="360"/>
      </w:pPr>
      <w:rPr>
        <w:rFonts w:ascii="Courier New" w:hAnsi="Courier New" w:cs="Courier New" w:hint="default"/>
      </w:rPr>
    </w:lvl>
    <w:lvl w:ilvl="8" w:tplc="08070005" w:tentative="1">
      <w:start w:val="1"/>
      <w:numFmt w:val="bullet"/>
      <w:lvlText w:val=""/>
      <w:lvlJc w:val="left"/>
      <w:pPr>
        <w:ind w:left="7529" w:hanging="360"/>
      </w:pPr>
      <w:rPr>
        <w:rFonts w:ascii="Wingdings" w:hAnsi="Wingdings" w:hint="default"/>
      </w:rPr>
    </w:lvl>
  </w:abstractNum>
  <w:abstractNum w:abstractNumId="11" w15:restartNumberingAfterBreak="0">
    <w:nsid w:val="515E4567"/>
    <w:multiLevelType w:val="multilevel"/>
    <w:tmpl w:val="C4E285B0"/>
    <w:lvl w:ilvl="0">
      <w:start w:val="1"/>
      <w:numFmt w:val="bullet"/>
      <w:pStyle w:val="FINMAAufzhlungEbene1"/>
      <w:lvlText w:val=""/>
      <w:lvlJc w:val="left"/>
      <w:pPr>
        <w:ind w:left="360" w:hanging="360"/>
      </w:pPr>
      <w:rPr>
        <w:rFonts w:ascii="Symbol" w:hAnsi="Symbol" w:hint="default"/>
        <w:sz w:val="20"/>
      </w:rPr>
    </w:lvl>
    <w:lvl w:ilvl="1">
      <w:start w:val="1"/>
      <w:numFmt w:val="bullet"/>
      <w:lvlText w:val=""/>
      <w:lvlJc w:val="left"/>
      <w:pPr>
        <w:tabs>
          <w:tab w:val="num" w:pos="1126"/>
        </w:tabs>
        <w:ind w:left="1126" w:hanging="360"/>
      </w:pPr>
      <w:rPr>
        <w:rFonts w:ascii="Symbol" w:hAnsi="Symbol" w:hint="default"/>
        <w:b w:val="0"/>
        <w:i w:val="0"/>
        <w:sz w:val="24"/>
      </w:rPr>
    </w:lvl>
    <w:lvl w:ilvl="2">
      <w:start w:val="1"/>
      <w:numFmt w:val="bullet"/>
      <w:lvlText w:val="■"/>
      <w:lvlJc w:val="left"/>
      <w:pPr>
        <w:tabs>
          <w:tab w:val="num" w:pos="1486"/>
        </w:tabs>
        <w:ind w:left="1486" w:hanging="360"/>
      </w:pPr>
      <w:rPr>
        <w:rFonts w:ascii="Times New Roman" w:hAnsi="Times New Roman" w:cs="Times New Roman" w:hint="default"/>
        <w:sz w:val="18"/>
        <w:szCs w:val="18"/>
      </w:rPr>
    </w:lvl>
    <w:lvl w:ilvl="3">
      <w:start w:val="1"/>
      <w:numFmt w:val="bullet"/>
      <w:lvlText w:val="-"/>
      <w:lvlJc w:val="left"/>
      <w:pPr>
        <w:tabs>
          <w:tab w:val="num" w:pos="1846"/>
        </w:tabs>
        <w:ind w:left="1846" w:hanging="360"/>
      </w:pPr>
      <w:rPr>
        <w:rFonts w:ascii="Verdana" w:hAnsi="Verdana" w:hint="default"/>
      </w:rPr>
    </w:lvl>
    <w:lvl w:ilvl="4">
      <w:start w:val="1"/>
      <w:numFmt w:val="lowerLetter"/>
      <w:lvlText w:val="(%5)"/>
      <w:lvlJc w:val="left"/>
      <w:pPr>
        <w:tabs>
          <w:tab w:val="num" w:pos="2206"/>
        </w:tabs>
        <w:ind w:left="2206" w:hanging="360"/>
      </w:pPr>
      <w:rPr>
        <w:rFonts w:hint="default"/>
      </w:rPr>
    </w:lvl>
    <w:lvl w:ilvl="5">
      <w:start w:val="1"/>
      <w:numFmt w:val="lowerRoman"/>
      <w:lvlText w:val="(%6)"/>
      <w:lvlJc w:val="left"/>
      <w:pPr>
        <w:tabs>
          <w:tab w:val="num" w:pos="2566"/>
        </w:tabs>
        <w:ind w:left="2566" w:hanging="360"/>
      </w:pPr>
      <w:rPr>
        <w:rFonts w:hint="default"/>
      </w:rPr>
    </w:lvl>
    <w:lvl w:ilvl="6">
      <w:start w:val="1"/>
      <w:numFmt w:val="decimal"/>
      <w:lvlText w:val="%7."/>
      <w:lvlJc w:val="left"/>
      <w:pPr>
        <w:tabs>
          <w:tab w:val="num" w:pos="2926"/>
        </w:tabs>
        <w:ind w:left="2926" w:hanging="360"/>
      </w:pPr>
      <w:rPr>
        <w:rFonts w:hint="default"/>
      </w:rPr>
    </w:lvl>
    <w:lvl w:ilvl="7">
      <w:start w:val="1"/>
      <w:numFmt w:val="lowerLetter"/>
      <w:lvlText w:val="%8."/>
      <w:lvlJc w:val="left"/>
      <w:pPr>
        <w:tabs>
          <w:tab w:val="num" w:pos="3286"/>
        </w:tabs>
        <w:ind w:left="3286" w:hanging="360"/>
      </w:pPr>
      <w:rPr>
        <w:rFonts w:hint="default"/>
      </w:rPr>
    </w:lvl>
    <w:lvl w:ilvl="8">
      <w:start w:val="1"/>
      <w:numFmt w:val="lowerRoman"/>
      <w:lvlText w:val="%9."/>
      <w:lvlJc w:val="left"/>
      <w:pPr>
        <w:tabs>
          <w:tab w:val="num" w:pos="3646"/>
        </w:tabs>
        <w:ind w:left="3646" w:hanging="360"/>
      </w:pPr>
      <w:rPr>
        <w:rFonts w:hint="default"/>
      </w:rPr>
    </w:lvl>
  </w:abstractNum>
  <w:abstractNum w:abstractNumId="12" w15:restartNumberingAfterBreak="0">
    <w:nsid w:val="5397003D"/>
    <w:multiLevelType w:val="hybridMultilevel"/>
    <w:tmpl w:val="69AEC8DE"/>
    <w:lvl w:ilvl="0" w:tplc="F3581A76">
      <w:start w:val="1"/>
      <w:numFmt w:val="decimal"/>
      <w:pStyle w:val="FINMAGliederungEbene5"/>
      <w:lvlText w:val="%1.1.1.1.1"/>
      <w:lvlJc w:val="left"/>
      <w:pPr>
        <w:ind w:left="360" w:hanging="360"/>
      </w:pPr>
      <w:rPr>
        <w:rFonts w:hint="default"/>
      </w:rPr>
    </w:lvl>
    <w:lvl w:ilvl="1" w:tplc="08070019" w:tentative="1">
      <w:start w:val="1"/>
      <w:numFmt w:val="lowerLetter"/>
      <w:lvlText w:val="%2."/>
      <w:lvlJc w:val="left"/>
      <w:pPr>
        <w:ind w:left="2444" w:hanging="360"/>
      </w:pPr>
    </w:lvl>
    <w:lvl w:ilvl="2" w:tplc="0807001B" w:tentative="1">
      <w:start w:val="1"/>
      <w:numFmt w:val="lowerRoman"/>
      <w:lvlText w:val="%3."/>
      <w:lvlJc w:val="right"/>
      <w:pPr>
        <w:ind w:left="3164" w:hanging="180"/>
      </w:pPr>
    </w:lvl>
    <w:lvl w:ilvl="3" w:tplc="0807000F" w:tentative="1">
      <w:start w:val="1"/>
      <w:numFmt w:val="decimal"/>
      <w:lvlText w:val="%4."/>
      <w:lvlJc w:val="left"/>
      <w:pPr>
        <w:ind w:left="3884" w:hanging="360"/>
      </w:pPr>
    </w:lvl>
    <w:lvl w:ilvl="4" w:tplc="08070019" w:tentative="1">
      <w:start w:val="1"/>
      <w:numFmt w:val="lowerLetter"/>
      <w:lvlText w:val="%5."/>
      <w:lvlJc w:val="left"/>
      <w:pPr>
        <w:ind w:left="4604" w:hanging="360"/>
      </w:pPr>
    </w:lvl>
    <w:lvl w:ilvl="5" w:tplc="0807001B" w:tentative="1">
      <w:start w:val="1"/>
      <w:numFmt w:val="lowerRoman"/>
      <w:lvlText w:val="%6."/>
      <w:lvlJc w:val="right"/>
      <w:pPr>
        <w:ind w:left="5324" w:hanging="180"/>
      </w:pPr>
    </w:lvl>
    <w:lvl w:ilvl="6" w:tplc="0807000F" w:tentative="1">
      <w:start w:val="1"/>
      <w:numFmt w:val="decimal"/>
      <w:lvlText w:val="%7."/>
      <w:lvlJc w:val="left"/>
      <w:pPr>
        <w:ind w:left="6044" w:hanging="360"/>
      </w:pPr>
    </w:lvl>
    <w:lvl w:ilvl="7" w:tplc="08070019" w:tentative="1">
      <w:start w:val="1"/>
      <w:numFmt w:val="lowerLetter"/>
      <w:lvlText w:val="%8."/>
      <w:lvlJc w:val="left"/>
      <w:pPr>
        <w:ind w:left="6764" w:hanging="360"/>
      </w:pPr>
    </w:lvl>
    <w:lvl w:ilvl="8" w:tplc="0807001B" w:tentative="1">
      <w:start w:val="1"/>
      <w:numFmt w:val="lowerRoman"/>
      <w:lvlText w:val="%9."/>
      <w:lvlJc w:val="right"/>
      <w:pPr>
        <w:ind w:left="7484" w:hanging="180"/>
      </w:pPr>
    </w:lvl>
  </w:abstractNum>
  <w:abstractNum w:abstractNumId="13" w15:restartNumberingAfterBreak="0">
    <w:nsid w:val="592C3600"/>
    <w:multiLevelType w:val="hybridMultilevel"/>
    <w:tmpl w:val="BFB64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C931DC"/>
    <w:multiLevelType w:val="hybridMultilevel"/>
    <w:tmpl w:val="FDDEEA6C"/>
    <w:lvl w:ilvl="0" w:tplc="DB5CDA7E">
      <w:start w:val="1"/>
      <w:numFmt w:val="bullet"/>
      <w:pStyle w:val="FINMAAufzhlungEbene3"/>
      <w:lvlText w:val=""/>
      <w:lvlJc w:val="left"/>
      <w:pPr>
        <w:ind w:left="1440" w:hanging="360"/>
      </w:pPr>
      <w:rPr>
        <w:rFonts w:ascii="Symbol" w:hAnsi="Symbol" w:hint="default"/>
        <w:sz w:val="20"/>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5" w15:restartNumberingAfterBreak="0">
    <w:nsid w:val="65B109EC"/>
    <w:multiLevelType w:val="hybridMultilevel"/>
    <w:tmpl w:val="CA468560"/>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6" w15:restartNumberingAfterBreak="0">
    <w:nsid w:val="67C65345"/>
    <w:multiLevelType w:val="hybridMultilevel"/>
    <w:tmpl w:val="81029E9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D367457"/>
    <w:multiLevelType w:val="hybridMultilevel"/>
    <w:tmpl w:val="C666CB00"/>
    <w:lvl w:ilvl="0" w:tplc="3F5AAEA6">
      <w:numFmt w:val="bullet"/>
      <w:lvlText w:val=""/>
      <w:lvlJc w:val="left"/>
      <w:pPr>
        <w:ind w:left="720" w:hanging="360"/>
      </w:pPr>
      <w:rPr>
        <w:rFonts w:ascii="Wingdings" w:eastAsia="Arial Unicode MS" w:hAnsi="Wingdings"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69FE97AE">
      <w:start w:val="1"/>
      <w:numFmt w:val="bullet"/>
      <w:lvlText w:val=""/>
      <w:lvlJc w:val="left"/>
      <w:pPr>
        <w:ind w:left="2880" w:hanging="360"/>
      </w:pPr>
      <w:rPr>
        <w:rFonts w:ascii="Symbol" w:hAnsi="Symbol" w:hint="default"/>
        <w:lang w:val="en-US"/>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05C3FCB"/>
    <w:multiLevelType w:val="hybridMultilevel"/>
    <w:tmpl w:val="6C661F1A"/>
    <w:lvl w:ilvl="0" w:tplc="8ABE2DFE">
      <w:numFmt w:val="bullet"/>
      <w:pStyle w:val="Bullet"/>
      <w:lvlText w:val="-"/>
      <w:lvlJc w:val="left"/>
      <w:pPr>
        <w:ind w:left="720" w:hanging="360"/>
      </w:pPr>
      <w:rPr>
        <w:rFonts w:ascii="EYInterstate Light" w:eastAsiaTheme="minorHAnsi" w:hAnsi="EYInterstate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77D38F8"/>
    <w:multiLevelType w:val="hybridMultilevel"/>
    <w:tmpl w:val="E8A0E66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78B50ED1"/>
    <w:multiLevelType w:val="hybridMultilevel"/>
    <w:tmpl w:val="2092F46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790D382B"/>
    <w:multiLevelType w:val="hybridMultilevel"/>
    <w:tmpl w:val="25163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4"/>
  </w:num>
  <w:num w:numId="4">
    <w:abstractNumId w:val="10"/>
  </w:num>
  <w:num w:numId="5">
    <w:abstractNumId w:val="5"/>
  </w:num>
  <w:num w:numId="6">
    <w:abstractNumId w:val="0"/>
  </w:num>
  <w:num w:numId="7">
    <w:abstractNumId w:val="12"/>
  </w:num>
  <w:num w:numId="8">
    <w:abstractNumId w:val="18"/>
  </w:num>
  <w:num w:numId="9">
    <w:abstractNumId w:val="7"/>
  </w:num>
  <w:num w:numId="10">
    <w:abstractNumId w:val="8"/>
  </w:num>
  <w:num w:numId="11">
    <w:abstractNumId w:val="21"/>
  </w:num>
  <w:num w:numId="12">
    <w:abstractNumId w:val="15"/>
  </w:num>
  <w:num w:numId="13">
    <w:abstractNumId w:val="6"/>
  </w:num>
  <w:num w:numId="14">
    <w:abstractNumId w:val="2"/>
  </w:num>
  <w:num w:numId="15">
    <w:abstractNumId w:val="9"/>
  </w:num>
  <w:num w:numId="16">
    <w:abstractNumId w:val="17"/>
  </w:num>
  <w:num w:numId="17">
    <w:abstractNumId w:val="13"/>
  </w:num>
  <w:num w:numId="18">
    <w:abstractNumId w:val="16"/>
  </w:num>
  <w:num w:numId="19">
    <w:abstractNumId w:val="20"/>
  </w:num>
  <w:num w:numId="20">
    <w:abstractNumId w:val="3"/>
  </w:num>
  <w:num w:numId="21">
    <w:abstractNumId w:val="4"/>
    <w:lvlOverride w:ilvl="0">
      <w:lvl w:ilvl="0">
        <w:start w:val="1"/>
        <w:numFmt w:val="upperLetter"/>
        <w:lvlText w:val="%1"/>
        <w:lvlJc w:val="left"/>
        <w:pPr>
          <w:ind w:left="357" w:hanging="357"/>
        </w:pPr>
        <w:rPr>
          <w:rFonts w:hint="default"/>
        </w:rPr>
      </w:lvl>
    </w:lvlOverride>
    <w:lvlOverride w:ilvl="1">
      <w:lvl w:ilvl="1">
        <w:start w:val="1"/>
        <w:numFmt w:val="decimal"/>
        <w:suff w:val="nothing"/>
        <w:lvlText w:val="%1.%2"/>
        <w:lvlJc w:val="left"/>
        <w:pPr>
          <w:ind w:left="357" w:hanging="357"/>
        </w:pPr>
        <w:rPr>
          <w:rFonts w:ascii="EYInterstate" w:hAnsi="EYInterstate"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2">
      <w:lvl w:ilvl="2">
        <w:start w:val="1"/>
        <w:numFmt w:val="decimal"/>
        <w:lvlText w:val="%1.%2.%3"/>
        <w:lvlJc w:val="left"/>
        <w:pPr>
          <w:ind w:left="357" w:hanging="357"/>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22">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SpellingErrors/>
  <w:hideGrammaticalErrors/>
  <w:activeWritingStyle w:appName="MSWord" w:lang="it-IT" w:vendorID="64" w:dllVersion="131078" w:nlCheck="1" w:checkStyle="0"/>
  <w:activeWritingStyle w:appName="MSWord" w:lang="de-CH" w:vendorID="64" w:dllVersion="131078" w:nlCheck="1" w:checkStyle="0"/>
  <w:activeWritingStyle w:appName="MSWord" w:lang="de-DE"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fr-CH" w:vendorID="64" w:dllVersion="131078" w:nlCheck="1" w:checkStyle="0"/>
  <w:activeWritingStyle w:appName="MSWord" w:lang="en-CA" w:vendorID="64" w:dllVersion="131078" w:nlCheck="1" w:checkStyle="0"/>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stylePaneSortMethod w:val="0000"/>
  <w:defaultTabStop w:val="709"/>
  <w:autoHyphenation/>
  <w:hyphenationZone w:val="425"/>
  <w:doNotHyphenateCaps/>
  <w:drawingGridHorizontalSpacing w:val="110"/>
  <w:displayHorizontalDrawingGridEvery w:val="2"/>
  <w:noPunctuationKerning/>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xml_1" w:val="&lt;?xml version=&quot;1.0&quot; encoding=&quot;utf-8&quot;?&gt;&lt;docugate ResetInterfaceCacheAfterDocCreation=&quot;false&quot; FreeDocumentSelection=&quot;true&quot; xmlns=&quot;http://www.docugate.com/2014/dgxml&quot;&gt;&lt;template doclanguage=&quot;Deutsch&quot; id=&quot;&quot; workflowdocumentid=&quot;b7c2dd74-0f88-4c30-8b29-6656f247378d&quot;&gt;&lt;docproperties&gt;&lt;saveaslocation&gt;https://org.finma.ch/sites/8010-T/Dossiers/Suitability/Neue Prüfprogramme Suitability&lt;/saveaslocation&gt;&lt;dossier_id&gt;8010-T-2-9515&lt;/dossier_id&gt;&lt;dossier_titel&gt;Suitability&lt;/dossier_titel&gt;&lt;dossier_aktenzeichen&gt;8010-T-2-9515 - 00 Allgemeines&lt;/dossier_aktenzeichen&gt;&lt;dossier_osp_nr&gt;00&lt;/dossier_osp_nr&gt;&lt;dossier_kategorie&gt;&lt;/dossier_kategorie&gt;&lt;geschaeft_id&gt;&lt;/geschaeft_id&gt;&lt;geschaeft_federfuehrende_oe&gt;M-GWS&lt;/geschaeft_federfuehrende_oe&gt;&lt;geschaeft_datum_eroeffnen&gt;&lt;/geschaeft_datum_eroeffnen&gt;&lt;aktionsname /&gt;&lt;aktionswert /&gt;&lt;addresses /&gt;&lt;/docproperties&gt;&lt;/template&gt;&lt;/docugate&gt;"/>
  </w:docVars>
  <w:rsids>
    <w:rsidRoot w:val="00DF574D"/>
    <w:rsid w:val="00001DEA"/>
    <w:rsid w:val="0001718E"/>
    <w:rsid w:val="00017F57"/>
    <w:rsid w:val="000239AE"/>
    <w:rsid w:val="00023A18"/>
    <w:rsid w:val="00024D4C"/>
    <w:rsid w:val="000259BF"/>
    <w:rsid w:val="00026FDE"/>
    <w:rsid w:val="00032DC8"/>
    <w:rsid w:val="00033575"/>
    <w:rsid w:val="000339C7"/>
    <w:rsid w:val="0003730B"/>
    <w:rsid w:val="0003734C"/>
    <w:rsid w:val="00044074"/>
    <w:rsid w:val="0004532E"/>
    <w:rsid w:val="00054651"/>
    <w:rsid w:val="000550D5"/>
    <w:rsid w:val="000572FE"/>
    <w:rsid w:val="000632D8"/>
    <w:rsid w:val="00065608"/>
    <w:rsid w:val="000671E1"/>
    <w:rsid w:val="00070974"/>
    <w:rsid w:val="00070A8C"/>
    <w:rsid w:val="00073DB3"/>
    <w:rsid w:val="00075CE8"/>
    <w:rsid w:val="00077666"/>
    <w:rsid w:val="00081DBD"/>
    <w:rsid w:val="000822DF"/>
    <w:rsid w:val="000837C2"/>
    <w:rsid w:val="000904A3"/>
    <w:rsid w:val="00093EB8"/>
    <w:rsid w:val="00094E88"/>
    <w:rsid w:val="000A2EA6"/>
    <w:rsid w:val="000A3D9D"/>
    <w:rsid w:val="000A436A"/>
    <w:rsid w:val="000A4F31"/>
    <w:rsid w:val="000B4554"/>
    <w:rsid w:val="000B5284"/>
    <w:rsid w:val="000B71E3"/>
    <w:rsid w:val="000C264E"/>
    <w:rsid w:val="000C2E06"/>
    <w:rsid w:val="000C34D0"/>
    <w:rsid w:val="000C66F6"/>
    <w:rsid w:val="000D0062"/>
    <w:rsid w:val="000D10F4"/>
    <w:rsid w:val="000D337E"/>
    <w:rsid w:val="000D6C35"/>
    <w:rsid w:val="000D7764"/>
    <w:rsid w:val="000E2666"/>
    <w:rsid w:val="000E40E6"/>
    <w:rsid w:val="000E612D"/>
    <w:rsid w:val="000F2A96"/>
    <w:rsid w:val="00107A92"/>
    <w:rsid w:val="00110559"/>
    <w:rsid w:val="00115168"/>
    <w:rsid w:val="00116222"/>
    <w:rsid w:val="00121FE4"/>
    <w:rsid w:val="00122506"/>
    <w:rsid w:val="00122BE1"/>
    <w:rsid w:val="00130AD3"/>
    <w:rsid w:val="00133196"/>
    <w:rsid w:val="00133B04"/>
    <w:rsid w:val="0013549E"/>
    <w:rsid w:val="0014461A"/>
    <w:rsid w:val="001479FA"/>
    <w:rsid w:val="00150782"/>
    <w:rsid w:val="00150E8B"/>
    <w:rsid w:val="00153D9E"/>
    <w:rsid w:val="001645CA"/>
    <w:rsid w:val="00164BF6"/>
    <w:rsid w:val="001656C2"/>
    <w:rsid w:val="00167182"/>
    <w:rsid w:val="0017124A"/>
    <w:rsid w:val="001749D6"/>
    <w:rsid w:val="0018253F"/>
    <w:rsid w:val="0018719C"/>
    <w:rsid w:val="00190B35"/>
    <w:rsid w:val="00190D92"/>
    <w:rsid w:val="001926B2"/>
    <w:rsid w:val="00194D84"/>
    <w:rsid w:val="001966E2"/>
    <w:rsid w:val="00197D0E"/>
    <w:rsid w:val="001A0D35"/>
    <w:rsid w:val="001A2BD4"/>
    <w:rsid w:val="001A758E"/>
    <w:rsid w:val="001B0BA4"/>
    <w:rsid w:val="001B2832"/>
    <w:rsid w:val="001B4054"/>
    <w:rsid w:val="001B64CA"/>
    <w:rsid w:val="001B76E5"/>
    <w:rsid w:val="001C25B1"/>
    <w:rsid w:val="001C2ADC"/>
    <w:rsid w:val="001C303F"/>
    <w:rsid w:val="001C5E3A"/>
    <w:rsid w:val="001C7E1D"/>
    <w:rsid w:val="001E73CB"/>
    <w:rsid w:val="001E78B6"/>
    <w:rsid w:val="001F0673"/>
    <w:rsid w:val="001F0E1C"/>
    <w:rsid w:val="001F2706"/>
    <w:rsid w:val="001F485C"/>
    <w:rsid w:val="001F5F4A"/>
    <w:rsid w:val="001F6403"/>
    <w:rsid w:val="001F7678"/>
    <w:rsid w:val="002040C6"/>
    <w:rsid w:val="00204B23"/>
    <w:rsid w:val="002120F6"/>
    <w:rsid w:val="0021274A"/>
    <w:rsid w:val="00217AA6"/>
    <w:rsid w:val="00221F14"/>
    <w:rsid w:val="0022346A"/>
    <w:rsid w:val="00227FBC"/>
    <w:rsid w:val="00231C9C"/>
    <w:rsid w:val="0023359A"/>
    <w:rsid w:val="002436E4"/>
    <w:rsid w:val="00243A74"/>
    <w:rsid w:val="0024441B"/>
    <w:rsid w:val="00245584"/>
    <w:rsid w:val="0024574E"/>
    <w:rsid w:val="00245CAC"/>
    <w:rsid w:val="00246290"/>
    <w:rsid w:val="002476AC"/>
    <w:rsid w:val="00250C91"/>
    <w:rsid w:val="0025298C"/>
    <w:rsid w:val="00256539"/>
    <w:rsid w:val="00256FE8"/>
    <w:rsid w:val="00257088"/>
    <w:rsid w:val="00257442"/>
    <w:rsid w:val="00264805"/>
    <w:rsid w:val="00265230"/>
    <w:rsid w:val="00270112"/>
    <w:rsid w:val="00273925"/>
    <w:rsid w:val="002762D3"/>
    <w:rsid w:val="00282904"/>
    <w:rsid w:val="00282AA1"/>
    <w:rsid w:val="00283AA5"/>
    <w:rsid w:val="0028473F"/>
    <w:rsid w:val="00284BA0"/>
    <w:rsid w:val="00284C59"/>
    <w:rsid w:val="002851F7"/>
    <w:rsid w:val="00286E08"/>
    <w:rsid w:val="00294A59"/>
    <w:rsid w:val="00297AFE"/>
    <w:rsid w:val="002A0835"/>
    <w:rsid w:val="002A1D62"/>
    <w:rsid w:val="002A25BF"/>
    <w:rsid w:val="002A48CF"/>
    <w:rsid w:val="002B0C66"/>
    <w:rsid w:val="002B137C"/>
    <w:rsid w:val="002B20EB"/>
    <w:rsid w:val="002B490E"/>
    <w:rsid w:val="002B4D96"/>
    <w:rsid w:val="002B5D89"/>
    <w:rsid w:val="002B6FB1"/>
    <w:rsid w:val="002B7513"/>
    <w:rsid w:val="002C2BEB"/>
    <w:rsid w:val="002C3059"/>
    <w:rsid w:val="002C32AE"/>
    <w:rsid w:val="002C3B33"/>
    <w:rsid w:val="002C5C51"/>
    <w:rsid w:val="002D075F"/>
    <w:rsid w:val="002D18CA"/>
    <w:rsid w:val="002D5975"/>
    <w:rsid w:val="002D5C66"/>
    <w:rsid w:val="002E20C7"/>
    <w:rsid w:val="002E2B5D"/>
    <w:rsid w:val="002E4B22"/>
    <w:rsid w:val="002E6021"/>
    <w:rsid w:val="002E6B63"/>
    <w:rsid w:val="002F1A39"/>
    <w:rsid w:val="002F1A9A"/>
    <w:rsid w:val="002F73B7"/>
    <w:rsid w:val="003009BB"/>
    <w:rsid w:val="0030110D"/>
    <w:rsid w:val="003051D1"/>
    <w:rsid w:val="00311926"/>
    <w:rsid w:val="0031363D"/>
    <w:rsid w:val="00313B60"/>
    <w:rsid w:val="00316E19"/>
    <w:rsid w:val="003249AE"/>
    <w:rsid w:val="00330C32"/>
    <w:rsid w:val="003324BE"/>
    <w:rsid w:val="0033442E"/>
    <w:rsid w:val="00336E1C"/>
    <w:rsid w:val="00346326"/>
    <w:rsid w:val="00346735"/>
    <w:rsid w:val="003517D4"/>
    <w:rsid w:val="00351A36"/>
    <w:rsid w:val="003527A1"/>
    <w:rsid w:val="003530ED"/>
    <w:rsid w:val="00354A21"/>
    <w:rsid w:val="00355146"/>
    <w:rsid w:val="00361AD1"/>
    <w:rsid w:val="0037152B"/>
    <w:rsid w:val="00377341"/>
    <w:rsid w:val="0039072C"/>
    <w:rsid w:val="0039235E"/>
    <w:rsid w:val="00392743"/>
    <w:rsid w:val="003979F8"/>
    <w:rsid w:val="003A64A5"/>
    <w:rsid w:val="003A7B8B"/>
    <w:rsid w:val="003B08C0"/>
    <w:rsid w:val="003B702C"/>
    <w:rsid w:val="003C2978"/>
    <w:rsid w:val="003C377B"/>
    <w:rsid w:val="003C79A3"/>
    <w:rsid w:val="003D247A"/>
    <w:rsid w:val="003D2F24"/>
    <w:rsid w:val="003D3866"/>
    <w:rsid w:val="003D4AA3"/>
    <w:rsid w:val="003D69A0"/>
    <w:rsid w:val="003D7D00"/>
    <w:rsid w:val="003E231A"/>
    <w:rsid w:val="003E2424"/>
    <w:rsid w:val="003E3A99"/>
    <w:rsid w:val="003E3CDF"/>
    <w:rsid w:val="003E495A"/>
    <w:rsid w:val="003E5765"/>
    <w:rsid w:val="003E7854"/>
    <w:rsid w:val="003F0C61"/>
    <w:rsid w:val="003F2BD8"/>
    <w:rsid w:val="003F3EA9"/>
    <w:rsid w:val="00403658"/>
    <w:rsid w:val="004040EA"/>
    <w:rsid w:val="004118FB"/>
    <w:rsid w:val="00413781"/>
    <w:rsid w:val="00413E4A"/>
    <w:rsid w:val="00423BE3"/>
    <w:rsid w:val="00425308"/>
    <w:rsid w:val="00426ED1"/>
    <w:rsid w:val="00433182"/>
    <w:rsid w:val="00434D41"/>
    <w:rsid w:val="00434E66"/>
    <w:rsid w:val="00435240"/>
    <w:rsid w:val="00437412"/>
    <w:rsid w:val="00437BEE"/>
    <w:rsid w:val="00446819"/>
    <w:rsid w:val="00452D93"/>
    <w:rsid w:val="00455E44"/>
    <w:rsid w:val="004576AD"/>
    <w:rsid w:val="00461856"/>
    <w:rsid w:val="004622A6"/>
    <w:rsid w:val="0046398F"/>
    <w:rsid w:val="00463E70"/>
    <w:rsid w:val="00463F41"/>
    <w:rsid w:val="004653AF"/>
    <w:rsid w:val="00470038"/>
    <w:rsid w:val="00476137"/>
    <w:rsid w:val="00481503"/>
    <w:rsid w:val="00483662"/>
    <w:rsid w:val="00484979"/>
    <w:rsid w:val="00490141"/>
    <w:rsid w:val="00490FFE"/>
    <w:rsid w:val="0049200F"/>
    <w:rsid w:val="00493367"/>
    <w:rsid w:val="00496E97"/>
    <w:rsid w:val="004A1FC2"/>
    <w:rsid w:val="004A246D"/>
    <w:rsid w:val="004A2ED8"/>
    <w:rsid w:val="004A419A"/>
    <w:rsid w:val="004A5915"/>
    <w:rsid w:val="004A5CA4"/>
    <w:rsid w:val="004A60F3"/>
    <w:rsid w:val="004A6911"/>
    <w:rsid w:val="004A6E1E"/>
    <w:rsid w:val="004A7D92"/>
    <w:rsid w:val="004B2A5D"/>
    <w:rsid w:val="004B5991"/>
    <w:rsid w:val="004C742C"/>
    <w:rsid w:val="004E0524"/>
    <w:rsid w:val="004E0892"/>
    <w:rsid w:val="004E1F00"/>
    <w:rsid w:val="004E607E"/>
    <w:rsid w:val="004E7721"/>
    <w:rsid w:val="004F0AAC"/>
    <w:rsid w:val="004F28D7"/>
    <w:rsid w:val="00500041"/>
    <w:rsid w:val="00501862"/>
    <w:rsid w:val="00506263"/>
    <w:rsid w:val="005129AF"/>
    <w:rsid w:val="005131A0"/>
    <w:rsid w:val="00522BD0"/>
    <w:rsid w:val="00524470"/>
    <w:rsid w:val="00525E6E"/>
    <w:rsid w:val="005270D9"/>
    <w:rsid w:val="0053429C"/>
    <w:rsid w:val="00542E41"/>
    <w:rsid w:val="00554FD7"/>
    <w:rsid w:val="005557E8"/>
    <w:rsid w:val="005564E9"/>
    <w:rsid w:val="00560231"/>
    <w:rsid w:val="00562E3C"/>
    <w:rsid w:val="00563F1C"/>
    <w:rsid w:val="00564295"/>
    <w:rsid w:val="00567EEC"/>
    <w:rsid w:val="00577C59"/>
    <w:rsid w:val="00580691"/>
    <w:rsid w:val="00584D32"/>
    <w:rsid w:val="0058559D"/>
    <w:rsid w:val="00586141"/>
    <w:rsid w:val="00591720"/>
    <w:rsid w:val="00591E6F"/>
    <w:rsid w:val="0059311E"/>
    <w:rsid w:val="00593545"/>
    <w:rsid w:val="0059704C"/>
    <w:rsid w:val="005A7056"/>
    <w:rsid w:val="005A7B6B"/>
    <w:rsid w:val="005A7EA1"/>
    <w:rsid w:val="005B0AFF"/>
    <w:rsid w:val="005B0D0B"/>
    <w:rsid w:val="005B17C7"/>
    <w:rsid w:val="005B6531"/>
    <w:rsid w:val="005B7F47"/>
    <w:rsid w:val="005C139D"/>
    <w:rsid w:val="005C16E0"/>
    <w:rsid w:val="005D254C"/>
    <w:rsid w:val="005D4968"/>
    <w:rsid w:val="005D5B0E"/>
    <w:rsid w:val="005D6470"/>
    <w:rsid w:val="005D6615"/>
    <w:rsid w:val="005D6D65"/>
    <w:rsid w:val="005E0046"/>
    <w:rsid w:val="005E051F"/>
    <w:rsid w:val="005E54C6"/>
    <w:rsid w:val="005E5983"/>
    <w:rsid w:val="005E5E1B"/>
    <w:rsid w:val="005E60B5"/>
    <w:rsid w:val="005E7938"/>
    <w:rsid w:val="005F134B"/>
    <w:rsid w:val="00601BCA"/>
    <w:rsid w:val="00604F75"/>
    <w:rsid w:val="00610E88"/>
    <w:rsid w:val="00611174"/>
    <w:rsid w:val="00612A94"/>
    <w:rsid w:val="00612B14"/>
    <w:rsid w:val="00615BBC"/>
    <w:rsid w:val="00620145"/>
    <w:rsid w:val="00623792"/>
    <w:rsid w:val="006304CC"/>
    <w:rsid w:val="00634B72"/>
    <w:rsid w:val="006357F7"/>
    <w:rsid w:val="0063696E"/>
    <w:rsid w:val="006403E1"/>
    <w:rsid w:val="0064776F"/>
    <w:rsid w:val="00650307"/>
    <w:rsid w:val="00655431"/>
    <w:rsid w:val="00662B25"/>
    <w:rsid w:val="00663F13"/>
    <w:rsid w:val="006643B1"/>
    <w:rsid w:val="00666DEC"/>
    <w:rsid w:val="00670D9D"/>
    <w:rsid w:val="0067305E"/>
    <w:rsid w:val="0067414F"/>
    <w:rsid w:val="00674664"/>
    <w:rsid w:val="00680573"/>
    <w:rsid w:val="00680FFB"/>
    <w:rsid w:val="00681A03"/>
    <w:rsid w:val="0068364B"/>
    <w:rsid w:val="00690971"/>
    <w:rsid w:val="0069568B"/>
    <w:rsid w:val="0069682B"/>
    <w:rsid w:val="006B79C7"/>
    <w:rsid w:val="006C19F9"/>
    <w:rsid w:val="006C475D"/>
    <w:rsid w:val="006D2EED"/>
    <w:rsid w:val="006D316A"/>
    <w:rsid w:val="006D6960"/>
    <w:rsid w:val="006E437D"/>
    <w:rsid w:val="00702BE5"/>
    <w:rsid w:val="00704500"/>
    <w:rsid w:val="00704539"/>
    <w:rsid w:val="00713930"/>
    <w:rsid w:val="007143F3"/>
    <w:rsid w:val="00717ED2"/>
    <w:rsid w:val="00724C15"/>
    <w:rsid w:val="00726BF6"/>
    <w:rsid w:val="00727808"/>
    <w:rsid w:val="007316EE"/>
    <w:rsid w:val="00734124"/>
    <w:rsid w:val="0073499A"/>
    <w:rsid w:val="00735F1E"/>
    <w:rsid w:val="0073630D"/>
    <w:rsid w:val="00737AE2"/>
    <w:rsid w:val="00742C27"/>
    <w:rsid w:val="00743E6C"/>
    <w:rsid w:val="00746B4B"/>
    <w:rsid w:val="00747CB6"/>
    <w:rsid w:val="007500D4"/>
    <w:rsid w:val="00751132"/>
    <w:rsid w:val="007521AF"/>
    <w:rsid w:val="00753103"/>
    <w:rsid w:val="0075484F"/>
    <w:rsid w:val="007573D2"/>
    <w:rsid w:val="007616DB"/>
    <w:rsid w:val="00763A1C"/>
    <w:rsid w:val="00770DD1"/>
    <w:rsid w:val="00771B14"/>
    <w:rsid w:val="00771D86"/>
    <w:rsid w:val="0078347C"/>
    <w:rsid w:val="00791040"/>
    <w:rsid w:val="00792048"/>
    <w:rsid w:val="00793A68"/>
    <w:rsid w:val="0079494B"/>
    <w:rsid w:val="007959C0"/>
    <w:rsid w:val="007962A1"/>
    <w:rsid w:val="0079791A"/>
    <w:rsid w:val="007A5256"/>
    <w:rsid w:val="007B01B5"/>
    <w:rsid w:val="007B2738"/>
    <w:rsid w:val="007B685F"/>
    <w:rsid w:val="007D125C"/>
    <w:rsid w:val="007D5890"/>
    <w:rsid w:val="007E2334"/>
    <w:rsid w:val="007E6551"/>
    <w:rsid w:val="007E67C6"/>
    <w:rsid w:val="007F3A3E"/>
    <w:rsid w:val="007F726C"/>
    <w:rsid w:val="00800A3D"/>
    <w:rsid w:val="00803CC0"/>
    <w:rsid w:val="0080672E"/>
    <w:rsid w:val="00810864"/>
    <w:rsid w:val="00811A09"/>
    <w:rsid w:val="00812FAF"/>
    <w:rsid w:val="00812FC1"/>
    <w:rsid w:val="0081331F"/>
    <w:rsid w:val="008134A1"/>
    <w:rsid w:val="00816E00"/>
    <w:rsid w:val="00821DC3"/>
    <w:rsid w:val="00822FD8"/>
    <w:rsid w:val="008249F2"/>
    <w:rsid w:val="0083015B"/>
    <w:rsid w:val="00833A93"/>
    <w:rsid w:val="008340E6"/>
    <w:rsid w:val="008362E0"/>
    <w:rsid w:val="00836E5F"/>
    <w:rsid w:val="00837421"/>
    <w:rsid w:val="008407CC"/>
    <w:rsid w:val="00841CE7"/>
    <w:rsid w:val="00843230"/>
    <w:rsid w:val="008513BA"/>
    <w:rsid w:val="00852539"/>
    <w:rsid w:val="00852DEC"/>
    <w:rsid w:val="00853200"/>
    <w:rsid w:val="008532AA"/>
    <w:rsid w:val="00855D58"/>
    <w:rsid w:val="0085740B"/>
    <w:rsid w:val="008620D4"/>
    <w:rsid w:val="008632F6"/>
    <w:rsid w:val="0086473A"/>
    <w:rsid w:val="00865782"/>
    <w:rsid w:val="0086701C"/>
    <w:rsid w:val="0086720C"/>
    <w:rsid w:val="0087033B"/>
    <w:rsid w:val="00873B13"/>
    <w:rsid w:val="00880A2C"/>
    <w:rsid w:val="008867F6"/>
    <w:rsid w:val="00890536"/>
    <w:rsid w:val="00890BCB"/>
    <w:rsid w:val="008929EC"/>
    <w:rsid w:val="008C2DC7"/>
    <w:rsid w:val="008D051F"/>
    <w:rsid w:val="008D1152"/>
    <w:rsid w:val="008D5F59"/>
    <w:rsid w:val="008D7B74"/>
    <w:rsid w:val="008E0A38"/>
    <w:rsid w:val="008E1FE5"/>
    <w:rsid w:val="008E3C27"/>
    <w:rsid w:val="00902740"/>
    <w:rsid w:val="0090322B"/>
    <w:rsid w:val="0090503F"/>
    <w:rsid w:val="009127DB"/>
    <w:rsid w:val="0091575C"/>
    <w:rsid w:val="009165C7"/>
    <w:rsid w:val="00925785"/>
    <w:rsid w:val="009257B8"/>
    <w:rsid w:val="00931AA4"/>
    <w:rsid w:val="0093350E"/>
    <w:rsid w:val="009448DA"/>
    <w:rsid w:val="00947854"/>
    <w:rsid w:val="0095032D"/>
    <w:rsid w:val="009529F5"/>
    <w:rsid w:val="0095322B"/>
    <w:rsid w:val="009549EA"/>
    <w:rsid w:val="00960614"/>
    <w:rsid w:val="00965E4E"/>
    <w:rsid w:val="00966ABD"/>
    <w:rsid w:val="0097124B"/>
    <w:rsid w:val="00973CB9"/>
    <w:rsid w:val="00973D5B"/>
    <w:rsid w:val="00974C5A"/>
    <w:rsid w:val="00975547"/>
    <w:rsid w:val="0097739A"/>
    <w:rsid w:val="0097764B"/>
    <w:rsid w:val="009809D7"/>
    <w:rsid w:val="0098479B"/>
    <w:rsid w:val="00986438"/>
    <w:rsid w:val="009867E7"/>
    <w:rsid w:val="009922AF"/>
    <w:rsid w:val="00995791"/>
    <w:rsid w:val="00995A1B"/>
    <w:rsid w:val="0099609A"/>
    <w:rsid w:val="009A248F"/>
    <w:rsid w:val="009C519A"/>
    <w:rsid w:val="009D04F8"/>
    <w:rsid w:val="009D4673"/>
    <w:rsid w:val="009F0861"/>
    <w:rsid w:val="009F7A84"/>
    <w:rsid w:val="00A00EE2"/>
    <w:rsid w:val="00A030F9"/>
    <w:rsid w:val="00A05608"/>
    <w:rsid w:val="00A0740A"/>
    <w:rsid w:val="00A07C2C"/>
    <w:rsid w:val="00A14843"/>
    <w:rsid w:val="00A203E7"/>
    <w:rsid w:val="00A26E0F"/>
    <w:rsid w:val="00A30EB8"/>
    <w:rsid w:val="00A31916"/>
    <w:rsid w:val="00A344F4"/>
    <w:rsid w:val="00A359AF"/>
    <w:rsid w:val="00A370DC"/>
    <w:rsid w:val="00A42E51"/>
    <w:rsid w:val="00A45466"/>
    <w:rsid w:val="00A57519"/>
    <w:rsid w:val="00A57F87"/>
    <w:rsid w:val="00A61F4F"/>
    <w:rsid w:val="00A66BB2"/>
    <w:rsid w:val="00A67C00"/>
    <w:rsid w:val="00A739E8"/>
    <w:rsid w:val="00A7532F"/>
    <w:rsid w:val="00A75767"/>
    <w:rsid w:val="00A77C9B"/>
    <w:rsid w:val="00A809F2"/>
    <w:rsid w:val="00A81D10"/>
    <w:rsid w:val="00A83D42"/>
    <w:rsid w:val="00A939FA"/>
    <w:rsid w:val="00AA710D"/>
    <w:rsid w:val="00AB3066"/>
    <w:rsid w:val="00AB4C14"/>
    <w:rsid w:val="00AB7B8E"/>
    <w:rsid w:val="00AB7BC8"/>
    <w:rsid w:val="00AC243C"/>
    <w:rsid w:val="00AC2A3B"/>
    <w:rsid w:val="00AC4CA5"/>
    <w:rsid w:val="00AD0E41"/>
    <w:rsid w:val="00AD31A1"/>
    <w:rsid w:val="00AD76C4"/>
    <w:rsid w:val="00AE3F6D"/>
    <w:rsid w:val="00AE5E7B"/>
    <w:rsid w:val="00AF10E0"/>
    <w:rsid w:val="00AF4DE5"/>
    <w:rsid w:val="00AF6669"/>
    <w:rsid w:val="00AF6AA5"/>
    <w:rsid w:val="00B20EB1"/>
    <w:rsid w:val="00B22A8E"/>
    <w:rsid w:val="00B25686"/>
    <w:rsid w:val="00B307D3"/>
    <w:rsid w:val="00B32F56"/>
    <w:rsid w:val="00B33285"/>
    <w:rsid w:val="00B3689B"/>
    <w:rsid w:val="00B36C2C"/>
    <w:rsid w:val="00B37516"/>
    <w:rsid w:val="00B37B16"/>
    <w:rsid w:val="00B406E3"/>
    <w:rsid w:val="00B43287"/>
    <w:rsid w:val="00B43C54"/>
    <w:rsid w:val="00B454D1"/>
    <w:rsid w:val="00B53E9E"/>
    <w:rsid w:val="00B53F2A"/>
    <w:rsid w:val="00B621F6"/>
    <w:rsid w:val="00B661BE"/>
    <w:rsid w:val="00B67966"/>
    <w:rsid w:val="00B7608D"/>
    <w:rsid w:val="00B8153D"/>
    <w:rsid w:val="00B820E5"/>
    <w:rsid w:val="00B8748E"/>
    <w:rsid w:val="00B87DEA"/>
    <w:rsid w:val="00BA17F9"/>
    <w:rsid w:val="00BA1EE6"/>
    <w:rsid w:val="00BB2556"/>
    <w:rsid w:val="00BB402D"/>
    <w:rsid w:val="00BB4DD3"/>
    <w:rsid w:val="00BB5999"/>
    <w:rsid w:val="00BB6FAF"/>
    <w:rsid w:val="00BB73D3"/>
    <w:rsid w:val="00BB7A46"/>
    <w:rsid w:val="00BC1A89"/>
    <w:rsid w:val="00BC5D49"/>
    <w:rsid w:val="00BE0523"/>
    <w:rsid w:val="00BE1352"/>
    <w:rsid w:val="00BE14DD"/>
    <w:rsid w:val="00BE1601"/>
    <w:rsid w:val="00BE3929"/>
    <w:rsid w:val="00BE6BDC"/>
    <w:rsid w:val="00BF1681"/>
    <w:rsid w:val="00BF426A"/>
    <w:rsid w:val="00BF6BEF"/>
    <w:rsid w:val="00C008CD"/>
    <w:rsid w:val="00C027CB"/>
    <w:rsid w:val="00C03B9A"/>
    <w:rsid w:val="00C109AC"/>
    <w:rsid w:val="00C11981"/>
    <w:rsid w:val="00C12AEB"/>
    <w:rsid w:val="00C24659"/>
    <w:rsid w:val="00C24948"/>
    <w:rsid w:val="00C405EB"/>
    <w:rsid w:val="00C40E27"/>
    <w:rsid w:val="00C50442"/>
    <w:rsid w:val="00C51944"/>
    <w:rsid w:val="00C56743"/>
    <w:rsid w:val="00C5701C"/>
    <w:rsid w:val="00C57E63"/>
    <w:rsid w:val="00C61473"/>
    <w:rsid w:val="00C63247"/>
    <w:rsid w:val="00C6374C"/>
    <w:rsid w:val="00C67FD9"/>
    <w:rsid w:val="00C70711"/>
    <w:rsid w:val="00C76617"/>
    <w:rsid w:val="00C80A75"/>
    <w:rsid w:val="00C82116"/>
    <w:rsid w:val="00C82807"/>
    <w:rsid w:val="00C8336A"/>
    <w:rsid w:val="00C84EF2"/>
    <w:rsid w:val="00C97F05"/>
    <w:rsid w:val="00CA3978"/>
    <w:rsid w:val="00CA4DC9"/>
    <w:rsid w:val="00CA6AD9"/>
    <w:rsid w:val="00CA6C7F"/>
    <w:rsid w:val="00CB0863"/>
    <w:rsid w:val="00CB1301"/>
    <w:rsid w:val="00CB1977"/>
    <w:rsid w:val="00CB3426"/>
    <w:rsid w:val="00CB349B"/>
    <w:rsid w:val="00CB49B0"/>
    <w:rsid w:val="00CC1787"/>
    <w:rsid w:val="00CC3C9E"/>
    <w:rsid w:val="00CC3EC5"/>
    <w:rsid w:val="00CC3F01"/>
    <w:rsid w:val="00CC4905"/>
    <w:rsid w:val="00CD2D3D"/>
    <w:rsid w:val="00CD54EF"/>
    <w:rsid w:val="00CD55EB"/>
    <w:rsid w:val="00CD56D7"/>
    <w:rsid w:val="00CD6272"/>
    <w:rsid w:val="00CE1FE0"/>
    <w:rsid w:val="00CE31DA"/>
    <w:rsid w:val="00CE4AC6"/>
    <w:rsid w:val="00CE6751"/>
    <w:rsid w:val="00CF64F8"/>
    <w:rsid w:val="00D07B62"/>
    <w:rsid w:val="00D155A8"/>
    <w:rsid w:val="00D17B95"/>
    <w:rsid w:val="00D21CCD"/>
    <w:rsid w:val="00D23A8C"/>
    <w:rsid w:val="00D27630"/>
    <w:rsid w:val="00D31885"/>
    <w:rsid w:val="00D35610"/>
    <w:rsid w:val="00D35EE7"/>
    <w:rsid w:val="00D373FA"/>
    <w:rsid w:val="00D40DE0"/>
    <w:rsid w:val="00D464C3"/>
    <w:rsid w:val="00D46B6D"/>
    <w:rsid w:val="00D55D16"/>
    <w:rsid w:val="00D5658F"/>
    <w:rsid w:val="00D62382"/>
    <w:rsid w:val="00D64927"/>
    <w:rsid w:val="00D708F5"/>
    <w:rsid w:val="00D718A8"/>
    <w:rsid w:val="00D71E08"/>
    <w:rsid w:val="00D720D7"/>
    <w:rsid w:val="00D75780"/>
    <w:rsid w:val="00D81961"/>
    <w:rsid w:val="00D87DBC"/>
    <w:rsid w:val="00D91816"/>
    <w:rsid w:val="00D923FD"/>
    <w:rsid w:val="00D96B77"/>
    <w:rsid w:val="00DA3493"/>
    <w:rsid w:val="00DA53FB"/>
    <w:rsid w:val="00DA715C"/>
    <w:rsid w:val="00DB273B"/>
    <w:rsid w:val="00DC0310"/>
    <w:rsid w:val="00DC7FE0"/>
    <w:rsid w:val="00DD0494"/>
    <w:rsid w:val="00DD2F77"/>
    <w:rsid w:val="00DD323B"/>
    <w:rsid w:val="00DD40FF"/>
    <w:rsid w:val="00DD7DAA"/>
    <w:rsid w:val="00DF0C3B"/>
    <w:rsid w:val="00DF37EB"/>
    <w:rsid w:val="00DF3B47"/>
    <w:rsid w:val="00DF495F"/>
    <w:rsid w:val="00DF574D"/>
    <w:rsid w:val="00E012B3"/>
    <w:rsid w:val="00E0267C"/>
    <w:rsid w:val="00E10219"/>
    <w:rsid w:val="00E159AC"/>
    <w:rsid w:val="00E23797"/>
    <w:rsid w:val="00E240DA"/>
    <w:rsid w:val="00E2573D"/>
    <w:rsid w:val="00E2741C"/>
    <w:rsid w:val="00E34E0D"/>
    <w:rsid w:val="00E41223"/>
    <w:rsid w:val="00E41B7A"/>
    <w:rsid w:val="00E64FFD"/>
    <w:rsid w:val="00E7089C"/>
    <w:rsid w:val="00E71FC5"/>
    <w:rsid w:val="00E76066"/>
    <w:rsid w:val="00E768A7"/>
    <w:rsid w:val="00E77764"/>
    <w:rsid w:val="00E86E5D"/>
    <w:rsid w:val="00E870F8"/>
    <w:rsid w:val="00E904AF"/>
    <w:rsid w:val="00EA0923"/>
    <w:rsid w:val="00EA1DB8"/>
    <w:rsid w:val="00EB2F65"/>
    <w:rsid w:val="00EC6C49"/>
    <w:rsid w:val="00ED79E4"/>
    <w:rsid w:val="00ED7C06"/>
    <w:rsid w:val="00EE1D59"/>
    <w:rsid w:val="00EF259F"/>
    <w:rsid w:val="00EF73D2"/>
    <w:rsid w:val="00F018A5"/>
    <w:rsid w:val="00F03866"/>
    <w:rsid w:val="00F05C8A"/>
    <w:rsid w:val="00F0628B"/>
    <w:rsid w:val="00F06510"/>
    <w:rsid w:val="00F0695B"/>
    <w:rsid w:val="00F0725C"/>
    <w:rsid w:val="00F07E62"/>
    <w:rsid w:val="00F13366"/>
    <w:rsid w:val="00F24906"/>
    <w:rsid w:val="00F27732"/>
    <w:rsid w:val="00F31890"/>
    <w:rsid w:val="00F322E1"/>
    <w:rsid w:val="00F32C28"/>
    <w:rsid w:val="00F3344A"/>
    <w:rsid w:val="00F37A04"/>
    <w:rsid w:val="00F43A28"/>
    <w:rsid w:val="00F444DA"/>
    <w:rsid w:val="00F5588E"/>
    <w:rsid w:val="00F56F44"/>
    <w:rsid w:val="00F61ADA"/>
    <w:rsid w:val="00F655EE"/>
    <w:rsid w:val="00F7199A"/>
    <w:rsid w:val="00F72EE5"/>
    <w:rsid w:val="00F73EFE"/>
    <w:rsid w:val="00F75CB4"/>
    <w:rsid w:val="00F76057"/>
    <w:rsid w:val="00F768F1"/>
    <w:rsid w:val="00F80CCC"/>
    <w:rsid w:val="00F831B9"/>
    <w:rsid w:val="00F8430C"/>
    <w:rsid w:val="00F905EB"/>
    <w:rsid w:val="00F96472"/>
    <w:rsid w:val="00F968B0"/>
    <w:rsid w:val="00F9773B"/>
    <w:rsid w:val="00FA142A"/>
    <w:rsid w:val="00FA3148"/>
    <w:rsid w:val="00FA4CB4"/>
    <w:rsid w:val="00FA4FC1"/>
    <w:rsid w:val="00FA75CC"/>
    <w:rsid w:val="00FB12A7"/>
    <w:rsid w:val="00FB1AAC"/>
    <w:rsid w:val="00FB2DC8"/>
    <w:rsid w:val="00FB4118"/>
    <w:rsid w:val="00FB7ED5"/>
    <w:rsid w:val="00FC26D9"/>
    <w:rsid w:val="00FC2C37"/>
    <w:rsid w:val="00FC34F9"/>
    <w:rsid w:val="00FC59FA"/>
    <w:rsid w:val="00FD61B3"/>
    <w:rsid w:val="00FD70E4"/>
    <w:rsid w:val="00FD7B4C"/>
    <w:rsid w:val="00FE3758"/>
    <w:rsid w:val="00FE522D"/>
    <w:rsid w:val="00FF0E7D"/>
    <w:rsid w:val="00FF544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264D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de-CH"/>
      </w:rPr>
    </w:rPrDefault>
    <w:pPrDefault/>
  </w:docDefaults>
  <w:latentStyles w:defLockedState="0" w:defUIPriority="0" w:defSemiHidden="0" w:defUnhideWhenUsed="0" w:defQFormat="0" w:count="37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INMA Standard"/>
    <w:rsid w:val="00316E19"/>
    <w:pPr>
      <w:spacing w:line="260" w:lineRule="atLeast"/>
    </w:pPr>
    <w:rPr>
      <w:rFonts w:ascii="Arial" w:hAnsi="Arial"/>
    </w:rPr>
  </w:style>
  <w:style w:type="paragraph" w:styleId="berschrift1">
    <w:name w:val="heading 1"/>
    <w:aliases w:val="FINMA Überschrift 1"/>
    <w:basedOn w:val="Standard"/>
    <w:next w:val="Standard"/>
    <w:qFormat/>
    <w:rsid w:val="00D87DBC"/>
    <w:pPr>
      <w:keepNext/>
      <w:numPr>
        <w:numId w:val="6"/>
      </w:numPr>
      <w:spacing w:before="600" w:after="480"/>
      <w:outlineLvl w:val="0"/>
    </w:pPr>
    <w:rPr>
      <w:rFonts w:cs="Arial"/>
      <w:b/>
      <w:bCs/>
      <w:kern w:val="32"/>
      <w:sz w:val="24"/>
      <w:szCs w:val="24"/>
    </w:rPr>
  </w:style>
  <w:style w:type="paragraph" w:styleId="berschrift2">
    <w:name w:val="heading 2"/>
    <w:aliases w:val="FINMA Überschrift 2"/>
    <w:basedOn w:val="Standard"/>
    <w:next w:val="Standard"/>
    <w:qFormat/>
    <w:rsid w:val="00D87DBC"/>
    <w:pPr>
      <w:keepNext/>
      <w:numPr>
        <w:ilvl w:val="1"/>
        <w:numId w:val="6"/>
      </w:numPr>
      <w:spacing w:before="360" w:after="240"/>
      <w:ind w:right="-23"/>
      <w:outlineLvl w:val="1"/>
    </w:pPr>
    <w:rPr>
      <w:rFonts w:cs="Arial"/>
      <w:sz w:val="24"/>
    </w:rPr>
  </w:style>
  <w:style w:type="paragraph" w:styleId="berschrift3">
    <w:name w:val="heading 3"/>
    <w:aliases w:val="FINMA Überschrift 3"/>
    <w:basedOn w:val="Standard"/>
    <w:next w:val="Standard"/>
    <w:uiPriority w:val="9"/>
    <w:qFormat/>
    <w:rsid w:val="00D87DBC"/>
    <w:pPr>
      <w:keepNext/>
      <w:numPr>
        <w:ilvl w:val="2"/>
        <w:numId w:val="6"/>
      </w:numPr>
      <w:spacing w:before="360" w:after="240"/>
      <w:outlineLvl w:val="2"/>
    </w:pPr>
    <w:rPr>
      <w:rFonts w:cs="Arial"/>
      <w:b/>
      <w:bCs/>
      <w:szCs w:val="26"/>
    </w:rPr>
  </w:style>
  <w:style w:type="paragraph" w:styleId="berschrift4">
    <w:name w:val="heading 4"/>
    <w:aliases w:val="FINMA Überschrift 4"/>
    <w:basedOn w:val="Standard"/>
    <w:next w:val="Standard"/>
    <w:qFormat/>
    <w:rsid w:val="00D87DBC"/>
    <w:pPr>
      <w:keepNext/>
      <w:numPr>
        <w:ilvl w:val="3"/>
        <w:numId w:val="6"/>
      </w:numPr>
      <w:spacing w:before="360" w:after="240"/>
      <w:outlineLvl w:val="3"/>
    </w:pPr>
    <w:rPr>
      <w:rFonts w:cs="Arial"/>
      <w:bCs/>
      <w:szCs w:val="28"/>
    </w:rPr>
  </w:style>
  <w:style w:type="paragraph" w:styleId="berschrift5">
    <w:name w:val="heading 5"/>
    <w:aliases w:val="FINMA Überschrift 5"/>
    <w:basedOn w:val="Standard"/>
    <w:next w:val="Standard"/>
    <w:qFormat/>
    <w:rsid w:val="00D87DBC"/>
    <w:pPr>
      <w:numPr>
        <w:ilvl w:val="4"/>
        <w:numId w:val="6"/>
      </w:numPr>
      <w:spacing w:before="360" w:after="240"/>
      <w:outlineLvl w:val="4"/>
    </w:pPr>
    <w:rPr>
      <w:bCs/>
      <w:szCs w:val="26"/>
    </w:rPr>
  </w:style>
  <w:style w:type="paragraph" w:styleId="berschrift6">
    <w:name w:val="heading 6"/>
    <w:aliases w:val="FINMA Überschrift 6"/>
    <w:basedOn w:val="Standard"/>
    <w:next w:val="Standard"/>
    <w:qFormat/>
    <w:rsid w:val="00D87DBC"/>
    <w:pPr>
      <w:numPr>
        <w:ilvl w:val="5"/>
        <w:numId w:val="6"/>
      </w:numPr>
      <w:spacing w:before="360" w:after="240"/>
      <w:outlineLvl w:val="5"/>
    </w:pPr>
    <w:rPr>
      <w:rFonts w:cs="Arial"/>
      <w:bCs/>
    </w:rPr>
  </w:style>
  <w:style w:type="paragraph" w:styleId="berschrift7">
    <w:name w:val="heading 7"/>
    <w:aliases w:val="FINMA Überschrift 7"/>
    <w:basedOn w:val="Standard"/>
    <w:next w:val="Standard"/>
    <w:qFormat/>
    <w:rsid w:val="00D87DBC"/>
    <w:pPr>
      <w:numPr>
        <w:ilvl w:val="6"/>
        <w:numId w:val="6"/>
      </w:numPr>
      <w:spacing w:before="360" w:after="240"/>
      <w:outlineLvl w:val="6"/>
    </w:pPr>
    <w:rPr>
      <w:rFonts w:cs="Arial"/>
      <w:bCs/>
      <w:szCs w:val="24"/>
    </w:rPr>
  </w:style>
  <w:style w:type="paragraph" w:styleId="berschrift8">
    <w:name w:val="heading 8"/>
    <w:aliases w:val="FINMA Überschrift 8"/>
    <w:basedOn w:val="Standard"/>
    <w:next w:val="Standard"/>
    <w:qFormat/>
    <w:rsid w:val="00D87DBC"/>
    <w:pPr>
      <w:numPr>
        <w:ilvl w:val="7"/>
        <w:numId w:val="6"/>
      </w:numPr>
      <w:spacing w:before="360" w:after="240"/>
      <w:outlineLvl w:val="7"/>
    </w:pPr>
    <w:rPr>
      <w:rFonts w:cs="Arial"/>
      <w:bCs/>
      <w:szCs w:val="24"/>
    </w:rPr>
  </w:style>
  <w:style w:type="paragraph" w:styleId="berschrift9">
    <w:name w:val="heading 9"/>
    <w:aliases w:val="FINMA Überschrift 9"/>
    <w:basedOn w:val="Standard"/>
    <w:next w:val="Standard"/>
    <w:qFormat/>
    <w:rsid w:val="00D87DBC"/>
    <w:pPr>
      <w:numPr>
        <w:ilvl w:val="8"/>
        <w:numId w:val="6"/>
      </w:numPr>
      <w:spacing w:before="360" w:after="240"/>
      <w:outlineLvl w:val="8"/>
    </w:pPr>
    <w:rPr>
      <w:rFonts w:cs="Arial"/>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nrede">
    <w:name w:val="Salutation"/>
    <w:aliases w:val="FINMA Anrede"/>
    <w:basedOn w:val="Standard"/>
    <w:next w:val="Standard"/>
    <w:link w:val="AnredeZchn"/>
    <w:rsid w:val="00D87DBC"/>
    <w:pPr>
      <w:spacing w:before="260" w:after="260"/>
    </w:pPr>
    <w:rPr>
      <w:noProof/>
    </w:rPr>
  </w:style>
  <w:style w:type="character" w:customStyle="1" w:styleId="AnredeZchn">
    <w:name w:val="Anrede Zchn"/>
    <w:aliases w:val="FINMA Anrede Zchn"/>
    <w:basedOn w:val="Absatz-Standardschriftart"/>
    <w:link w:val="Anrede"/>
    <w:rsid w:val="00D87DBC"/>
    <w:rPr>
      <w:rFonts w:ascii="Arial" w:hAnsi="Arial"/>
      <w:noProof/>
      <w:lang w:eastAsia="de-CH"/>
    </w:rPr>
  </w:style>
  <w:style w:type="paragraph" w:customStyle="1" w:styleId="FINMAAufzhlungEbene1">
    <w:name w:val="FINMA Aufzählung Ebene 1"/>
    <w:basedOn w:val="Standard"/>
    <w:qFormat/>
    <w:rsid w:val="00483662"/>
    <w:pPr>
      <w:numPr>
        <w:numId w:val="1"/>
      </w:numPr>
      <w:spacing w:after="80"/>
    </w:pPr>
  </w:style>
  <w:style w:type="paragraph" w:customStyle="1" w:styleId="FINMAAufzhlungEbene2">
    <w:name w:val="FINMA Aufzählung Ebene 2"/>
    <w:basedOn w:val="Standard"/>
    <w:qFormat/>
    <w:rsid w:val="00483662"/>
    <w:pPr>
      <w:numPr>
        <w:numId w:val="2"/>
      </w:numPr>
      <w:tabs>
        <w:tab w:val="left" w:pos="312"/>
      </w:tabs>
      <w:spacing w:after="80"/>
      <w:ind w:left="765" w:hanging="357"/>
    </w:pPr>
  </w:style>
  <w:style w:type="paragraph" w:customStyle="1" w:styleId="FINMAAufzhlungEbene3">
    <w:name w:val="FINMA Aufzählung Ebene 3"/>
    <w:basedOn w:val="Standard"/>
    <w:qFormat/>
    <w:rsid w:val="00483662"/>
    <w:pPr>
      <w:numPr>
        <w:numId w:val="3"/>
      </w:numPr>
      <w:tabs>
        <w:tab w:val="left" w:pos="1038"/>
      </w:tabs>
      <w:spacing w:after="80"/>
      <w:ind w:left="1077" w:hanging="357"/>
    </w:pPr>
  </w:style>
  <w:style w:type="paragraph" w:customStyle="1" w:styleId="FINMAAufzhlungEbene4">
    <w:name w:val="FINMA Aufzählung Ebene 4"/>
    <w:basedOn w:val="FINMAAufzhlungEbene3"/>
    <w:rsid w:val="003051D1"/>
    <w:pPr>
      <w:numPr>
        <w:numId w:val="4"/>
      </w:numPr>
      <w:tabs>
        <w:tab w:val="clear" w:pos="1038"/>
        <w:tab w:val="left" w:pos="1315"/>
      </w:tabs>
      <w:ind w:left="1406" w:hanging="357"/>
    </w:pPr>
  </w:style>
  <w:style w:type="paragraph" w:customStyle="1" w:styleId="FINMABeilagen">
    <w:name w:val="FINMA Beilagen"/>
    <w:basedOn w:val="Standard"/>
    <w:next w:val="Standard"/>
    <w:rsid w:val="00D87DBC"/>
    <w:pPr>
      <w:tabs>
        <w:tab w:val="left" w:pos="1260"/>
      </w:tabs>
      <w:spacing w:before="840" w:after="260"/>
      <w:ind w:left="1259" w:hanging="1259"/>
    </w:pPr>
    <w:rPr>
      <w:szCs w:val="22"/>
    </w:rPr>
  </w:style>
  <w:style w:type="paragraph" w:customStyle="1" w:styleId="FINMABetreff">
    <w:name w:val="FINMA Betreff"/>
    <w:basedOn w:val="Standard"/>
    <w:rsid w:val="00D87DBC"/>
    <w:pPr>
      <w:spacing w:before="360"/>
    </w:pPr>
    <w:rPr>
      <w:rFonts w:cs="Arial"/>
      <w:b/>
      <w:szCs w:val="22"/>
    </w:rPr>
  </w:style>
  <w:style w:type="paragraph" w:customStyle="1" w:styleId="FINMAStandardAbsatz">
    <w:name w:val="FINMA Standard Absatz"/>
    <w:basedOn w:val="Standard"/>
    <w:qFormat/>
    <w:rsid w:val="00483662"/>
    <w:pPr>
      <w:spacing w:before="260" w:after="260"/>
    </w:pPr>
  </w:style>
  <w:style w:type="paragraph" w:customStyle="1" w:styleId="FINMAGeheim">
    <w:name w:val="FINMA Geheim"/>
    <w:basedOn w:val="FINMAStandardAbsatz"/>
    <w:next w:val="FINMAStandardAbsatz"/>
    <w:rsid w:val="00D87DBC"/>
    <w:pPr>
      <w:spacing w:after="0"/>
    </w:pPr>
    <w:rPr>
      <w:b/>
    </w:rPr>
  </w:style>
  <w:style w:type="paragraph" w:customStyle="1" w:styleId="FINMAGliederungEbene1">
    <w:name w:val="FINMA Gliederung Ebene 1"/>
    <w:basedOn w:val="Standard"/>
    <w:qFormat/>
    <w:rsid w:val="00483662"/>
    <w:pPr>
      <w:numPr>
        <w:numId w:val="5"/>
      </w:numPr>
      <w:spacing w:after="80"/>
    </w:pPr>
    <w:rPr>
      <w:rFonts w:cs="Arial"/>
      <w:szCs w:val="22"/>
    </w:rPr>
  </w:style>
  <w:style w:type="paragraph" w:customStyle="1" w:styleId="FINMAGliederungEbene2">
    <w:name w:val="FINMA Gliederung Ebene 2"/>
    <w:basedOn w:val="Standard"/>
    <w:qFormat/>
    <w:rsid w:val="00483662"/>
    <w:pPr>
      <w:numPr>
        <w:ilvl w:val="1"/>
        <w:numId w:val="5"/>
      </w:numPr>
      <w:spacing w:after="80"/>
    </w:pPr>
    <w:rPr>
      <w:rFonts w:cs="Arial"/>
      <w:szCs w:val="22"/>
    </w:rPr>
  </w:style>
  <w:style w:type="paragraph" w:customStyle="1" w:styleId="FINMAGliederungEbene3">
    <w:name w:val="FINMA Gliederung Ebene 3"/>
    <w:basedOn w:val="Standard"/>
    <w:qFormat/>
    <w:rsid w:val="00483662"/>
    <w:pPr>
      <w:numPr>
        <w:ilvl w:val="2"/>
        <w:numId w:val="5"/>
      </w:numPr>
      <w:spacing w:after="80"/>
    </w:pPr>
    <w:rPr>
      <w:rFonts w:cs="Arial"/>
      <w:szCs w:val="22"/>
    </w:rPr>
  </w:style>
  <w:style w:type="paragraph" w:customStyle="1" w:styleId="FINMAGliederungEbene4">
    <w:name w:val="FINMA Gliederung Ebene 4"/>
    <w:basedOn w:val="Standard"/>
    <w:rsid w:val="00483662"/>
    <w:pPr>
      <w:numPr>
        <w:ilvl w:val="3"/>
        <w:numId w:val="5"/>
      </w:numPr>
      <w:spacing w:after="80"/>
    </w:pPr>
    <w:rPr>
      <w:rFonts w:cs="Arial"/>
      <w:szCs w:val="22"/>
    </w:rPr>
  </w:style>
  <w:style w:type="paragraph" w:customStyle="1" w:styleId="FINMAGrussformelFINMA">
    <w:name w:val="FINMA Grussformel FINMA"/>
    <w:basedOn w:val="Standard"/>
    <w:next w:val="FINMABeilagen"/>
    <w:rsid w:val="00D87DBC"/>
    <w:pPr>
      <w:tabs>
        <w:tab w:val="left" w:pos="5400"/>
      </w:tabs>
      <w:spacing w:before="520"/>
    </w:pPr>
    <w:rPr>
      <w:rFonts w:cs="Arial"/>
      <w:szCs w:val="22"/>
    </w:rPr>
  </w:style>
  <w:style w:type="paragraph" w:customStyle="1" w:styleId="FINMAKopie">
    <w:name w:val="FINMA Kopie"/>
    <w:basedOn w:val="FINMAStandardAbsatz"/>
    <w:next w:val="Standard"/>
    <w:rsid w:val="00D87DBC"/>
    <w:pPr>
      <w:tabs>
        <w:tab w:val="left" w:pos="1260"/>
      </w:tabs>
      <w:spacing w:after="0"/>
      <w:ind w:left="1259" w:hanging="1259"/>
    </w:pPr>
  </w:style>
  <w:style w:type="paragraph" w:customStyle="1" w:styleId="FINMANameundFunktion">
    <w:name w:val="FINMA Name und Funktion"/>
    <w:basedOn w:val="Standard"/>
    <w:rsid w:val="00D87DBC"/>
  </w:style>
  <w:style w:type="paragraph" w:customStyle="1" w:styleId="FINMAReferenuValue">
    <w:name w:val="FINMA ReferenuValue"/>
    <w:basedOn w:val="Standard"/>
    <w:rsid w:val="00D87DBC"/>
    <w:rPr>
      <w:sz w:val="16"/>
    </w:rPr>
  </w:style>
  <w:style w:type="paragraph" w:customStyle="1" w:styleId="FINMAReferenz">
    <w:name w:val="FINMA Referenz"/>
    <w:basedOn w:val="Standard"/>
    <w:rsid w:val="00D87DBC"/>
    <w:pPr>
      <w:framePr w:w="9171" w:h="1654" w:hSpace="142" w:wrap="around" w:vAnchor="text" w:hAnchor="page" w:x="1730" w:y="3034" w:anchorLock="1"/>
      <w:tabs>
        <w:tab w:val="left" w:pos="1276"/>
      </w:tabs>
    </w:pPr>
    <w:rPr>
      <w:sz w:val="16"/>
    </w:rPr>
  </w:style>
  <w:style w:type="paragraph" w:customStyle="1" w:styleId="FINMARf-Aktnr">
    <w:name w:val="FINMA Rf-Akt.nr."/>
    <w:basedOn w:val="FINMAReferenz"/>
    <w:next w:val="Standard"/>
    <w:rsid w:val="00D87DBC"/>
    <w:pPr>
      <w:framePr w:wrap="around"/>
    </w:pPr>
  </w:style>
  <w:style w:type="character" w:customStyle="1" w:styleId="FINMARf-AktnrZchn">
    <w:name w:val="FINMA Rf-Akt.nr. Zchn"/>
    <w:basedOn w:val="Absatz-Standardschriftart"/>
    <w:rsid w:val="00D87DBC"/>
    <w:rPr>
      <w:rFonts w:ascii="Arial" w:hAnsi="Arial"/>
      <w:sz w:val="16"/>
      <w:szCs w:val="16"/>
      <w:lang w:val="de-CH" w:eastAsia="de-CH" w:bidi="de-CH"/>
    </w:rPr>
  </w:style>
  <w:style w:type="paragraph" w:customStyle="1" w:styleId="FINMAStandardAbsatznachAufzzeichen">
    <w:name w:val="FINMA Standard Absatz nach Aufz.zeichen"/>
    <w:basedOn w:val="FINMAStandardAbsatz"/>
    <w:next w:val="FINMAStandardAbsatz"/>
    <w:rsid w:val="00D87DBC"/>
  </w:style>
  <w:style w:type="paragraph" w:customStyle="1" w:styleId="FINMATabellemitAufzzeichen">
    <w:name w:val="FINMA Tabelle mit Aufz.zeichen"/>
    <w:basedOn w:val="Standard"/>
    <w:rsid w:val="00D87DBC"/>
    <w:pPr>
      <w:tabs>
        <w:tab w:val="num" w:pos="360"/>
      </w:tabs>
      <w:spacing w:before="60" w:after="60"/>
      <w:ind w:left="360" w:hanging="360"/>
    </w:pPr>
    <w:rPr>
      <w:rFonts w:cs="Arial"/>
      <w:szCs w:val="24"/>
    </w:rPr>
  </w:style>
  <w:style w:type="paragraph" w:customStyle="1" w:styleId="FINMATabelleohneAufzzeichen">
    <w:name w:val="FINMA Tabelle ohne Aufz.zeichen"/>
    <w:basedOn w:val="Standard"/>
    <w:rsid w:val="00D87DBC"/>
    <w:pPr>
      <w:widowControl w:val="0"/>
      <w:spacing w:before="60" w:after="60"/>
    </w:pPr>
    <w:rPr>
      <w:rFonts w:cs="Arial"/>
    </w:rPr>
  </w:style>
  <w:style w:type="paragraph" w:customStyle="1" w:styleId="FINMATabelleTitel">
    <w:name w:val="FINMA Tabelle Titel"/>
    <w:basedOn w:val="Standard"/>
    <w:next w:val="FINMATabellemitAufzzeichen"/>
    <w:rsid w:val="00D87DBC"/>
    <w:pPr>
      <w:spacing w:before="60" w:after="60"/>
    </w:pPr>
    <w:rPr>
      <w:b/>
      <w:bCs/>
      <w:szCs w:val="24"/>
    </w:rPr>
  </w:style>
  <w:style w:type="paragraph" w:customStyle="1" w:styleId="FINMATitel">
    <w:name w:val="FINMA Titel"/>
    <w:basedOn w:val="FINMAStandardAbsatz"/>
    <w:rsid w:val="001749D6"/>
    <w:rPr>
      <w:sz w:val="40"/>
    </w:rPr>
  </w:style>
  <w:style w:type="paragraph" w:customStyle="1" w:styleId="FINMAUntertitel">
    <w:name w:val="FINMA Untertitel"/>
    <w:basedOn w:val="Anrede"/>
    <w:rsid w:val="003E231A"/>
    <w:rPr>
      <w:sz w:val="36"/>
    </w:rPr>
  </w:style>
  <w:style w:type="paragraph" w:customStyle="1" w:styleId="FINMAVertraulichkeitsvermerk">
    <w:name w:val="FINMA Vertraulichkeitsvermerk"/>
    <w:basedOn w:val="Standard"/>
    <w:qFormat/>
    <w:rsid w:val="00D87DBC"/>
    <w:rPr>
      <w:b/>
      <w:sz w:val="16"/>
    </w:rPr>
  </w:style>
  <w:style w:type="paragraph" w:styleId="Fuzeile">
    <w:name w:val="footer"/>
    <w:aliases w:val="FINMA Fußzeile"/>
    <w:basedOn w:val="Standard"/>
    <w:link w:val="FuzeileZchn"/>
    <w:uiPriority w:val="99"/>
    <w:rsid w:val="00D87DBC"/>
    <w:pPr>
      <w:tabs>
        <w:tab w:val="right" w:pos="8618"/>
      </w:tabs>
    </w:pPr>
    <w:rPr>
      <w:sz w:val="16"/>
    </w:rPr>
  </w:style>
  <w:style w:type="character" w:customStyle="1" w:styleId="FuzeileZchn">
    <w:name w:val="Fußzeile Zchn"/>
    <w:aliases w:val="FINMA Fußzeile Zchn"/>
    <w:basedOn w:val="Absatz-Standardschriftart"/>
    <w:link w:val="Fuzeile"/>
    <w:uiPriority w:val="99"/>
    <w:rsid w:val="00D87DBC"/>
    <w:rPr>
      <w:rFonts w:ascii="Arial" w:hAnsi="Arial"/>
      <w:sz w:val="16"/>
      <w:lang w:eastAsia="de-CH"/>
    </w:rPr>
  </w:style>
  <w:style w:type="paragraph" w:styleId="Kopfzeile">
    <w:name w:val="header"/>
    <w:aliases w:val="FINMA Kopfzeile"/>
    <w:basedOn w:val="Standard"/>
    <w:link w:val="KopfzeileZchn"/>
    <w:uiPriority w:val="99"/>
    <w:rsid w:val="00D87DBC"/>
    <w:pPr>
      <w:tabs>
        <w:tab w:val="center" w:pos="4536"/>
        <w:tab w:val="right" w:pos="9072"/>
      </w:tabs>
    </w:pPr>
  </w:style>
  <w:style w:type="character" w:customStyle="1" w:styleId="KopfzeileZchn">
    <w:name w:val="Kopfzeile Zchn"/>
    <w:aliases w:val="FINMA Kopfzeile Zchn"/>
    <w:basedOn w:val="Absatz-Standardschriftart"/>
    <w:link w:val="Kopfzeile"/>
    <w:uiPriority w:val="99"/>
    <w:rsid w:val="00D87DBC"/>
    <w:rPr>
      <w:rFonts w:ascii="Arial" w:hAnsi="Arial"/>
      <w:sz w:val="22"/>
      <w:lang w:eastAsia="de-CH"/>
    </w:rPr>
  </w:style>
  <w:style w:type="paragraph" w:styleId="Verzeichnis1">
    <w:name w:val="toc 1"/>
    <w:basedOn w:val="Standard"/>
    <w:next w:val="Standard"/>
    <w:autoRedefine/>
    <w:rsid w:val="00D87DBC"/>
    <w:pPr>
      <w:tabs>
        <w:tab w:val="left" w:pos="360"/>
        <w:tab w:val="right" w:leader="dot" w:pos="8280"/>
      </w:tabs>
      <w:spacing w:before="480" w:after="240"/>
      <w:ind w:left="357" w:right="822" w:hanging="357"/>
    </w:pPr>
    <w:rPr>
      <w:rFonts w:cs="Arial"/>
      <w:b/>
      <w:bCs/>
      <w:noProof/>
      <w:szCs w:val="22"/>
    </w:rPr>
  </w:style>
  <w:style w:type="paragraph" w:styleId="Verzeichnis2">
    <w:name w:val="toc 2"/>
    <w:basedOn w:val="Standard"/>
    <w:next w:val="FINMAStandardAbsatz"/>
    <w:autoRedefine/>
    <w:rsid w:val="00D87DBC"/>
    <w:pPr>
      <w:tabs>
        <w:tab w:val="left" w:pos="900"/>
        <w:tab w:val="right" w:leader="dot" w:pos="8278"/>
      </w:tabs>
      <w:spacing w:after="120"/>
      <w:ind w:left="896" w:right="822" w:hanging="561"/>
    </w:pPr>
    <w:rPr>
      <w:rFonts w:cs="Arial"/>
      <w:iCs/>
      <w:noProof/>
    </w:rPr>
  </w:style>
  <w:style w:type="paragraph" w:styleId="Verzeichnis3">
    <w:name w:val="toc 3"/>
    <w:basedOn w:val="Standard"/>
    <w:next w:val="FINMAStandardAbsatz"/>
    <w:autoRedefine/>
    <w:rsid w:val="00D87DBC"/>
    <w:pPr>
      <w:tabs>
        <w:tab w:val="left" w:pos="1980"/>
        <w:tab w:val="right" w:leader="dot" w:pos="8278"/>
      </w:tabs>
      <w:spacing w:after="120"/>
      <w:ind w:left="1979" w:right="822" w:hanging="1077"/>
    </w:pPr>
    <w:rPr>
      <w:rFonts w:cs="Arial"/>
    </w:rPr>
  </w:style>
  <w:style w:type="paragraph" w:styleId="Verzeichnis4">
    <w:name w:val="toc 4"/>
    <w:basedOn w:val="Standard"/>
    <w:next w:val="FINMAStandardAbsatz"/>
    <w:autoRedefine/>
    <w:rsid w:val="00D87DBC"/>
    <w:pPr>
      <w:tabs>
        <w:tab w:val="left" w:pos="1980"/>
        <w:tab w:val="right" w:leader="dot" w:pos="8278"/>
      </w:tabs>
      <w:spacing w:after="120"/>
      <w:ind w:left="1979" w:right="822" w:hanging="1077"/>
    </w:pPr>
    <w:rPr>
      <w:rFonts w:cs="Arial"/>
    </w:rPr>
  </w:style>
  <w:style w:type="paragraph" w:styleId="Verzeichnis5">
    <w:name w:val="toc 5"/>
    <w:basedOn w:val="Standard"/>
    <w:next w:val="FINMAStandardAbsatz"/>
    <w:autoRedefine/>
    <w:rsid w:val="00D87DBC"/>
    <w:pPr>
      <w:tabs>
        <w:tab w:val="left" w:pos="1980"/>
        <w:tab w:val="right" w:leader="dot" w:pos="8278"/>
      </w:tabs>
      <w:spacing w:after="120"/>
      <w:ind w:left="1979" w:right="822" w:hanging="1100"/>
    </w:pPr>
  </w:style>
  <w:style w:type="paragraph" w:styleId="Verzeichnis6">
    <w:name w:val="toc 6"/>
    <w:basedOn w:val="Standard"/>
    <w:next w:val="FINMAStandardAbsatz"/>
    <w:autoRedefine/>
    <w:rsid w:val="00D87DBC"/>
    <w:pPr>
      <w:tabs>
        <w:tab w:val="left" w:pos="1980"/>
        <w:tab w:val="right" w:leader="dot" w:pos="8273"/>
      </w:tabs>
      <w:spacing w:after="120"/>
      <w:ind w:left="1979" w:right="822" w:hanging="1072"/>
    </w:pPr>
    <w:rPr>
      <w:rFonts w:cs="Arial"/>
      <w:noProof/>
    </w:rPr>
  </w:style>
  <w:style w:type="paragraph" w:styleId="Verzeichnis7">
    <w:name w:val="toc 7"/>
    <w:basedOn w:val="Standard"/>
    <w:next w:val="FINMAStandardAbsatz"/>
    <w:autoRedefine/>
    <w:rsid w:val="00D87DBC"/>
    <w:pPr>
      <w:tabs>
        <w:tab w:val="left" w:pos="2520"/>
        <w:tab w:val="right" w:leader="dot" w:pos="8278"/>
      </w:tabs>
      <w:spacing w:after="120"/>
      <w:ind w:left="2524" w:right="822" w:hanging="1622"/>
    </w:pPr>
    <w:rPr>
      <w:rFonts w:cs="Arial"/>
    </w:rPr>
  </w:style>
  <w:style w:type="paragraph" w:styleId="Verzeichnis8">
    <w:name w:val="toc 8"/>
    <w:basedOn w:val="Standard"/>
    <w:next w:val="Standard"/>
    <w:autoRedefine/>
    <w:rsid w:val="00D87DBC"/>
    <w:pPr>
      <w:tabs>
        <w:tab w:val="left" w:pos="2520"/>
        <w:tab w:val="right" w:leader="dot" w:pos="8278"/>
      </w:tabs>
      <w:spacing w:after="120"/>
      <w:ind w:left="2524" w:right="822" w:hanging="1622"/>
    </w:pPr>
    <w:rPr>
      <w:rFonts w:cs="Arial"/>
    </w:rPr>
  </w:style>
  <w:style w:type="paragraph" w:styleId="Verzeichnis9">
    <w:name w:val="toc 9"/>
    <w:basedOn w:val="Standard"/>
    <w:next w:val="FINMAStandardAbsatz"/>
    <w:autoRedefine/>
    <w:rsid w:val="00D87DBC"/>
    <w:pPr>
      <w:tabs>
        <w:tab w:val="left" w:pos="2520"/>
        <w:tab w:val="right" w:leader="dot" w:pos="8278"/>
      </w:tabs>
      <w:spacing w:after="120"/>
      <w:ind w:left="2524" w:right="822" w:hanging="1622"/>
    </w:pPr>
    <w:rPr>
      <w:rFonts w:cs="Arial"/>
    </w:rPr>
  </w:style>
  <w:style w:type="paragraph" w:customStyle="1" w:styleId="FINMAGliederungEbene5">
    <w:name w:val="FINMA Gliederung Ebene 5"/>
    <w:basedOn w:val="Standard"/>
    <w:rsid w:val="00CC3C9E"/>
    <w:pPr>
      <w:numPr>
        <w:numId w:val="7"/>
      </w:numPr>
      <w:tabs>
        <w:tab w:val="left" w:pos="1004"/>
      </w:tabs>
      <w:spacing w:after="80" w:line="240" w:lineRule="auto"/>
      <w:outlineLvl w:val="4"/>
    </w:pPr>
    <w:rPr>
      <w:szCs w:val="16"/>
    </w:rPr>
  </w:style>
  <w:style w:type="paragraph" w:styleId="Sprechblasentext">
    <w:name w:val="Balloon Text"/>
    <w:basedOn w:val="Standard"/>
    <w:link w:val="SprechblasentextZchn"/>
    <w:rsid w:val="00413E4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413E4A"/>
    <w:rPr>
      <w:rFonts w:ascii="Tahoma" w:hAnsi="Tahoma" w:cs="Tahoma"/>
      <w:sz w:val="16"/>
      <w:szCs w:val="16"/>
      <w:lang w:val="de-CH" w:eastAsia="de-CH"/>
    </w:rPr>
  </w:style>
  <w:style w:type="table" w:styleId="Tabellenraster">
    <w:name w:val="Table Grid"/>
    <w:basedOn w:val="NormaleTabelle"/>
    <w:uiPriority w:val="59"/>
    <w:rsid w:val="008D115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NMAMarginalDocvalue">
    <w:name w:val="FINMA Marginal Docvalue"/>
    <w:basedOn w:val="Kopfzeile"/>
    <w:rsid w:val="00D81961"/>
    <w:pPr>
      <w:framePr w:w="2835" w:wrap="around" w:vAnchor="page" w:hAnchor="page" w:xAlign="right" w:y="1419" w:anchorLock="1"/>
      <w:spacing w:after="120" w:line="180" w:lineRule="exact"/>
    </w:pPr>
    <w:rPr>
      <w:sz w:val="15"/>
    </w:rPr>
  </w:style>
  <w:style w:type="paragraph" w:styleId="Listenabsatz">
    <w:name w:val="List Paragraph"/>
    <w:basedOn w:val="Standard"/>
    <w:uiPriority w:val="34"/>
    <w:qFormat/>
    <w:rsid w:val="00501862"/>
    <w:pPr>
      <w:spacing w:before="60" w:after="60" w:line="276" w:lineRule="auto"/>
      <w:ind w:left="720"/>
      <w:contextualSpacing/>
    </w:pPr>
    <w:rPr>
      <w:rFonts w:eastAsiaTheme="minorHAnsi" w:cstheme="minorBidi"/>
      <w:szCs w:val="22"/>
    </w:rPr>
  </w:style>
  <w:style w:type="paragraph" w:customStyle="1" w:styleId="Bullet">
    <w:name w:val="Bullet"/>
    <w:basedOn w:val="Listenabsatz"/>
    <w:qFormat/>
    <w:rsid w:val="00501862"/>
    <w:pPr>
      <w:numPr>
        <w:numId w:val="8"/>
      </w:numPr>
      <w:spacing w:line="240" w:lineRule="auto"/>
      <w:contextualSpacing w:val="0"/>
    </w:pPr>
    <w:rPr>
      <w:rFonts w:cs="Arial"/>
      <w:sz w:val="16"/>
      <w:szCs w:val="16"/>
    </w:rPr>
  </w:style>
  <w:style w:type="paragraph" w:customStyle="1" w:styleId="EGABox1">
    <w:name w:val="EGA Box1"/>
    <w:basedOn w:val="Standard"/>
    <w:qFormat/>
    <w:rsid w:val="00501862"/>
    <w:pPr>
      <w:keepLines/>
      <w:tabs>
        <w:tab w:val="left" w:pos="27571"/>
        <w:tab w:val="left" w:pos="27996"/>
      </w:tabs>
      <w:autoSpaceDE w:val="0"/>
      <w:autoSpaceDN w:val="0"/>
      <w:adjustRightInd w:val="0"/>
      <w:spacing w:before="60" w:after="140" w:line="240" w:lineRule="atLeast"/>
      <w:ind w:left="357" w:hanging="357"/>
    </w:pPr>
    <w:rPr>
      <w:rFonts w:ascii="Georgia" w:eastAsia="Arial Unicode MS" w:hAnsi="Georgia" w:cs="Arial"/>
    </w:rPr>
  </w:style>
  <w:style w:type="numbering" w:customStyle="1" w:styleId="ListePP">
    <w:name w:val="Liste PP"/>
    <w:uiPriority w:val="99"/>
    <w:rsid w:val="005131A0"/>
    <w:pPr>
      <w:numPr>
        <w:numId w:val="20"/>
      </w:numPr>
    </w:pPr>
  </w:style>
  <w:style w:type="character" w:styleId="Kommentarzeichen">
    <w:name w:val="annotation reference"/>
    <w:basedOn w:val="Absatz-Standardschriftart"/>
    <w:uiPriority w:val="99"/>
    <w:semiHidden/>
    <w:unhideWhenUsed/>
    <w:rsid w:val="00DC0310"/>
    <w:rPr>
      <w:sz w:val="16"/>
      <w:szCs w:val="16"/>
    </w:rPr>
  </w:style>
  <w:style w:type="paragraph" w:styleId="Kommentartext">
    <w:name w:val="annotation text"/>
    <w:basedOn w:val="Standard"/>
    <w:link w:val="KommentartextZchn"/>
    <w:uiPriority w:val="99"/>
    <w:semiHidden/>
    <w:unhideWhenUsed/>
    <w:rsid w:val="00DC0310"/>
    <w:pPr>
      <w:spacing w:line="240" w:lineRule="auto"/>
    </w:pPr>
  </w:style>
  <w:style w:type="character" w:customStyle="1" w:styleId="KommentartextZchn">
    <w:name w:val="Kommentartext Zchn"/>
    <w:basedOn w:val="Absatz-Standardschriftart"/>
    <w:link w:val="Kommentartext"/>
    <w:uiPriority w:val="99"/>
    <w:semiHidden/>
    <w:rsid w:val="00DC0310"/>
    <w:rPr>
      <w:rFonts w:ascii="Arial" w:hAnsi="Arial"/>
    </w:rPr>
  </w:style>
  <w:style w:type="paragraph" w:styleId="Kommentarthema">
    <w:name w:val="annotation subject"/>
    <w:basedOn w:val="Kommentartext"/>
    <w:next w:val="Kommentartext"/>
    <w:link w:val="KommentarthemaZchn"/>
    <w:semiHidden/>
    <w:unhideWhenUsed/>
    <w:rsid w:val="00DC0310"/>
    <w:rPr>
      <w:b/>
      <w:bCs/>
    </w:rPr>
  </w:style>
  <w:style w:type="character" w:customStyle="1" w:styleId="KommentarthemaZchn">
    <w:name w:val="Kommentarthema Zchn"/>
    <w:basedOn w:val="KommentartextZchn"/>
    <w:link w:val="Kommentarthema"/>
    <w:semiHidden/>
    <w:rsid w:val="00DC0310"/>
    <w:rPr>
      <w:rFonts w:ascii="Arial" w:hAnsi="Arial"/>
      <w:b/>
      <w:bCs/>
    </w:rPr>
  </w:style>
  <w:style w:type="paragraph" w:styleId="berarbeitung">
    <w:name w:val="Revision"/>
    <w:hidden/>
    <w:uiPriority w:val="99"/>
    <w:semiHidden/>
    <w:rsid w:val="00931AA4"/>
    <w:rPr>
      <w:rFonts w:ascii="Arial" w:hAnsi="Arial"/>
    </w:rPr>
  </w:style>
  <w:style w:type="paragraph" w:styleId="Textkrper">
    <w:name w:val="Body Text"/>
    <w:basedOn w:val="Standard"/>
    <w:link w:val="TextkrperZchn"/>
    <w:unhideWhenUsed/>
    <w:qFormat/>
    <w:rsid w:val="00E768A7"/>
    <w:pPr>
      <w:spacing w:after="240" w:line="240" w:lineRule="atLeast"/>
    </w:pPr>
    <w:rPr>
      <w:rFonts w:ascii="Georgia" w:eastAsiaTheme="minorHAnsi" w:hAnsi="Georgia" w:cstheme="minorBidi"/>
      <w:lang w:val="en-GB" w:eastAsia="en-US" w:bidi="ar-SA"/>
    </w:rPr>
  </w:style>
  <w:style w:type="character" w:customStyle="1" w:styleId="TextkrperZchn">
    <w:name w:val="Textkörper Zchn"/>
    <w:basedOn w:val="Absatz-Standardschriftart"/>
    <w:link w:val="Textkrper"/>
    <w:rsid w:val="00E768A7"/>
    <w:rPr>
      <w:rFonts w:ascii="Georgia" w:eastAsiaTheme="minorHAnsi" w:hAnsi="Georgia" w:cstheme="minorBidi"/>
      <w:lang w:val="en-GB" w:eastAsia="en-US" w:bidi="ar-SA"/>
    </w:rPr>
  </w:style>
  <w:style w:type="paragraph" w:styleId="Funotentext">
    <w:name w:val="footnote text"/>
    <w:basedOn w:val="Standard"/>
    <w:link w:val="FunotentextZchn"/>
    <w:semiHidden/>
    <w:unhideWhenUsed/>
    <w:rsid w:val="00E768A7"/>
    <w:pPr>
      <w:spacing w:line="240" w:lineRule="auto"/>
    </w:pPr>
    <w:rPr>
      <w:lang w:eastAsia="de-DE" w:bidi="ar-SA"/>
    </w:rPr>
  </w:style>
  <w:style w:type="character" w:customStyle="1" w:styleId="FunotentextZchn">
    <w:name w:val="Fußnotentext Zchn"/>
    <w:basedOn w:val="Absatz-Standardschriftart"/>
    <w:link w:val="Funotentext"/>
    <w:semiHidden/>
    <w:rsid w:val="00E768A7"/>
    <w:rPr>
      <w:rFonts w:ascii="Arial" w:hAnsi="Arial"/>
      <w:lang w:eastAsia="de-DE" w:bidi="ar-SA"/>
    </w:rPr>
  </w:style>
  <w:style w:type="character" w:styleId="Funotenzeichen">
    <w:name w:val="footnote reference"/>
    <w:basedOn w:val="Absatz-Standardschriftart"/>
    <w:semiHidden/>
    <w:unhideWhenUsed/>
    <w:rsid w:val="00E768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497397">
      <w:bodyDiv w:val="1"/>
      <w:marLeft w:val="0"/>
      <w:marRight w:val="0"/>
      <w:marTop w:val="0"/>
      <w:marBottom w:val="0"/>
      <w:divBdr>
        <w:top w:val="none" w:sz="0" w:space="0" w:color="auto"/>
        <w:left w:val="none" w:sz="0" w:space="0" w:color="auto"/>
        <w:bottom w:val="none" w:sz="0" w:space="0" w:color="auto"/>
        <w:right w:val="none" w:sz="0" w:space="0" w:color="auto"/>
      </w:divBdr>
    </w:div>
    <w:div w:id="890074771">
      <w:bodyDiv w:val="1"/>
      <w:marLeft w:val="0"/>
      <w:marRight w:val="0"/>
      <w:marTop w:val="0"/>
      <w:marBottom w:val="0"/>
      <w:divBdr>
        <w:top w:val="none" w:sz="0" w:space="0" w:color="auto"/>
        <w:left w:val="none" w:sz="0" w:space="0" w:color="auto"/>
        <w:bottom w:val="none" w:sz="0" w:space="0" w:color="auto"/>
        <w:right w:val="none" w:sz="0" w:space="0" w:color="auto"/>
      </w:divBdr>
    </w:div>
    <w:div w:id="1082793423">
      <w:bodyDiv w:val="1"/>
      <w:marLeft w:val="0"/>
      <w:marRight w:val="0"/>
      <w:marTop w:val="0"/>
      <w:marBottom w:val="0"/>
      <w:divBdr>
        <w:top w:val="none" w:sz="0" w:space="0" w:color="auto"/>
        <w:left w:val="none" w:sz="0" w:space="0" w:color="auto"/>
        <w:bottom w:val="none" w:sz="0" w:space="0" w:color="auto"/>
        <w:right w:val="none" w:sz="0" w:space="0" w:color="auto"/>
      </w:divBdr>
    </w:div>
    <w:div w:id="1106925516">
      <w:bodyDiv w:val="1"/>
      <w:marLeft w:val="0"/>
      <w:marRight w:val="0"/>
      <w:marTop w:val="0"/>
      <w:marBottom w:val="0"/>
      <w:divBdr>
        <w:top w:val="none" w:sz="0" w:space="0" w:color="auto"/>
        <w:left w:val="none" w:sz="0" w:space="0" w:color="auto"/>
        <w:bottom w:val="none" w:sz="0" w:space="0" w:color="auto"/>
        <w:right w:val="none" w:sz="0" w:space="0" w:color="auto"/>
      </w:divBdr>
    </w:div>
    <w:div w:id="1128010273">
      <w:bodyDiv w:val="1"/>
      <w:marLeft w:val="0"/>
      <w:marRight w:val="0"/>
      <w:marTop w:val="0"/>
      <w:marBottom w:val="0"/>
      <w:divBdr>
        <w:top w:val="none" w:sz="0" w:space="0" w:color="auto"/>
        <w:left w:val="none" w:sz="0" w:space="0" w:color="auto"/>
        <w:bottom w:val="none" w:sz="0" w:space="0" w:color="auto"/>
        <w:right w:val="none" w:sz="0" w:space="0" w:color="auto"/>
      </w:divBdr>
    </w:div>
    <w:div w:id="1214082363">
      <w:bodyDiv w:val="1"/>
      <w:marLeft w:val="0"/>
      <w:marRight w:val="0"/>
      <w:marTop w:val="0"/>
      <w:marBottom w:val="0"/>
      <w:divBdr>
        <w:top w:val="none" w:sz="0" w:space="0" w:color="auto"/>
        <w:left w:val="none" w:sz="0" w:space="0" w:color="auto"/>
        <w:bottom w:val="none" w:sz="0" w:space="0" w:color="auto"/>
        <w:right w:val="none" w:sz="0" w:space="0" w:color="auto"/>
      </w:divBdr>
    </w:div>
    <w:div w:id="183182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GDok Document" ma:contentTypeID="0x0101003A499141982C43AFAF241BDE541C18D500F5B3EB93A2E6FC40BDA27E9A03F99C52" ma:contentTypeVersion="18" ma:contentTypeDescription="Create a new document." ma:contentTypeScope="" ma:versionID="04eebac017c0ff8e67ba2371f1f5ae67">
  <xsd:schema xmlns:xsd="http://www.w3.org/2001/XMLSchema" xmlns:xs="http://www.w3.org/2001/XMLSchema" xmlns:p="http://schemas.microsoft.com/office/2006/metadata/properties" xmlns:ns2="e41ec083-eb60-4400-a1ca-8b175769cd15" targetNamespace="http://schemas.microsoft.com/office/2006/metadata/properties" ma:root="true" ma:fieldsID="717c16d44b7eff26d5d25af0687c82f9" ns2:_="">
    <xsd:import namespace="e41ec083-eb60-4400-a1ca-8b175769cd15"/>
    <xsd:element name="properties">
      <xsd:complexType>
        <xsd:sequence>
          <xsd:element name="documentManagement">
            <xsd:complexType>
              <xsd:all>
                <xsd:element ref="ns2:_dlc_DocId" minOccurs="0"/>
                <xsd:element ref="ns2:_dlc_DocIdUrl" minOccurs="0"/>
                <xsd:element ref="ns2:_dlc_DocIdPersistId" minOccurs="0"/>
                <xsd:element ref="ns2:FinmaDocumentDate" minOccurs="0"/>
                <xsd:element ref="ns2:FinmaCaseDescription" minOccurs="0"/>
                <xsd:element ref="ns2:f6ac7f7711e24d149a1ab98f6cfad432" minOccurs="0"/>
                <xsd:element ref="ns2:TaxCatchAll" minOccurs="0"/>
                <xsd:element ref="ns2:TaxCatchAllLabel" minOccurs="0"/>
                <xsd:element ref="ns2:FinmaCaseID" minOccurs="0"/>
                <xsd:element ref="ns2:g1c9cab47ab34847b4ac830bba5063b0" minOccurs="0"/>
                <xsd:element ref="ns2:h5452bf913d342ef967d06fb0970c0a5" minOccurs="0"/>
                <xsd:element ref="ns2:n1f5c6536ac648a38ad663cdf8bd44e6" minOccurs="0"/>
                <xsd:element ref="ns2:FinmaPasswordProtected" minOccurs="0"/>
                <xsd:element ref="ns2:FinmaValidationDate" minOccurs="0"/>
                <xsd:element ref="ns2:FinmaValidationResult" minOccurs="0"/>
                <xsd:element ref="ns2:FinmaObjectId" minOccurs="0"/>
                <xsd:element ref="ns2:FinmaObjectName" minOccurs="0"/>
                <xsd:element ref="ns2:Aktionsw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c083-eb60-4400-a1ca-8b175769c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nmaDocumentDate" ma:index="11" nillable="true" ma:displayName="Dokument Datum" ma:format="DateOnly" ma:internalName="FinmaDocumentDate">
      <xsd:simpleType>
        <xsd:restriction base="dms:DateTime"/>
      </xsd:simpleType>
    </xsd:element>
    <xsd:element name="FinmaCaseDescription" ma:index="12" nillable="true" ma:displayName="Geschäfts Bezeichnung" ma:default="Verantwortliche Koordination Prüfwesen (G01009336)" ma:internalName="FinmaCaseDescription">
      <xsd:simpleType>
        <xsd:restriction base="dms:Text">
          <xsd:maxLength value="255"/>
        </xsd:restriction>
      </xsd:simpleType>
    </xsd:element>
    <xsd:element name="f6ac7f7711e24d149a1ab98f6cfad432" ma:index="13" nillable="true" ma:taxonomy="true" ma:internalName="f6ac7f7711e24d149a1ab98f6cfad432" ma:taxonomyFieldName="FinmaCaseStatus" ma:displayName="Geschäfts Status" ma:default="1;#Aktiv|7439e81f-a110-4e88-a7af-acf8d4806223" ma:fieldId="{f6ac7f77-11e2-4d14-9a1a-b98f6cfad432}" ma:sspId="1614e331-078d-4830-aac2-889f77d1de05" ma:termSetId="fbd22871-fe11-4cfd-b99d-0f5fc7eae3ca"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feb4887-3879-4340-9b30-50fa0091cdea}" ma:internalName="TaxCatchAll" ma:showField="CatchAllData" ma:web="e41ec083-eb60-4400-a1ca-8b175769cd15">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feb4887-3879-4340-9b30-50fa0091cdea}" ma:internalName="TaxCatchAllLabel" ma:readOnly="true" ma:showField="CatchAllDataLabel" ma:web="e41ec083-eb60-4400-a1ca-8b175769cd15">
      <xsd:complexType>
        <xsd:complexContent>
          <xsd:extension base="dms:MultiChoiceLookup">
            <xsd:sequence>
              <xsd:element name="Value" type="dms:Lookup" maxOccurs="unbounded" minOccurs="0" nillable="true"/>
            </xsd:sequence>
          </xsd:extension>
        </xsd:complexContent>
      </xsd:complexType>
    </xsd:element>
    <xsd:element name="FinmaCaseID" ma:index="17" nillable="true" ma:displayName="Geschäfts ID" ma:default="G01009336" ma:internalName="FinmaCaseID">
      <xsd:simpleType>
        <xsd:restriction base="dms:Text">
          <xsd:maxLength value="255"/>
        </xsd:restriction>
      </xsd:simpleType>
    </xsd:element>
    <xsd:element name="g1c9cab47ab34847b4ac830bba5063b0" ma:index="18" nillable="true" ma:taxonomy="true" ma:internalName="g1c9cab47ab34847b4ac830bba5063b0" ma:taxonomyFieldName="FinmaCatchphrases" ma:displayName="Schlagwort" ma:fieldId="{01c9cab4-7ab3-4847-b4ac-830bba5063b0}" ma:taxonomyMulti="true" ma:sspId="1614e331-078d-4830-aac2-889f77d1de05" ma:termSetId="35ed469d-bfb4-4e58-83fd-01918edae149" ma:anchorId="00000000-0000-0000-0000-000000000000" ma:open="false" ma:isKeyword="false">
      <xsd:complexType>
        <xsd:sequence>
          <xsd:element ref="pc:Terms" minOccurs="0" maxOccurs="1"/>
        </xsd:sequence>
      </xsd:complexType>
    </xsd:element>
    <xsd:element name="h5452bf913d342ef967d06fb0970c0a5" ma:index="20" nillable="true" ma:taxonomy="true" ma:internalName="h5452bf913d342ef967d06fb0970c0a5" ma:taxonomyFieldName="FinmaCategory" ma:displayName="Kategorie" ma:fieldId="{15452bf9-13d3-42ef-967d-06fb0970c0a5}" ma:sspId="1614e331-078d-4830-aac2-889f77d1de05" ma:termSetId="76a2fa96-3e9b-4d62-901d-d1895154867f" ma:anchorId="de8e377e-5092-4bcb-9739-6ef0d154a6b9" ma:open="false" ma:isKeyword="false">
      <xsd:complexType>
        <xsd:sequence>
          <xsd:element ref="pc:Terms" minOccurs="0" maxOccurs="1"/>
        </xsd:sequence>
      </xsd:complexType>
    </xsd:element>
    <xsd:element name="n1f5c6536ac648a38ad663cdf8bd44e6" ma:index="22" nillable="true" ma:taxonomy="true" ma:internalName="n1f5c6536ac648a38ad663cdf8bd44e6" ma:taxonomyFieldName="FinmaCrmEntityIDs" ma:displayName="CRM Verknüpfung IDs" ma:fieldId="{71f5c653-6ac6-48a3-8ad6-63cdf8bd44e6}" ma:taxonomyMulti="true" ma:sspId="1614e331-078d-4830-aac2-889f77d1de05" ma:termSetId="007556a7-71c6-4a46-9c24-71f35aa16e93" ma:anchorId="fc6e2f94-ec5b-4b25-829d-c96b59440ef4" ma:open="true" ma:isKeyword="false">
      <xsd:complexType>
        <xsd:sequence>
          <xsd:element ref="pc:Terms" minOccurs="0" maxOccurs="1"/>
        </xsd:sequence>
      </xsd:complexType>
    </xsd:element>
    <xsd:element name="FinmaPasswordProtected" ma:index="24" nillable="true" ma:displayName="Passwortgeschützt" ma:internalName="FinmaPasswordProtected">
      <xsd:simpleType>
        <xsd:restriction base="dms:Boolean"/>
      </xsd:simpleType>
    </xsd:element>
    <xsd:element name="FinmaValidationDate" ma:index="25" nillable="true" ma:displayName="Prüfzeitpunkt" ma:format="DateTime" ma:internalName="FinmaValidationDate">
      <xsd:simpleType>
        <xsd:restriction base="dms:DateTime"/>
      </xsd:simpleType>
    </xsd:element>
    <xsd:element name="FinmaValidationResult" ma:index="27" nillable="true" ma:displayName="ValidationResults" ma:internalName="FinmaValidationResult">
      <xsd:simpleType>
        <xsd:restriction base="dms:Note">
          <xsd:maxLength value="255"/>
        </xsd:restriction>
      </xsd:simpleType>
    </xsd:element>
    <xsd:element name="FinmaObjectId" ma:index="28" nillable="true" ma:displayName="Finma Objekt ID" ma:default="Eidgenössische Finanzmarktaufsicht FINMA (F00164912)" ma:internalName="FinmaObjectId">
      <xsd:simpleType>
        <xsd:restriction base="dms:Text">
          <xsd:maxLength value="255"/>
        </xsd:restriction>
      </xsd:simpleType>
    </xsd:element>
    <xsd:element name="FinmaObjectName" ma:index="29" nillable="true" ma:displayName="Finma Objekt Bezeichnung" ma:default="F00164912" ma:internalName="FinmaObjectName">
      <xsd:simpleType>
        <xsd:restriction base="dms:Text">
          <xsd:maxLength value="255"/>
        </xsd:restriction>
      </xsd:simpleType>
    </xsd:element>
    <xsd:element name="Aktionswert" ma:index="30" nillable="true" ma:displayName="Aktionswert" ma:hidden="true" ma:internalName="Aktionswert"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41ec083-eb60-4400-a1ca-8b175769cd15">
      <Value>1</Value>
    </TaxCatchAll>
    <Aktionswert xmlns="e41ec083-eb60-4400-a1ca-8b175769cd15" xsi:nil="true"/>
    <_dlc_DocId xmlns="e41ec083-eb60-4400-a1ca-8b175769cd15">G01009336-001765</_dlc_DocId>
    <_dlc_DocIdUrl xmlns="e41ec083-eb60-4400-a1ca-8b175769cd15">
      <Url>https://gdok.finma.ch/container/217/_layouts/15/DocIdRedir.aspx?ID=G01009336-001765</Url>
      <Description>G01009336-001765</Description>
    </_dlc_DocIdUrl>
    <FinmaPasswordProtected xmlns="e41ec083-eb60-4400-a1ca-8b175769cd15">false</FinmaPasswordProtected>
    <f6ac7f7711e24d149a1ab98f6cfad432 xmlns="e41ec083-eb60-4400-a1ca-8b175769cd15">
      <Terms xmlns="http://schemas.microsoft.com/office/infopath/2007/PartnerControls">
        <TermInfo xmlns="http://schemas.microsoft.com/office/infopath/2007/PartnerControls">
          <TermName xmlns="http://schemas.microsoft.com/office/infopath/2007/PartnerControls">Aktiv</TermName>
          <TermId xmlns="http://schemas.microsoft.com/office/infopath/2007/PartnerControls">7439e81f-a110-4e88-a7af-acf8d4806223</TermId>
        </TermInfo>
      </Terms>
    </f6ac7f7711e24d149a1ab98f6cfad432>
    <FinmaValidationDate xmlns="e41ec083-eb60-4400-a1ca-8b175769cd15">2020-04-02T05:56:03+00:00</FinmaValidationDate>
    <FinmaDocumentDate xmlns="e41ec083-eb60-4400-a1ca-8b175769cd15">2019-10-21T09:41:59+00:00</FinmaDocumentDate>
    <FinmaValidationResult xmlns="e41ec083-eb60-4400-a1ca-8b175769cd15" xsi:nil="true"/>
    <FinmaObjectName xmlns="e41ec083-eb60-4400-a1ca-8b175769cd15">F00164912</FinmaObjectName>
    <h5452bf913d342ef967d06fb0970c0a5 xmlns="e41ec083-eb60-4400-a1ca-8b175769cd15">
      <Terms xmlns="http://schemas.microsoft.com/office/infopath/2007/PartnerControls"/>
    </h5452bf913d342ef967d06fb0970c0a5>
    <g1c9cab47ab34847b4ac830bba5063b0 xmlns="e41ec083-eb60-4400-a1ca-8b175769cd15">
      <Terms xmlns="http://schemas.microsoft.com/office/infopath/2007/PartnerControls"/>
    </g1c9cab47ab34847b4ac830bba5063b0>
    <FinmaCaseDescription xmlns="e41ec083-eb60-4400-a1ca-8b175769cd15">Verantwortliche Koordination Prüfwesen (G01009336)</FinmaCaseDescription>
    <FinmaCaseID xmlns="e41ec083-eb60-4400-a1ca-8b175769cd15">G01009336</FinmaCaseID>
    <n1f5c6536ac648a38ad663cdf8bd44e6 xmlns="e41ec083-eb60-4400-a1ca-8b175769cd15">
      <Terms xmlns="http://schemas.microsoft.com/office/infopath/2007/PartnerControls"/>
    </n1f5c6536ac648a38ad663cdf8bd44e6>
    <FinmaObjectId xmlns="e41ec083-eb60-4400-a1ca-8b175769cd15">Eidgenössische Finanzmarktaufsicht FINMA (F00164912)</FinmaObjectId>
  </documentManagement>
</p:properties>
</file>

<file path=customXml/item5.xml><?xml version="1.0" encoding="utf-8"?>
<docugate xmlns="http://www.docugate.com/2014/dgxml" ResetInterfaceCacheAfterDocCreation="false" FreeDocumentSelection="true">
  <template doclanguage="Deutsch" id="" workflowdocumentid="b7c2dd74-0f88-4c30-8b29-6656f247378d">
    <docproperties>
      <saveaslocation>https://org.finma.ch/sites/8010-T/Dossiers/Suitability/Neue Prüfprogramme Suitability</saveaslocation>
      <dossier_id>8010-T-2-9515</dossier_id>
      <dossier_titel>Suitability</dossier_titel>
      <dossier_aktenzeichen>8010-T-2-9515 - 00 Allgemeines</dossier_aktenzeichen>
      <dossier_osp_nr>00</dossier_osp_nr>
      <dossier_kategorie>
      </dossier_kategorie>
      <geschaeft_id>
      </geschaeft_id>
      <geschaeft_federfuehrende_oe>M-GWS</geschaeft_federfuehrende_oe>
      <geschaeft_datum_eroeffnen>
      </geschaeft_datum_eroeffnen>
      <aktionsname/>
      <aktionswert/>
      <addresses/>
    </docproperties>
  </template>
</docugate>
</file>

<file path=customXml/item6.xml><?xml version="1.0" encoding="utf-8"?>
<document xmlns="http://www.docugate.com/2015/docugatedatastorexml">
  <snapins xmlns=""/>
</document>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B7ED4-ED78-49B8-A752-26705A173749}"/>
</file>

<file path=customXml/itemProps2.xml><?xml version="1.0" encoding="utf-8"?>
<ds:datastoreItem xmlns:ds="http://schemas.openxmlformats.org/officeDocument/2006/customXml" ds:itemID="{74DA4F34-35BB-490D-8C5E-0B8713762993}"/>
</file>

<file path=customXml/itemProps3.xml><?xml version="1.0" encoding="utf-8"?>
<ds:datastoreItem xmlns:ds="http://schemas.openxmlformats.org/officeDocument/2006/customXml" ds:itemID="{2D78977F-0204-4763-9C2D-0EC7A0684711}"/>
</file>

<file path=customXml/itemProps4.xml><?xml version="1.0" encoding="utf-8"?>
<ds:datastoreItem xmlns:ds="http://schemas.openxmlformats.org/officeDocument/2006/customXml" ds:itemID="{D3A95F01-78AC-4A48-955B-0A14D9A2825B}"/>
</file>

<file path=customXml/itemProps5.xml><?xml version="1.0" encoding="utf-8"?>
<ds:datastoreItem xmlns:ds="http://schemas.openxmlformats.org/officeDocument/2006/customXml" ds:itemID="{6E662E59-6E23-4309-9696-D239F9E725C2}"/>
</file>

<file path=customXml/itemProps6.xml><?xml version="1.0" encoding="utf-8"?>
<ds:datastoreItem xmlns:ds="http://schemas.openxmlformats.org/officeDocument/2006/customXml" ds:itemID="{549F0439-3EAB-40D2-928F-4162FA4B562E}"/>
</file>

<file path=customXml/itemProps7.xml><?xml version="1.0" encoding="utf-8"?>
<ds:datastoreItem xmlns:ds="http://schemas.openxmlformats.org/officeDocument/2006/customXml" ds:itemID="{0182809A-C3FE-46D9-BAE2-5A33BF7D5A98}"/>
</file>

<file path=docProps/app.xml><?xml version="1.0" encoding="utf-8"?>
<Properties xmlns="http://schemas.openxmlformats.org/officeDocument/2006/extended-properties" xmlns:vt="http://schemas.openxmlformats.org/officeDocument/2006/docPropsVTypes">
  <Template>Normal.dotm</Template>
  <TotalTime>0</TotalTime>
  <Pages>16</Pages>
  <Words>3140</Words>
  <Characters>24257</Characters>
  <Application>Microsoft Office Word</Application>
  <DocSecurity>0</DocSecurity>
  <Lines>202</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2020-04-02T05:55:00Z</dcterms:created>
  <dcterms:modified xsi:type="dcterms:W3CDTF">2020-04-02T05:55:00Z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0x0101003A499141982C43AFAF241BDE541C18D500F5B3EB93A2E6FC40BDA27E9A03F99C52</vt:lpwstr>
  </property>
  <property fmtid="{D5CDD505-2E9C-101B-9397-08002B2CF9AE}" pid="3" name="Ordnungsposition">
    <vt:lpwstr>18</vt:lpwstr>
  </property>
  <property fmtid="{D5CDD505-2E9C-101B-9397-08002B2CF9AE}" pid="4" name="Schlagwort">
    <vt:lpwstr/>
  </property>
  <property fmtid="{D5CDD505-2E9C-101B-9397-08002B2CF9AE}" pid="5" name="_dlc_DocIdItemGuid">
    <vt:lpwstr>73f3f1c6-437c-4f96-b83d-c5f2e48bc30b</vt:lpwstr>
  </property>
  <property fmtid="{D5CDD505-2E9C-101B-9397-08002B2CF9AE}" pid="6" name="Schlagwort KategorieTaxHTField0">
    <vt:lpwstr/>
  </property>
  <property fmtid="{D5CDD505-2E9C-101B-9397-08002B2CF9AE}" pid="7" name="FinmaReceiver">
    <vt:lpwstr/>
  </property>
  <property fmtid="{D5CDD505-2E9C-101B-9397-08002B2CF9AE}" pid="8" name="FinmaSender">
    <vt:lpwstr/>
  </property>
  <property fmtid="{D5CDD505-2E9C-101B-9397-08002B2CF9AE}" pid="9" name="FinmaCrmEntityIDs">
    <vt:lpwstr/>
  </property>
  <property fmtid="{D5CDD505-2E9C-101B-9397-08002B2CF9AE}" pid="10" name="Schlagwort Kategorie">
    <vt:lpwstr/>
  </property>
  <property fmtid="{D5CDD505-2E9C-101B-9397-08002B2CF9AE}" pid="11" name="FinmaCatchphrases">
    <vt:lpwstr/>
  </property>
  <property fmtid="{D5CDD505-2E9C-101B-9397-08002B2CF9AE}" pid="12" name="FinmaCaseStatus">
    <vt:lpwstr>1;#Aktiv|7439e81f-a110-4e88-a7af-acf8d4806223</vt:lpwstr>
  </property>
  <property fmtid="{D5CDD505-2E9C-101B-9397-08002B2CF9AE}" pid="13" name="FinmaCategory">
    <vt:lpwstr/>
  </property>
  <property fmtid="{D5CDD505-2E9C-101B-9397-08002B2CF9AE}" pid="14" name="Dossier Typ">
    <vt:lpwstr/>
  </property>
  <property fmtid="{D5CDD505-2E9C-101B-9397-08002B2CF9AE}" pid="15" name="Kategorie">
    <vt:lpwstr/>
  </property>
</Properties>
</file>