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DCBE" w14:textId="77777777" w:rsidR="00891C11" w:rsidRPr="00DB7CF3" w:rsidRDefault="00891C11" w:rsidP="00F1197E">
      <w:pPr>
        <w:spacing w:before="120" w:after="120" w:line="240" w:lineRule="auto"/>
        <w:ind w:left="90"/>
        <w:rPr>
          <w:rFonts w:cs="Arial"/>
          <w:b/>
        </w:rPr>
      </w:pPr>
      <w:bookmarkStart w:id="0" w:name="BkMod_000"/>
      <w:r>
        <w:rPr>
          <w:b/>
        </w:rPr>
        <w:t>Übersicht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00"/>
        <w:gridCol w:w="11285"/>
      </w:tblGrid>
      <w:tr w:rsidR="00891C11" w:rsidRPr="00E75CFD" w14:paraId="2C5853FA" w14:textId="77777777" w:rsidTr="00A301F0">
        <w:tc>
          <w:tcPr>
            <w:tcW w:w="2694" w:type="dxa"/>
            <w:shd w:val="pct10" w:color="auto" w:fill="auto"/>
          </w:tcPr>
          <w:p w14:paraId="3F59435C" w14:textId="7539B0B6" w:rsidR="00891C11" w:rsidRPr="009438B7" w:rsidRDefault="00891C11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  <w:szCs w:val="18"/>
              </w:rPr>
            </w:pPr>
            <w:r>
              <w:rPr>
                <w:b/>
              </w:rPr>
              <w:t>Prüf</w:t>
            </w:r>
            <w:r w:rsidR="00572DC5">
              <w:rPr>
                <w:b/>
              </w:rPr>
              <w:t>feld</w:t>
            </w:r>
          </w:p>
        </w:tc>
        <w:tc>
          <w:tcPr>
            <w:tcW w:w="11701" w:type="dxa"/>
            <w:shd w:val="pct10" w:color="auto" w:fill="auto"/>
          </w:tcPr>
          <w:p w14:paraId="06B6C2B5" w14:textId="5CD89405" w:rsidR="00891C11" w:rsidRPr="00E75CFD" w:rsidRDefault="008C5D1B" w:rsidP="00353668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b/>
                <w:szCs w:val="18"/>
              </w:rPr>
            </w:pPr>
            <w:r w:rsidRPr="00F1197E">
              <w:rPr>
                <w:b/>
              </w:rPr>
              <w:t>Verhaltensregeln / Marktverhalten und Marktintegrität</w:t>
            </w:r>
            <w:r w:rsidR="00891C11">
              <w:rPr>
                <w:b/>
              </w:rPr>
              <w:t xml:space="preserve"> </w:t>
            </w:r>
          </w:p>
        </w:tc>
      </w:tr>
      <w:tr w:rsidR="00891C11" w:rsidRPr="00F6760D" w14:paraId="44B20800" w14:textId="77777777" w:rsidTr="00A301F0">
        <w:tc>
          <w:tcPr>
            <w:tcW w:w="2694" w:type="dxa"/>
            <w:shd w:val="pct10" w:color="auto" w:fill="auto"/>
          </w:tcPr>
          <w:p w14:paraId="539A5677" w14:textId="45859C92" w:rsidR="00891C11" w:rsidRPr="009438B7" w:rsidRDefault="00891C11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  <w:szCs w:val="18"/>
              </w:rPr>
            </w:pPr>
            <w:r>
              <w:rPr>
                <w:b/>
              </w:rPr>
              <w:t>Prüftiefe</w:t>
            </w:r>
          </w:p>
        </w:tc>
        <w:tc>
          <w:tcPr>
            <w:tcW w:w="11701" w:type="dxa"/>
            <w:shd w:val="pct10" w:color="auto" w:fill="auto"/>
          </w:tcPr>
          <w:p w14:paraId="62F3F95B" w14:textId="77777777" w:rsidR="00891C11" w:rsidRPr="0045532C" w:rsidRDefault="00891C11" w:rsidP="00E71689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szCs w:val="18"/>
              </w:rPr>
            </w:pPr>
            <w:r>
              <w:rPr>
                <w:highlight w:val="yellow"/>
              </w:rPr>
              <w:t>[Prüfung / kritische Beurteilung]</w:t>
            </w:r>
          </w:p>
        </w:tc>
      </w:tr>
      <w:tr w:rsidR="00891C11" w:rsidRPr="00431A33" w14:paraId="3F25F546" w14:textId="77777777" w:rsidTr="00A301F0">
        <w:trPr>
          <w:trHeight w:val="719"/>
        </w:trPr>
        <w:tc>
          <w:tcPr>
            <w:tcW w:w="2694" w:type="dxa"/>
          </w:tcPr>
          <w:p w14:paraId="41123448" w14:textId="31D47890" w:rsidR="00E71689" w:rsidRPr="00EB30C0" w:rsidRDefault="00E71689" w:rsidP="00E71689">
            <w:pPr>
              <w:tabs>
                <w:tab w:val="left" w:pos="1418"/>
              </w:tabs>
              <w:spacing w:line="240" w:lineRule="auto"/>
              <w:rPr>
                <w:rFonts w:cs="Arial"/>
                <w:b/>
              </w:rPr>
            </w:pPr>
            <w:r>
              <w:rPr>
                <w:b/>
              </w:rPr>
              <w:t>Vorschriften</w:t>
            </w:r>
          </w:p>
          <w:p w14:paraId="30E04E35" w14:textId="272A2733" w:rsidR="00891C11" w:rsidRPr="009438B7" w:rsidRDefault="00E71689" w:rsidP="000760CE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</w:rPr>
            </w:pPr>
            <w:r>
              <w:t>(</w:t>
            </w:r>
            <w:r w:rsidR="00D6070E">
              <w:t xml:space="preserve">Liste ist </w:t>
            </w:r>
            <w:r>
              <w:t>nicht</w:t>
            </w:r>
            <w:r w:rsidR="00D6070E">
              <w:t xml:space="preserve"> </w:t>
            </w:r>
            <w:r>
              <w:t>abschliessend)</w:t>
            </w:r>
          </w:p>
        </w:tc>
        <w:tc>
          <w:tcPr>
            <w:tcW w:w="11701" w:type="dxa"/>
          </w:tcPr>
          <w:p w14:paraId="282510E9" w14:textId="18349F38" w:rsidR="00891C11" w:rsidRDefault="00891C11" w:rsidP="00E71689">
            <w:pPr>
              <w:tabs>
                <w:tab w:val="left" w:pos="1859"/>
              </w:tabs>
              <w:spacing w:before="120" w:after="120" w:line="240" w:lineRule="auto"/>
            </w:pPr>
            <w:r>
              <w:t>Art.</w:t>
            </w:r>
            <w:r w:rsidR="000760CE">
              <w:t> </w:t>
            </w:r>
            <w:r>
              <w:t>14 und 20</w:t>
            </w:r>
            <w:r w:rsidR="000760CE">
              <w:t> </w:t>
            </w:r>
            <w:r>
              <w:t>KAG, Art.</w:t>
            </w:r>
            <w:r w:rsidR="000760CE">
              <w:t> </w:t>
            </w:r>
            <w:r>
              <w:t>12 und 12a</w:t>
            </w:r>
            <w:r w:rsidR="000760CE">
              <w:t> </w:t>
            </w:r>
            <w:r>
              <w:t>KKV</w:t>
            </w:r>
          </w:p>
          <w:p w14:paraId="6136EC69" w14:textId="1CF795B7" w:rsidR="0080161F" w:rsidRPr="0080161F" w:rsidRDefault="0080161F" w:rsidP="0080161F">
            <w:pPr>
              <w:tabs>
                <w:tab w:val="left" w:pos="1859"/>
              </w:tabs>
            </w:pPr>
            <w:r>
              <w:t>Art. 9</w:t>
            </w:r>
            <w:r w:rsidR="00872605">
              <w:t xml:space="preserve"> und 11</w:t>
            </w:r>
            <w:r w:rsidR="00697C83">
              <w:t xml:space="preserve"> FINIG</w:t>
            </w:r>
            <w:r w:rsidR="00943495">
              <w:t xml:space="preserve">, </w:t>
            </w:r>
            <w:r>
              <w:t>Art. 12,</w:t>
            </w:r>
            <w:r w:rsidR="0075284C">
              <w:t xml:space="preserve"> 39, 41,</w:t>
            </w:r>
            <w:r w:rsidR="000A5F8D">
              <w:t xml:space="preserve"> </w:t>
            </w:r>
            <w:r w:rsidR="0075284C">
              <w:t xml:space="preserve">55 und 57 </w:t>
            </w:r>
            <w:r w:rsidR="00697C83">
              <w:t>FINIV</w:t>
            </w:r>
          </w:p>
          <w:p w14:paraId="31068354" w14:textId="6F6EEB86" w:rsidR="00891C11" w:rsidRDefault="00891C11" w:rsidP="00E71689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</w:rPr>
            </w:pPr>
            <w:r>
              <w:t>Art.</w:t>
            </w:r>
            <w:r w:rsidR="00B4531C">
              <w:t> </w:t>
            </w:r>
            <w:r>
              <w:t>38</w:t>
            </w:r>
            <w:r w:rsidR="00B4531C">
              <w:t>–</w:t>
            </w:r>
            <w:r>
              <w:t>39, 58</w:t>
            </w:r>
            <w:r w:rsidR="00B4531C">
              <w:t>–</w:t>
            </w:r>
            <w:r>
              <w:t>59, 73, 142</w:t>
            </w:r>
            <w:r w:rsidR="00B4531C">
              <w:t>–</w:t>
            </w:r>
            <w:r>
              <w:t>143 FinfraG, Art.</w:t>
            </w:r>
            <w:r w:rsidR="00B4531C">
              <w:t> </w:t>
            </w:r>
            <w:r>
              <w:t>36</w:t>
            </w:r>
            <w:r w:rsidR="00B4531C">
              <w:t>–</w:t>
            </w:r>
            <w:r>
              <w:t>37, 122–128 FinfraV, Art. 1–5 FinfraV-FINMA</w:t>
            </w:r>
          </w:p>
          <w:p w14:paraId="61E8E855" w14:textId="03D2CC74" w:rsidR="00891C11" w:rsidRPr="00090150" w:rsidRDefault="00891C11" w:rsidP="0080161F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</w:rPr>
            </w:pPr>
            <w:r>
              <w:t>FINMA-Rundschreiben 2013/8</w:t>
            </w:r>
            <w:r w:rsidR="0080161F">
              <w:t xml:space="preserve"> Marktverhaltensregeln</w:t>
            </w:r>
            <w:r w:rsidR="0080161F">
              <w:br/>
              <w:t xml:space="preserve"> </w:t>
            </w:r>
          </w:p>
        </w:tc>
      </w:tr>
      <w:tr w:rsidR="00891C11" w:rsidRPr="007170C8" w14:paraId="020785AB" w14:textId="77777777" w:rsidTr="00A301F0">
        <w:trPr>
          <w:trHeight w:val="2160"/>
        </w:trPr>
        <w:tc>
          <w:tcPr>
            <w:tcW w:w="2694" w:type="dxa"/>
          </w:tcPr>
          <w:p w14:paraId="75761E93" w14:textId="77777777" w:rsidR="00891C11" w:rsidRDefault="00891C11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</w:rPr>
            </w:pPr>
            <w:r>
              <w:rPr>
                <w:b/>
              </w:rPr>
              <w:t>Sign-offs:</w:t>
            </w:r>
          </w:p>
          <w:p w14:paraId="1EE4A68D" w14:textId="77777777" w:rsidR="008C70FA" w:rsidRDefault="008C70FA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</w:rPr>
            </w:pPr>
          </w:p>
          <w:p w14:paraId="029CCEF2" w14:textId="77777777" w:rsidR="008C70FA" w:rsidRDefault="008C70FA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</w:rPr>
            </w:pPr>
          </w:p>
          <w:p w14:paraId="6B262D1F" w14:textId="77777777" w:rsidR="008C70FA" w:rsidRDefault="008C70FA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</w:rPr>
            </w:pPr>
          </w:p>
          <w:p w14:paraId="65F96796" w14:textId="77777777" w:rsidR="008C70FA" w:rsidRDefault="008C70FA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</w:rPr>
            </w:pPr>
          </w:p>
          <w:p w14:paraId="2E3F4397" w14:textId="52EF8BBF" w:rsidR="008C70FA" w:rsidRPr="00A7280C" w:rsidRDefault="008C70FA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  <w:sz w:val="30"/>
                <w:szCs w:val="30"/>
              </w:rPr>
            </w:pPr>
          </w:p>
        </w:tc>
        <w:tc>
          <w:tcPr>
            <w:tcW w:w="11701" w:type="dxa"/>
          </w:tcPr>
          <w:p w14:paraId="4C10C46F" w14:textId="77777777" w:rsidR="00891C11" w:rsidRPr="0045532C" w:rsidRDefault="00891C11" w:rsidP="00E71689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sz w:val="2"/>
                <w:szCs w:val="2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944"/>
              <w:gridCol w:w="3537"/>
              <w:gridCol w:w="3398"/>
              <w:gridCol w:w="2180"/>
            </w:tblGrid>
            <w:tr w:rsidR="00891C11" w:rsidRPr="00090150" w14:paraId="4D348C5A" w14:textId="77777777" w:rsidTr="00A301F0">
              <w:tc>
                <w:tcPr>
                  <w:tcW w:w="2013" w:type="dxa"/>
                  <w:shd w:val="clear" w:color="auto" w:fill="D9D9D9" w:themeFill="background1" w:themeFillShade="D9"/>
                </w:tcPr>
                <w:p w14:paraId="3A4CA23A" w14:textId="3138BF74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Sign-offs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28F864FC" w14:textId="4BB45A02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Name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5C46F030" w14:textId="5BB50AE9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Funktion</w:t>
                  </w:r>
                </w:p>
              </w:tc>
              <w:tc>
                <w:tcPr>
                  <w:tcW w:w="2228" w:type="dxa"/>
                  <w:shd w:val="clear" w:color="auto" w:fill="D9D9D9" w:themeFill="background1" w:themeFillShade="D9"/>
                </w:tcPr>
                <w:p w14:paraId="287936B5" w14:textId="7B29425A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Datum</w:t>
                  </w:r>
                </w:p>
              </w:tc>
            </w:tr>
            <w:tr w:rsidR="00891C11" w:rsidRPr="007170C8" w14:paraId="1A0B22A7" w14:textId="77777777" w:rsidTr="00A301F0">
              <w:tc>
                <w:tcPr>
                  <w:tcW w:w="2013" w:type="dxa"/>
                </w:tcPr>
                <w:p w14:paraId="73F94749" w14:textId="7BB35A94" w:rsidR="00891C11" w:rsidRPr="0045532C" w:rsidRDefault="005B047F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Ersteller:</w:t>
                  </w:r>
                </w:p>
              </w:tc>
              <w:tc>
                <w:tcPr>
                  <w:tcW w:w="3685" w:type="dxa"/>
                </w:tcPr>
                <w:p w14:paraId="3D30BF9E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[Name]</w:t>
                  </w:r>
                </w:p>
              </w:tc>
              <w:tc>
                <w:tcPr>
                  <w:tcW w:w="3544" w:type="dxa"/>
                </w:tcPr>
                <w:p w14:paraId="1233F33B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[Assistent / Senior / Manager / Senior Manager / Partner]</w:t>
                  </w:r>
                </w:p>
              </w:tc>
              <w:tc>
                <w:tcPr>
                  <w:tcW w:w="2228" w:type="dxa"/>
                </w:tcPr>
                <w:p w14:paraId="6E06E84F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[TT.MM.JJJJ]</w:t>
                  </w:r>
                </w:p>
              </w:tc>
            </w:tr>
            <w:tr w:rsidR="00891C11" w:rsidRPr="007170C8" w14:paraId="76F51D8C" w14:textId="77777777" w:rsidTr="00A301F0">
              <w:tc>
                <w:tcPr>
                  <w:tcW w:w="2013" w:type="dxa"/>
                </w:tcPr>
                <w:p w14:paraId="383D0F33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Reviewer:</w:t>
                  </w:r>
                </w:p>
              </w:tc>
              <w:tc>
                <w:tcPr>
                  <w:tcW w:w="3685" w:type="dxa"/>
                </w:tcPr>
                <w:p w14:paraId="197CE9A7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[Name]</w:t>
                  </w:r>
                </w:p>
              </w:tc>
              <w:tc>
                <w:tcPr>
                  <w:tcW w:w="3544" w:type="dxa"/>
                </w:tcPr>
                <w:p w14:paraId="681C6224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 xml:space="preserve">[Senior / Manager / Senior Manager </w:t>
                  </w:r>
                  <w:r>
                    <w:rPr>
                      <w:rFonts w:cs="Arial"/>
                      <w:sz w:val="18"/>
                      <w:szCs w:val="18"/>
                      <w:highlight w:val="yellow"/>
                    </w:rPr>
                    <w:br/>
                  </w:r>
                  <w:r>
                    <w:rPr>
                      <w:sz w:val="18"/>
                      <w:highlight w:val="yellow"/>
                    </w:rPr>
                    <w:t>/ Partner]</w:t>
                  </w:r>
                </w:p>
              </w:tc>
              <w:tc>
                <w:tcPr>
                  <w:tcW w:w="2228" w:type="dxa"/>
                </w:tcPr>
                <w:p w14:paraId="23EDDAF1" w14:textId="77777777" w:rsidR="00891C11" w:rsidRPr="0045532C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[TT.MM.JJJJ]</w:t>
                  </w:r>
                </w:p>
              </w:tc>
            </w:tr>
          </w:tbl>
          <w:p w14:paraId="347B876F" w14:textId="77777777" w:rsidR="00891C11" w:rsidRPr="00A7280C" w:rsidRDefault="00891C11" w:rsidP="00E71689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sz w:val="12"/>
                <w:szCs w:val="12"/>
              </w:rPr>
            </w:pPr>
          </w:p>
        </w:tc>
      </w:tr>
    </w:tbl>
    <w:p w14:paraId="759FAA83" w14:textId="77777777" w:rsidR="00891C11" w:rsidRPr="0045532C" w:rsidRDefault="00891C11" w:rsidP="00E71689">
      <w:pPr>
        <w:spacing w:before="120" w:after="120" w:line="240" w:lineRule="auto"/>
        <w:rPr>
          <w:rFonts w:cs="Arial"/>
        </w:rPr>
      </w:pPr>
    </w:p>
    <w:p w14:paraId="5F93825E" w14:textId="1B48567E" w:rsidR="00891C11" w:rsidRDefault="00891C11" w:rsidP="00E20E3F">
      <w:pPr>
        <w:spacing w:before="120" w:after="120" w:line="240" w:lineRule="auto"/>
        <w:jc w:val="both"/>
      </w:pPr>
      <w:r>
        <w:rPr>
          <w:b/>
        </w:rPr>
        <w:t xml:space="preserve">Dies ist ein Standard-Prüfprogramm. Es liegt in der Verantwortung des Prüfteams, das Standard-Prüfprogramm an die spezifische Situation (Grösse, Geschäftsmodell, Organisation, Prozesse, Risikoexposure usw.) des geprüften Instituts anzupassen. Werden </w:t>
      </w:r>
      <w:r w:rsidR="002179C5">
        <w:rPr>
          <w:b/>
        </w:rPr>
        <w:t xml:space="preserve">angegebenen </w:t>
      </w:r>
      <w:r w:rsidR="00504366">
        <w:rPr>
          <w:b/>
        </w:rPr>
        <w:t xml:space="preserve">Prüfpunkte </w:t>
      </w:r>
      <w:r>
        <w:rPr>
          <w:b/>
        </w:rPr>
        <w:t>nicht vollständig durchgeführt, ist in den Arbeitspapieren eine aussagekräftige Erläuterung dazu anzubringen.</w:t>
      </w:r>
      <w:r>
        <w:br w:type="page"/>
      </w:r>
    </w:p>
    <w:p w14:paraId="38FD32E8" w14:textId="77777777" w:rsidR="00891C11" w:rsidRPr="00003E26" w:rsidRDefault="00891C11" w:rsidP="00F1197E">
      <w:pPr>
        <w:spacing w:before="120" w:after="120" w:line="240" w:lineRule="auto"/>
        <w:ind w:left="90"/>
        <w:rPr>
          <w:rFonts w:cs="Arial"/>
          <w:b/>
        </w:rPr>
      </w:pPr>
      <w:r>
        <w:rPr>
          <w:b/>
        </w:rPr>
        <w:lastRenderedPageBreak/>
        <w:t>Abschliessende Zusammenfassung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63"/>
        <w:gridCol w:w="11122"/>
      </w:tblGrid>
      <w:tr w:rsidR="00891C11" w:rsidRPr="0045532C" w14:paraId="3BECFDAC" w14:textId="77777777" w:rsidTr="00A301F0">
        <w:trPr>
          <w:trHeight w:val="552"/>
          <w:tblHeader/>
        </w:trPr>
        <w:tc>
          <w:tcPr>
            <w:tcW w:w="2835" w:type="dxa"/>
            <w:shd w:val="pct15" w:color="auto" w:fill="auto"/>
          </w:tcPr>
          <w:p w14:paraId="6496B131" w14:textId="4BDF153E" w:rsidR="00891C11" w:rsidRPr="0045532C" w:rsidRDefault="00891C11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Thema</w:t>
            </w:r>
          </w:p>
        </w:tc>
        <w:tc>
          <w:tcPr>
            <w:tcW w:w="11482" w:type="dxa"/>
            <w:shd w:val="pct15" w:color="auto" w:fill="auto"/>
          </w:tcPr>
          <w:p w14:paraId="04188683" w14:textId="49F5BE56" w:rsidR="00891C11" w:rsidRPr="0045532C" w:rsidRDefault="00891C11" w:rsidP="00E71689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Information / Beschreibung</w:t>
            </w:r>
          </w:p>
        </w:tc>
      </w:tr>
      <w:tr w:rsidR="00891C11" w:rsidRPr="00A7280C" w14:paraId="60B5F791" w14:textId="77777777" w:rsidTr="00A301F0">
        <w:trPr>
          <w:trHeight w:val="1685"/>
        </w:trPr>
        <w:tc>
          <w:tcPr>
            <w:tcW w:w="2835" w:type="dxa"/>
          </w:tcPr>
          <w:p w14:paraId="64E3AAF4" w14:textId="412AD785" w:rsidR="00891C11" w:rsidRDefault="001747A7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Zusammenfassende Gesamtbeurteilung</w:t>
            </w:r>
          </w:p>
          <w:p w14:paraId="0A525833" w14:textId="77777777" w:rsidR="00E20E3F" w:rsidRDefault="00E20E3F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0191C6C2" w14:textId="77777777" w:rsidR="00E20E3F" w:rsidRDefault="00E20E3F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652F99D7" w14:textId="77777777" w:rsidR="00E20E3F" w:rsidRDefault="00E20E3F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52AF6E5D" w14:textId="77777777" w:rsidR="00E20E3F" w:rsidRDefault="00E20E3F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0DCC7E2A" w14:textId="3322A20C" w:rsidR="00E20E3F" w:rsidRPr="0045532C" w:rsidRDefault="00E20E3F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482" w:type="dxa"/>
          </w:tcPr>
          <w:p w14:paraId="7910BA17" w14:textId="77777777" w:rsidR="00891C11" w:rsidRPr="00E60F3F" w:rsidRDefault="00891C11" w:rsidP="00E71689">
            <w:pPr>
              <w:spacing w:before="120" w:after="120" w:line="240" w:lineRule="auto"/>
              <w:rPr>
                <w:rFonts w:cs="Arial"/>
                <w:sz w:val="6"/>
                <w:szCs w:val="6"/>
                <w:highlight w:val="yellow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499"/>
              <w:gridCol w:w="5397"/>
            </w:tblGrid>
            <w:tr w:rsidR="00891C11" w:rsidRPr="00E60F3F" w14:paraId="6FD3767A" w14:textId="77777777" w:rsidTr="00A301F0">
              <w:tc>
                <w:tcPr>
                  <w:tcW w:w="5620" w:type="dxa"/>
                  <w:shd w:val="clear" w:color="auto" w:fill="D9D9D9" w:themeFill="background1" w:themeFillShade="D9"/>
                  <w:tcMar>
                    <w:left w:w="0" w:type="dxa"/>
                  </w:tcMar>
                </w:tcPr>
                <w:p w14:paraId="11C00456" w14:textId="77777777" w:rsidR="00891C11" w:rsidRPr="00E60F3F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ind w:left="34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Bestätigung im Prüfbericht:</w:t>
                  </w:r>
                </w:p>
              </w:tc>
              <w:tc>
                <w:tcPr>
                  <w:tcW w:w="5514" w:type="dxa"/>
                  <w:shd w:val="clear" w:color="auto" w:fill="D9D9D9" w:themeFill="background1" w:themeFillShade="D9"/>
                </w:tcPr>
                <w:p w14:paraId="0E731403" w14:textId="77777777" w:rsidR="00891C11" w:rsidRPr="00E60F3F" w:rsidRDefault="00891C11" w:rsidP="00E71689">
                  <w:pPr>
                    <w:tabs>
                      <w:tab w:val="left" w:pos="1859"/>
                    </w:tabs>
                    <w:spacing w:before="120" w:after="120" w:line="240" w:lineRule="auto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Zusammenfassung:</w:t>
                  </w:r>
                </w:p>
              </w:tc>
            </w:tr>
            <w:tr w:rsidR="00891C11" w:rsidRPr="00A7280C" w14:paraId="5E7B488B" w14:textId="77777777" w:rsidTr="00A301F0">
              <w:tc>
                <w:tcPr>
                  <w:tcW w:w="5620" w:type="dxa"/>
                  <w:tcMar>
                    <w:left w:w="0" w:type="dxa"/>
                  </w:tcMar>
                </w:tcPr>
                <w:p w14:paraId="1E7519CA" w14:textId="02E931BA" w:rsidR="00891C11" w:rsidRPr="00D15614" w:rsidRDefault="00891C11" w:rsidP="00EF6C71">
                  <w:pPr>
                    <w:spacing w:before="120" w:after="120" w:line="240" w:lineRule="auto"/>
                    <w:ind w:left="34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Bestätigung, dass die internen Weisungen und Methoden / Prozesse zur Identifikation, Messung, Bewirtschaftung und Überwachung der Risiken im Bereich Marktverhalten angemessen waren und im Falle der Prüftiefe „Prüfung“ effektiv angewendet wurden.</w:t>
                  </w:r>
                </w:p>
              </w:tc>
              <w:tc>
                <w:tcPr>
                  <w:tcW w:w="5514" w:type="dxa"/>
                </w:tcPr>
                <w:p w14:paraId="0D6B0A6A" w14:textId="159838A9" w:rsidR="00891C11" w:rsidRPr="00E60F3F" w:rsidRDefault="00891C11" w:rsidP="0088068A">
                  <w:pPr>
                    <w:tabs>
                      <w:tab w:val="left" w:pos="1859"/>
                    </w:tabs>
                    <w:spacing w:before="120" w:after="120" w:line="240" w:lineRule="auto"/>
                    <w:rPr>
                      <w:rFonts w:cs="Arial"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highlight w:val="yellow"/>
                    </w:rPr>
                    <w:t>Ja</w:t>
                  </w:r>
                  <w:r>
                    <w:rPr>
                      <w:i/>
                      <w:sz w:val="16"/>
                      <w:highlight w:val="yellow"/>
                    </w:rPr>
                    <w:t xml:space="preserve"> (Prüfung / kritische Beurteilung) / </w:t>
                  </w:r>
                  <w:r>
                    <w:rPr>
                      <w:b/>
                      <w:i/>
                      <w:sz w:val="16"/>
                      <w:highlight w:val="yellow"/>
                    </w:rPr>
                    <w:t>Nein</w:t>
                  </w:r>
                </w:p>
              </w:tc>
            </w:tr>
          </w:tbl>
          <w:p w14:paraId="3A9AD3A3" w14:textId="77777777" w:rsidR="00891C11" w:rsidRPr="003613F7" w:rsidRDefault="00891C11" w:rsidP="00E71689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45532C" w14:paraId="5C1B9BA0" w14:textId="77777777" w:rsidTr="00A301F0">
        <w:trPr>
          <w:trHeight w:val="561"/>
        </w:trPr>
        <w:tc>
          <w:tcPr>
            <w:tcW w:w="2835" w:type="dxa"/>
          </w:tcPr>
          <w:p w14:paraId="3FE77055" w14:textId="538AEB24" w:rsidR="00891C11" w:rsidRPr="0045532C" w:rsidRDefault="00891C11" w:rsidP="00EF6C71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Zusammenfassung der Prüfresultate</w:t>
            </w:r>
            <w:r w:rsidR="001747A7">
              <w:rPr>
                <w:sz w:val="16"/>
              </w:rPr>
              <w:t xml:space="preserve"> / Beanstandungen und Empfehlungen</w:t>
            </w:r>
            <w:r>
              <w:rPr>
                <w:sz w:val="16"/>
              </w:rPr>
              <w:t xml:space="preserve"> </w:t>
            </w:r>
            <w:r>
              <w:rPr>
                <w:sz w:val="12"/>
              </w:rPr>
              <w:t>(ausführliche Informationen nachstehend)</w:t>
            </w:r>
          </w:p>
        </w:tc>
        <w:tc>
          <w:tcPr>
            <w:tcW w:w="11482" w:type="dxa"/>
          </w:tcPr>
          <w:p w14:paraId="2CCD53FB" w14:textId="284790FD" w:rsidR="00891C11" w:rsidRPr="0045532C" w:rsidRDefault="00891C11" w:rsidP="00EF6C71">
            <w:pPr>
              <w:tabs>
                <w:tab w:val="left" w:pos="1859"/>
              </w:tabs>
              <w:spacing w:before="120" w:after="120" w:line="240" w:lineRule="auto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>[Zusammenfassung der Prüfresultat</w:t>
            </w:r>
            <w:r w:rsidR="002A799C">
              <w:rPr>
                <w:sz w:val="16"/>
                <w:highlight w:val="yellow"/>
              </w:rPr>
              <w:t>e / Beanstandungen und Empfehlungen]</w:t>
            </w:r>
          </w:p>
        </w:tc>
      </w:tr>
      <w:tr w:rsidR="00891C11" w:rsidRPr="0045532C" w14:paraId="5393FB3A" w14:textId="77777777" w:rsidTr="00A301F0">
        <w:trPr>
          <w:trHeight w:val="561"/>
        </w:trPr>
        <w:tc>
          <w:tcPr>
            <w:tcW w:w="2835" w:type="dxa"/>
          </w:tcPr>
          <w:p w14:paraId="2A2E21FE" w14:textId="239AE88D" w:rsidR="00891C11" w:rsidRPr="0045532C" w:rsidRDefault="00891C11" w:rsidP="00E71689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Prüffeld, Prüfresultate und Prüfungshandlungen der Internen Revision, auf die sich die Prüfgesellschaft gestützt hat (einschliesslich Würdigung durch die Prüfgesellschaft)</w:t>
            </w:r>
          </w:p>
        </w:tc>
        <w:tc>
          <w:tcPr>
            <w:tcW w:w="11482" w:type="dxa"/>
          </w:tcPr>
          <w:p w14:paraId="46DAD115" w14:textId="77777777" w:rsidR="00891C11" w:rsidRPr="0045532C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>[Beschreibung]</w:t>
            </w:r>
          </w:p>
        </w:tc>
      </w:tr>
    </w:tbl>
    <w:p w14:paraId="4C454B8E" w14:textId="2DF13E48" w:rsidR="00891C11" w:rsidRPr="00165BF9" w:rsidRDefault="00891C11" w:rsidP="00E71689">
      <w:pPr>
        <w:spacing w:before="120" w:after="120" w:line="240" w:lineRule="auto"/>
        <w:rPr>
          <w:rFonts w:cs="Arial"/>
          <w:b/>
        </w:rPr>
      </w:pPr>
      <w:r>
        <w:br w:type="page"/>
      </w:r>
      <w:r w:rsidR="00504366">
        <w:rPr>
          <w:b/>
        </w:rPr>
        <w:lastRenderedPageBreak/>
        <w:t xml:space="preserve">Prüfpunkte </w:t>
      </w:r>
      <w:r>
        <w:rPr>
          <w:b/>
        </w:rPr>
        <w:t xml:space="preserve">– </w:t>
      </w:r>
      <w:r w:rsidR="00997243" w:rsidRPr="00737A70">
        <w:rPr>
          <w:b/>
        </w:rPr>
        <w:t>Marktverhalten und Marktintegrität</w:t>
      </w:r>
      <w:bookmarkStart w:id="1" w:name="_GoBack"/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2522"/>
        <w:gridCol w:w="3504"/>
        <w:gridCol w:w="3644"/>
        <w:gridCol w:w="2523"/>
        <w:gridCol w:w="1267"/>
      </w:tblGrid>
      <w:tr w:rsidR="00891C11" w14:paraId="1B35E53D" w14:textId="77777777" w:rsidTr="00D02D6B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14:paraId="1970520B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Nr.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508201B" w14:textId="31F97969" w:rsidR="00891C11" w:rsidRPr="00133AB4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Thema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3C45073" w14:textId="6ACB3768" w:rsidR="00891C11" w:rsidRPr="00133AB4" w:rsidRDefault="00891C11" w:rsidP="00EF6C71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Prüfungshandlungen für Prüftiefe </w:t>
            </w:r>
            <w:r w:rsidR="00EF6C71">
              <w:rPr>
                <w:b/>
                <w:sz w:val="16"/>
              </w:rPr>
              <w:t>„</w:t>
            </w:r>
            <w:r>
              <w:rPr>
                <w:b/>
                <w:sz w:val="16"/>
              </w:rPr>
              <w:t>kritische Beurteilung</w:t>
            </w:r>
            <w:r w:rsidR="00EF6C71">
              <w:rPr>
                <w:b/>
                <w:sz w:val="16"/>
              </w:rPr>
              <w:t>“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4F1ECC" w14:textId="111979FC" w:rsidR="00891C11" w:rsidRPr="00133AB4" w:rsidRDefault="00891C11" w:rsidP="001747A7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u w:val="single"/>
              </w:rPr>
              <w:t>Zusätzliche</w:t>
            </w:r>
            <w:r>
              <w:rPr>
                <w:b/>
                <w:sz w:val="16"/>
              </w:rPr>
              <w:t xml:space="preserve"> Prüfungshandlungen für Prüftiefe </w:t>
            </w:r>
            <w:r w:rsidR="00EF6C71">
              <w:rPr>
                <w:b/>
                <w:sz w:val="16"/>
              </w:rPr>
              <w:t>„</w:t>
            </w:r>
            <w:r>
              <w:rPr>
                <w:b/>
                <w:sz w:val="16"/>
              </w:rPr>
              <w:t>Prüfung</w:t>
            </w:r>
            <w:r w:rsidR="00EF6C71">
              <w:rPr>
                <w:b/>
                <w:sz w:val="16"/>
              </w:rPr>
              <w:t>“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F5D5BD7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Durchgeführte Prüfungshandlungen / Feststellungen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5B9917E0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Arbeitspapiere Ref.:</w:t>
            </w:r>
          </w:p>
        </w:tc>
      </w:tr>
      <w:tr w:rsidR="00891C11" w:rsidRPr="00165BF9" w14:paraId="3C7A6D3C" w14:textId="77777777" w:rsidTr="00A301F0">
        <w:tc>
          <w:tcPr>
            <w:tcW w:w="14143" w:type="dxa"/>
            <w:gridSpan w:val="6"/>
            <w:shd w:val="clear" w:color="auto" w:fill="D9D9D9" w:themeFill="background1" w:themeFillShade="D9"/>
          </w:tcPr>
          <w:p w14:paraId="7DA8081C" w14:textId="77777777" w:rsidR="00891C11" w:rsidRPr="001D03FD" w:rsidRDefault="00891C11" w:rsidP="00E7168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1D03FD">
              <w:rPr>
                <w:i/>
                <w:sz w:val="16"/>
                <w:lang w:val="en-US"/>
              </w:rPr>
              <w:t>Confirmation that the internal rules and methods/processes used to identify, measure, manage and control risks in market conduct were adequate and applied effectively where the audit depth was “audit”.</w:t>
            </w:r>
          </w:p>
          <w:p w14:paraId="324C07CB" w14:textId="77777777" w:rsidR="00891C11" w:rsidRPr="008B5012" w:rsidRDefault="00891C11" w:rsidP="00E71689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Bestätigung, dass die internen Weisungen und Methoden / Prozesse zur Identifikation, Messung, Bewirtschaftung und Überwachung der Risiken im Bereich Marktverhalten angemessen waren und im Falle der Prüftiefe „Prüfung“ effektiv angewendet wurden.</w:t>
            </w:r>
          </w:p>
          <w:p w14:paraId="29D3C6B2" w14:textId="77777777" w:rsidR="00891C11" w:rsidRPr="001D03FD" w:rsidRDefault="00891C11" w:rsidP="00E71689">
            <w:pPr>
              <w:spacing w:before="120" w:after="120" w:line="240" w:lineRule="auto"/>
              <w:rPr>
                <w:rFonts w:cs="Arial"/>
                <w:lang w:val="fr-CH"/>
              </w:rPr>
            </w:pPr>
            <w:r w:rsidRPr="001D03FD">
              <w:rPr>
                <w:i/>
                <w:sz w:val="16"/>
                <w:lang w:val="fr-CH"/>
              </w:rPr>
              <w:t>Confirmation que les directives internes et méthodes / processus relatifs à l’identification, la mesure, la gestion et la surveillance des risques dans le domaine des règles de comportement dans le marché ont été appropriés et en cas d’étendue d’audit « audit » effectivement appliqués.</w:t>
            </w:r>
          </w:p>
        </w:tc>
      </w:tr>
      <w:tr w:rsidR="00891C11" w:rsidRPr="00A7280C" w14:paraId="6C71CB98" w14:textId="77777777" w:rsidTr="00D02D6B">
        <w:tc>
          <w:tcPr>
            <w:tcW w:w="534" w:type="dxa"/>
          </w:tcPr>
          <w:p w14:paraId="3FBD7714" w14:textId="77777777" w:rsidR="00891C11" w:rsidRPr="001D03FD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551" w:type="dxa"/>
          </w:tcPr>
          <w:p w14:paraId="628E23C3" w14:textId="77777777" w:rsidR="00891C11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Risikoanalyse</w:t>
            </w:r>
          </w:p>
          <w:p w14:paraId="01FEE675" w14:textId="77777777" w:rsidR="00891C11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ADBB839" w14:textId="65FE7295" w:rsidR="00891C11" w:rsidRPr="00771DF9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Anhand von Befragungen und Durchsicht von relevanten Dokumenten beurteilen, ob die interne Risikoanalyse des Marktverhaltens, das mit dem Geschäftsmodell des Instituts einhergeht, angemessen ist.</w:t>
            </w:r>
          </w:p>
        </w:tc>
        <w:tc>
          <w:tcPr>
            <w:tcW w:w="3685" w:type="dxa"/>
          </w:tcPr>
          <w:p w14:paraId="4A373282" w14:textId="77777777" w:rsidR="00891C11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29980DD" w14:textId="469ACE0B" w:rsidR="00891C11" w:rsidRPr="007411F5" w:rsidRDefault="00973456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</w:tcPr>
          <w:p w14:paraId="15F17DBF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A7280C" w14:paraId="7DF4A367" w14:textId="77777777" w:rsidTr="00D02D6B">
        <w:tc>
          <w:tcPr>
            <w:tcW w:w="534" w:type="dxa"/>
          </w:tcPr>
          <w:p w14:paraId="649C83CC" w14:textId="77777777" w:rsidR="00891C11" w:rsidRPr="005F616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379136E" w14:textId="77777777" w:rsidR="00891C11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36EB5980" w14:textId="6FF6489D" w:rsidR="00891C11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Beurteilen, ob die Risikoanalyse des Instituts </w:t>
            </w:r>
            <w:r w:rsidR="008C701D">
              <w:rPr>
                <w:sz w:val="16"/>
              </w:rPr>
              <w:t>im Hinblick auf folgende inhärente Risiken</w:t>
            </w:r>
            <w:r>
              <w:rPr>
                <w:sz w:val="16"/>
              </w:rPr>
              <w:t xml:space="preserve"> angemessen </w:t>
            </w:r>
            <w:r w:rsidR="008F0C2A">
              <w:rPr>
                <w:sz w:val="16"/>
              </w:rPr>
              <w:t>ist</w:t>
            </w:r>
            <w:r>
              <w:rPr>
                <w:sz w:val="16"/>
              </w:rPr>
              <w:t>:</w:t>
            </w:r>
          </w:p>
          <w:p w14:paraId="7DD5449C" w14:textId="637E435A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Handel auf eigene Rechnung (Flow Trading, </w:t>
            </w:r>
            <w:r w:rsidR="005E35CB">
              <w:rPr>
                <w:sz w:val="16"/>
              </w:rPr>
              <w:t>Professional Trading</w:t>
            </w:r>
            <w:r>
              <w:rPr>
                <w:sz w:val="16"/>
              </w:rPr>
              <w:t>, Eigenhandel)</w:t>
            </w:r>
            <w:r>
              <w:rPr>
                <w:rStyle w:val="Funotenzeichen"/>
              </w:rPr>
              <w:footnoteReference w:id="1"/>
            </w:r>
          </w:p>
          <w:p w14:paraId="79B60EF4" w14:textId="564CA2A6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Handel mit </w:t>
            </w:r>
            <w:r w:rsidR="004B6805">
              <w:rPr>
                <w:sz w:val="16"/>
              </w:rPr>
              <w:t>eigenen Beteiligungstiteln</w:t>
            </w:r>
          </w:p>
          <w:p w14:paraId="283A0D56" w14:textId="1FEE0C90" w:rsidR="005606CB" w:rsidRPr="005606CB" w:rsidRDefault="00891C11" w:rsidP="005606C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die Beteiligung des Instituts an Algo- oder High-Frequency-Trading</w:t>
            </w:r>
          </w:p>
          <w:p w14:paraId="2720C3D4" w14:textId="574FE4B6" w:rsidR="00891C11" w:rsidRPr="00CF0FDE" w:rsidRDefault="008D5A6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F1197E">
              <w:rPr>
                <w:sz w:val="16"/>
              </w:rPr>
              <w:lastRenderedPageBreak/>
              <w:t>die verschiedenen angebotenen</w:t>
            </w:r>
            <w:r>
              <w:rPr>
                <w:sz w:val="16"/>
              </w:rPr>
              <w:t xml:space="preserve"> Dienstleistungen für Kunden</w:t>
            </w:r>
            <w:r w:rsidR="00891C11">
              <w:rPr>
                <w:sz w:val="16"/>
              </w:rPr>
              <w:t xml:space="preserve"> (Vermögensverwaltung, Beratung, </w:t>
            </w:r>
            <w:r w:rsidR="00446BF6">
              <w:rPr>
                <w:sz w:val="16"/>
              </w:rPr>
              <w:t>Execution-only-Geschäfte</w:t>
            </w:r>
            <w:r w:rsidR="00891C11">
              <w:rPr>
                <w:sz w:val="16"/>
              </w:rPr>
              <w:t>)</w:t>
            </w:r>
          </w:p>
          <w:p w14:paraId="2F056D50" w14:textId="2A4A543A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Umgang mit Kunden, die in börsenkotierten Unternehmen potenzielle Primärinsider sind (z.</w:t>
            </w:r>
            <w:r w:rsidR="00A70452">
              <w:rPr>
                <w:sz w:val="16"/>
              </w:rPr>
              <w:t> </w:t>
            </w:r>
            <w:r>
              <w:rPr>
                <w:sz w:val="16"/>
              </w:rPr>
              <w:t xml:space="preserve">B. </w:t>
            </w:r>
            <w:r w:rsidR="008F0C2A">
              <w:rPr>
                <w:sz w:val="16"/>
              </w:rPr>
              <w:t>Eigentümer</w:t>
            </w:r>
            <w:r>
              <w:rPr>
                <w:sz w:val="16"/>
              </w:rPr>
              <w:t>, Verwaltungsratsmitglieder)</w:t>
            </w:r>
          </w:p>
          <w:p w14:paraId="632A9D49" w14:textId="2F05EB91" w:rsidR="00891C11" w:rsidRPr="00D01B11" w:rsidRDefault="008D5A61" w:rsidP="005606C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Organisation </w:t>
            </w:r>
            <w:r w:rsidR="00A70452">
              <w:rPr>
                <w:sz w:val="16"/>
              </w:rPr>
              <w:t>der firmeneigenen Research-Abteilungen</w:t>
            </w:r>
            <w:r w:rsidR="00891C11">
              <w:rPr>
                <w:sz w:val="16"/>
              </w:rPr>
              <w:t xml:space="preserve"> (z.</w:t>
            </w:r>
            <w:r w:rsidR="00A70452">
              <w:rPr>
                <w:sz w:val="16"/>
              </w:rPr>
              <w:t> </w:t>
            </w:r>
            <w:r w:rsidR="00891C11">
              <w:rPr>
                <w:sz w:val="16"/>
              </w:rPr>
              <w:t xml:space="preserve">B. </w:t>
            </w:r>
            <w:r w:rsidR="00750722">
              <w:rPr>
                <w:sz w:val="16"/>
              </w:rPr>
              <w:t xml:space="preserve">wirksame </w:t>
            </w:r>
            <w:r w:rsidR="00891C11">
              <w:rPr>
                <w:sz w:val="16"/>
              </w:rPr>
              <w:t xml:space="preserve">Informationsbarrieren </w:t>
            </w:r>
            <w:r w:rsidR="00A70452">
              <w:rPr>
                <w:sz w:val="16"/>
              </w:rPr>
              <w:t>„</w:t>
            </w:r>
            <w:r w:rsidR="00891C11">
              <w:rPr>
                <w:sz w:val="16"/>
              </w:rPr>
              <w:t>Chinese Walls</w:t>
            </w:r>
            <w:r w:rsidR="00A70452">
              <w:rPr>
                <w:sz w:val="16"/>
              </w:rPr>
              <w:t>“</w:t>
            </w:r>
            <w:r w:rsidR="00891C11">
              <w:rPr>
                <w:sz w:val="16"/>
              </w:rPr>
              <w:t>, Need-To-Know-Prinzip, Wall-Crossings)</w:t>
            </w:r>
          </w:p>
          <w:p w14:paraId="74E0E9D6" w14:textId="7419D363" w:rsidR="00891C11" w:rsidRPr="00D01B11" w:rsidRDefault="008D5A6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</w:t>
            </w:r>
            <w:r w:rsidR="00891C11">
              <w:rPr>
                <w:sz w:val="16"/>
              </w:rPr>
              <w:t xml:space="preserve">erschiedene gehandelte Produkte (standardisierte Produkte wie Aktien; nicht standardisierte Produkte wie FX, Rohstoffe, Swaps; Hebelprodukte wie Optionen; </w:t>
            </w:r>
            <w:r w:rsidR="00750722">
              <w:rPr>
                <w:sz w:val="16"/>
              </w:rPr>
              <w:t xml:space="preserve">stark gehebelte </w:t>
            </w:r>
            <w:r w:rsidR="00891C11">
              <w:rPr>
                <w:sz w:val="16"/>
              </w:rPr>
              <w:t>Produkte wie CFD)</w:t>
            </w:r>
          </w:p>
          <w:p w14:paraId="73779B4B" w14:textId="73F13830" w:rsidR="00891C11" w:rsidRPr="00F6412C" w:rsidRDefault="00891C11" w:rsidP="0094134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verschiedene Bereiche/Abteilungen (</w:t>
            </w:r>
            <w:r w:rsidR="00941344">
              <w:rPr>
                <w:sz w:val="16"/>
              </w:rPr>
              <w:t>spezifische Teams</w:t>
            </w:r>
            <w:r>
              <w:rPr>
                <w:sz w:val="16"/>
              </w:rPr>
              <w:t xml:space="preserve">, </w:t>
            </w:r>
            <w:r w:rsidR="00996FCB">
              <w:rPr>
                <w:sz w:val="16"/>
              </w:rPr>
              <w:t>Desks</w:t>
            </w:r>
            <w:r>
              <w:rPr>
                <w:sz w:val="16"/>
              </w:rPr>
              <w:t xml:space="preserve">, Händler, Kunden) mit </w:t>
            </w:r>
            <w:r w:rsidR="00C1546E">
              <w:rPr>
                <w:sz w:val="16"/>
              </w:rPr>
              <w:t xml:space="preserve">ungewöhnlich hohen Handelserträgen </w:t>
            </w:r>
            <w:r>
              <w:rPr>
                <w:sz w:val="16"/>
              </w:rPr>
              <w:t>oder stark</w:t>
            </w:r>
            <w:r w:rsidR="00B9380F">
              <w:rPr>
                <w:sz w:val="16"/>
              </w:rPr>
              <w:t xml:space="preserve"> volatilen</w:t>
            </w:r>
            <w:r>
              <w:rPr>
                <w:sz w:val="16"/>
              </w:rPr>
              <w:t xml:space="preserve"> </w:t>
            </w:r>
            <w:r w:rsidR="00B9380F">
              <w:rPr>
                <w:sz w:val="16"/>
              </w:rPr>
              <w:t>Gewinnen//Verlusten</w:t>
            </w:r>
          </w:p>
        </w:tc>
        <w:tc>
          <w:tcPr>
            <w:tcW w:w="3685" w:type="dxa"/>
          </w:tcPr>
          <w:p w14:paraId="4E8D8375" w14:textId="77777777" w:rsidR="00891C11" w:rsidRDefault="00891C11" w:rsidP="00E71689">
            <w:pPr>
              <w:spacing w:before="120" w:after="120" w:line="240" w:lineRule="auto"/>
            </w:pPr>
          </w:p>
        </w:tc>
        <w:tc>
          <w:tcPr>
            <w:tcW w:w="2552" w:type="dxa"/>
          </w:tcPr>
          <w:p w14:paraId="25F8F90C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B76F728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3A46E8" w14:paraId="4E1522BE" w14:textId="77777777" w:rsidTr="00D02D6B">
        <w:tc>
          <w:tcPr>
            <w:tcW w:w="534" w:type="dxa"/>
          </w:tcPr>
          <w:p w14:paraId="2D2D9982" w14:textId="77777777" w:rsidR="00891C11" w:rsidRPr="005F616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966EA11" w14:textId="77777777" w:rsidR="00891C11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0C2E5FDA" w14:textId="6C5FE3DB" w:rsidR="00891C11" w:rsidRDefault="00891C11" w:rsidP="008C701D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Prüfen, ob die Risikoanalyse jährlich </w:t>
            </w:r>
            <w:r w:rsidR="008C701D">
              <w:rPr>
                <w:sz w:val="16"/>
              </w:rPr>
              <w:t xml:space="preserve">überprüft </w:t>
            </w:r>
            <w:r>
              <w:rPr>
                <w:sz w:val="16"/>
              </w:rPr>
              <w:t>w</w:t>
            </w:r>
            <w:r w:rsidR="00B926FC">
              <w:rPr>
                <w:sz w:val="16"/>
              </w:rPr>
              <w:t>ird</w:t>
            </w:r>
            <w:r>
              <w:rPr>
                <w:sz w:val="16"/>
              </w:rPr>
              <w:t>.</w:t>
            </w:r>
          </w:p>
        </w:tc>
        <w:tc>
          <w:tcPr>
            <w:tcW w:w="3685" w:type="dxa"/>
          </w:tcPr>
          <w:p w14:paraId="6A1FE138" w14:textId="77777777" w:rsidR="00891C11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2552" w:type="dxa"/>
          </w:tcPr>
          <w:p w14:paraId="641015EE" w14:textId="77777777" w:rsidR="00891C11" w:rsidRPr="003D149A" w:rsidRDefault="00891C11" w:rsidP="00E71689">
            <w:pPr>
              <w:spacing w:before="120" w:after="120" w:line="240" w:lineRule="auto"/>
              <w:rPr>
                <w:rStyle w:val="Kommentarzeichen"/>
              </w:rPr>
            </w:pPr>
          </w:p>
        </w:tc>
        <w:tc>
          <w:tcPr>
            <w:tcW w:w="1277" w:type="dxa"/>
          </w:tcPr>
          <w:p w14:paraId="58263D93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A7280C" w14:paraId="2DD90859" w14:textId="77777777" w:rsidTr="00D02D6B">
        <w:tc>
          <w:tcPr>
            <w:tcW w:w="534" w:type="dxa"/>
          </w:tcPr>
          <w:p w14:paraId="1BE2B3E9" w14:textId="77777777" w:rsidR="00891C11" w:rsidRPr="005F616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31C9FCC" w14:textId="77777777" w:rsidR="00891C11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C2B511D" w14:textId="4C6F72BD" w:rsidR="00891C11" w:rsidRPr="00F5791C" w:rsidRDefault="00891C11" w:rsidP="008F0C2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Beurteilen, ob die Geschäfts</w:t>
            </w:r>
            <w:r w:rsidR="00B84A22">
              <w:rPr>
                <w:sz w:val="16"/>
              </w:rPr>
              <w:t>leitung</w:t>
            </w:r>
            <w:r>
              <w:rPr>
                <w:sz w:val="16"/>
              </w:rPr>
              <w:t xml:space="preserve"> </w:t>
            </w:r>
            <w:r w:rsidR="00BD4FA6">
              <w:rPr>
                <w:sz w:val="16"/>
              </w:rPr>
              <w:t>in die</w:t>
            </w:r>
            <w:r>
              <w:rPr>
                <w:sz w:val="16"/>
              </w:rPr>
              <w:t xml:space="preserve"> mindestens jährlich</w:t>
            </w:r>
            <w:r w:rsidR="00BD4FA6">
              <w:rPr>
                <w:sz w:val="16"/>
              </w:rPr>
              <w:t xml:space="preserve"> stattfindende</w:t>
            </w:r>
            <w:r>
              <w:rPr>
                <w:sz w:val="16"/>
              </w:rPr>
              <w:t xml:space="preserve"> Überprüfung</w:t>
            </w:r>
            <w:r w:rsidR="001747A7">
              <w:rPr>
                <w:sz w:val="16"/>
              </w:rPr>
              <w:t xml:space="preserve"> und</w:t>
            </w:r>
            <w:r w:rsidR="000F5E59">
              <w:rPr>
                <w:sz w:val="16"/>
              </w:rPr>
              <w:t xml:space="preserve"> Überarbeitung (falls nötig) </w:t>
            </w:r>
            <w:r>
              <w:rPr>
                <w:sz w:val="16"/>
              </w:rPr>
              <w:t xml:space="preserve">der Risikoanalyse angemessen einbezogen </w:t>
            </w:r>
            <w:r w:rsidR="008F0C2A">
              <w:rPr>
                <w:sz w:val="16"/>
              </w:rPr>
              <w:t>wird</w:t>
            </w:r>
            <w:r w:rsidR="001747A7">
              <w:rPr>
                <w:sz w:val="16"/>
              </w:rPr>
              <w:t xml:space="preserve"> und die Risikoanalyse jeweils genehmigt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3685" w:type="dxa"/>
          </w:tcPr>
          <w:p w14:paraId="04D3B6FB" w14:textId="77777777" w:rsidR="00891C11" w:rsidRPr="00F5791C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91F6ECF" w14:textId="77777777" w:rsidR="00891C11" w:rsidRPr="00F5791C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5EADACF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A7280C" w14:paraId="3B8A0576" w14:textId="77777777" w:rsidTr="00D02D6B">
        <w:tc>
          <w:tcPr>
            <w:tcW w:w="534" w:type="dxa"/>
          </w:tcPr>
          <w:p w14:paraId="7A220D4E" w14:textId="77777777" w:rsidR="00891C11" w:rsidRPr="006C26A7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765546A" w14:textId="79B050ED" w:rsidR="00891C11" w:rsidRPr="00927C9E" w:rsidRDefault="00891C11" w:rsidP="00064FC3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Angemessenheit der organisatorischen Massnahmen und internen </w:t>
            </w:r>
            <w:r w:rsidR="00064FC3">
              <w:rPr>
                <w:b/>
                <w:sz w:val="16"/>
              </w:rPr>
              <w:t xml:space="preserve">Regelungen </w:t>
            </w:r>
            <w:r w:rsidR="00F25A8A">
              <w:rPr>
                <w:b/>
                <w:sz w:val="16"/>
              </w:rPr>
              <w:t>unter Berücksichtigung der Risikoanalyse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544" w:type="dxa"/>
          </w:tcPr>
          <w:p w14:paraId="55640959" w14:textId="7636D26A" w:rsidR="00891C11" w:rsidRPr="007411F5" w:rsidRDefault="00891C11" w:rsidP="00F25A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Anhand von Befragungen und Durchsicht von relevanten Dokumenten beurteilen, ob die organisatorischen Massnahmen, die auf de</w:t>
            </w:r>
            <w:r w:rsidR="00F25A8A">
              <w:rPr>
                <w:i/>
                <w:sz w:val="16"/>
              </w:rPr>
              <w:t>r</w:t>
            </w:r>
            <w:r>
              <w:rPr>
                <w:i/>
                <w:sz w:val="16"/>
              </w:rPr>
              <w:t xml:space="preserve"> Risikoanalyse basieren und da</w:t>
            </w:r>
            <w:r w:rsidR="00AB12CB">
              <w:rPr>
                <w:i/>
                <w:sz w:val="16"/>
              </w:rPr>
              <w:t>von</w:t>
            </w:r>
            <w:r>
              <w:rPr>
                <w:i/>
                <w:sz w:val="16"/>
              </w:rPr>
              <w:t xml:space="preserve"> abgeleitet wurden</w:t>
            </w:r>
            <w:r w:rsidR="00AB12CB">
              <w:rPr>
                <w:i/>
                <w:sz w:val="16"/>
              </w:rPr>
              <w:t>, angemessen sind</w:t>
            </w:r>
            <w:r>
              <w:rPr>
                <w:i/>
                <w:sz w:val="16"/>
              </w:rPr>
              <w:t>.</w:t>
            </w:r>
          </w:p>
        </w:tc>
        <w:tc>
          <w:tcPr>
            <w:tcW w:w="3685" w:type="dxa"/>
          </w:tcPr>
          <w:p w14:paraId="79C786ED" w14:textId="77777777" w:rsidR="00891C11" w:rsidRPr="007411F5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902C01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13F51096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A7280C" w14:paraId="33255251" w14:textId="77777777" w:rsidTr="00D02D6B">
        <w:tc>
          <w:tcPr>
            <w:tcW w:w="534" w:type="dxa"/>
          </w:tcPr>
          <w:p w14:paraId="390057D5" w14:textId="77777777" w:rsidR="00891C11" w:rsidRPr="007411F5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3669A8" w14:textId="77777777" w:rsidR="00891C11" w:rsidRPr="00133AB4" w:rsidDel="007411F5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E493A6B" w14:textId="5E4A3A7B" w:rsidR="005606CB" w:rsidRDefault="0011169C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</w:t>
            </w:r>
            <w:r w:rsidR="00891C11" w:rsidRPr="0011169C">
              <w:rPr>
                <w:sz w:val="16"/>
              </w:rPr>
              <w:t>urteil</w:t>
            </w:r>
            <w:r>
              <w:rPr>
                <w:sz w:val="16"/>
              </w:rPr>
              <w:t>ung der Angemessenheit der</w:t>
            </w:r>
            <w:r w:rsidR="00891C11" w:rsidRPr="0011169C">
              <w:rPr>
                <w:sz w:val="16"/>
              </w:rPr>
              <w:t xml:space="preserve"> </w:t>
            </w:r>
            <w:r w:rsidR="008D5A61">
              <w:rPr>
                <w:sz w:val="16"/>
              </w:rPr>
              <w:t>Organisation</w:t>
            </w:r>
            <w:r w:rsidR="008D5A61" w:rsidRPr="0011169C">
              <w:rPr>
                <w:sz w:val="16"/>
              </w:rPr>
              <w:t xml:space="preserve"> </w:t>
            </w:r>
            <w:r w:rsidR="00891C11" w:rsidRPr="0011169C">
              <w:rPr>
                <w:sz w:val="16"/>
              </w:rPr>
              <w:t xml:space="preserve">und </w:t>
            </w:r>
            <w:r>
              <w:rPr>
                <w:sz w:val="16"/>
              </w:rPr>
              <w:t>Prozesse (</w:t>
            </w:r>
            <w:r w:rsidR="008F0C2A">
              <w:rPr>
                <w:sz w:val="16"/>
              </w:rPr>
              <w:t>Design</w:t>
            </w:r>
            <w:r>
              <w:rPr>
                <w:sz w:val="16"/>
              </w:rPr>
              <w:t>) des</w:t>
            </w:r>
            <w:r w:rsidR="00891C11" w:rsidRPr="0011169C">
              <w:rPr>
                <w:sz w:val="16"/>
              </w:rPr>
              <w:t xml:space="preserve"> Institut</w:t>
            </w:r>
            <w:r>
              <w:rPr>
                <w:sz w:val="16"/>
              </w:rPr>
              <w:t>s</w:t>
            </w:r>
            <w:r w:rsidR="00891C11" w:rsidRPr="0011169C">
              <w:rPr>
                <w:sz w:val="16"/>
              </w:rPr>
              <w:t xml:space="preserve"> sowie </w:t>
            </w:r>
            <w:r>
              <w:rPr>
                <w:sz w:val="16"/>
              </w:rPr>
              <w:t>der</w:t>
            </w:r>
            <w:r w:rsidRPr="0011169C">
              <w:rPr>
                <w:sz w:val="16"/>
              </w:rPr>
              <w:t xml:space="preserve"> </w:t>
            </w:r>
            <w:r w:rsidR="00891C11" w:rsidRPr="0011169C">
              <w:rPr>
                <w:sz w:val="16"/>
              </w:rPr>
              <w:t xml:space="preserve">internen </w:t>
            </w:r>
            <w:r w:rsidR="008D5A61">
              <w:rPr>
                <w:sz w:val="16"/>
              </w:rPr>
              <w:t>Weisungen</w:t>
            </w:r>
            <w:r w:rsidR="008D5A61" w:rsidRPr="0011169C">
              <w:rPr>
                <w:sz w:val="16"/>
              </w:rPr>
              <w:t xml:space="preserve"> </w:t>
            </w:r>
            <w:r w:rsidR="00891C11" w:rsidRPr="0011169C">
              <w:rPr>
                <w:sz w:val="16"/>
              </w:rPr>
              <w:t xml:space="preserve">und Richtlinien </w:t>
            </w:r>
            <w:r w:rsidR="008D5A61">
              <w:rPr>
                <w:sz w:val="16"/>
              </w:rPr>
              <w:t>zum Umfang mit</w:t>
            </w:r>
            <w:r>
              <w:rPr>
                <w:sz w:val="16"/>
              </w:rPr>
              <w:t xml:space="preserve"> Risiken im Bereich </w:t>
            </w:r>
            <w:r w:rsidR="00891C11" w:rsidRPr="0011169C">
              <w:rPr>
                <w:sz w:val="16"/>
              </w:rPr>
              <w:t>Marktverhalten</w:t>
            </w:r>
            <w:r>
              <w:rPr>
                <w:sz w:val="16"/>
              </w:rPr>
              <w:t>.</w:t>
            </w:r>
            <w:r w:rsidR="00891C11">
              <w:rPr>
                <w:sz w:val="16"/>
              </w:rPr>
              <w:t xml:space="preserve"> </w:t>
            </w:r>
          </w:p>
          <w:p w14:paraId="409964E9" w14:textId="3A5DBDC5" w:rsidR="00891C11" w:rsidRDefault="008D5A6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Namentlich</w:t>
            </w:r>
            <w:r w:rsidR="00891C11">
              <w:rPr>
                <w:sz w:val="16"/>
              </w:rPr>
              <w:t xml:space="preserve"> ist zu beurteilen, ob die organisatorischen Massnahmen und Regeln die regulatorischen Anforderungen angemessen widerspiegeln und die Risikosituation des Instituts berücksichtigen, d</w:t>
            </w:r>
            <w:r w:rsidR="00B879C9">
              <w:rPr>
                <w:sz w:val="16"/>
              </w:rPr>
              <w:t>. h.,</w:t>
            </w:r>
            <w:r w:rsidR="00891C11">
              <w:rPr>
                <w:sz w:val="16"/>
              </w:rPr>
              <w:t xml:space="preserve"> de</w:t>
            </w:r>
            <w:r w:rsidR="00F25A8A">
              <w:rPr>
                <w:sz w:val="16"/>
              </w:rPr>
              <w:t>n</w:t>
            </w:r>
            <w:r w:rsidR="00891C11">
              <w:rPr>
                <w:sz w:val="16"/>
              </w:rPr>
              <w:t xml:space="preserve"> in der Risikoanalyse festgestellte</w:t>
            </w:r>
            <w:r w:rsidR="008F0C2A">
              <w:rPr>
                <w:sz w:val="16"/>
              </w:rPr>
              <w:t>n</w:t>
            </w:r>
            <w:r w:rsidR="00891C11">
              <w:rPr>
                <w:sz w:val="16"/>
              </w:rPr>
              <w:t xml:space="preserve"> Risik</w:t>
            </w:r>
            <w:r w:rsidR="008F0C2A">
              <w:rPr>
                <w:sz w:val="16"/>
              </w:rPr>
              <w:t>en</w:t>
            </w:r>
            <w:r w:rsidR="00891C11">
              <w:rPr>
                <w:sz w:val="16"/>
              </w:rPr>
              <w:t xml:space="preserve"> </w:t>
            </w:r>
            <w:r w:rsidR="00B879C9">
              <w:rPr>
                <w:sz w:val="16"/>
              </w:rPr>
              <w:t>im Falle eine</w:t>
            </w:r>
            <w:r w:rsidR="008F0C2A">
              <w:rPr>
                <w:sz w:val="16"/>
              </w:rPr>
              <w:t>r</w:t>
            </w:r>
            <w:r w:rsidR="00B879C9">
              <w:rPr>
                <w:sz w:val="16"/>
              </w:rPr>
              <w:t xml:space="preserve"> </w:t>
            </w:r>
            <w:r w:rsidR="00891C11">
              <w:rPr>
                <w:sz w:val="16"/>
              </w:rPr>
              <w:t>geringen Risik</w:t>
            </w:r>
            <w:r w:rsidR="00B879C9">
              <w:rPr>
                <w:sz w:val="16"/>
              </w:rPr>
              <w:t>os</w:t>
            </w:r>
            <w:r w:rsidR="008F0C2A">
              <w:rPr>
                <w:sz w:val="16"/>
              </w:rPr>
              <w:t>ituation</w:t>
            </w:r>
            <w:r w:rsidR="00891C11">
              <w:rPr>
                <w:sz w:val="16"/>
              </w:rPr>
              <w:t xml:space="preserve"> angemessen </w:t>
            </w:r>
            <w:r w:rsidR="00F25A8A">
              <w:rPr>
                <w:sz w:val="16"/>
              </w:rPr>
              <w:t>Rechnung tragen</w:t>
            </w:r>
            <w:r w:rsidR="00891C11">
              <w:rPr>
                <w:sz w:val="16"/>
              </w:rPr>
              <w:t xml:space="preserve">. </w:t>
            </w:r>
          </w:p>
          <w:p w14:paraId="259E812E" w14:textId="3945EE8E" w:rsidR="00891C11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Beurteilen, ob das Institut im Fall</w:t>
            </w:r>
            <w:r w:rsidR="00B879C9">
              <w:rPr>
                <w:sz w:val="16"/>
              </w:rPr>
              <w:t>e</w:t>
            </w:r>
            <w:r>
              <w:rPr>
                <w:sz w:val="16"/>
              </w:rPr>
              <w:t xml:space="preserve"> einer erhöhten Risikosituation </w:t>
            </w:r>
            <w:r w:rsidR="00B879C9">
              <w:rPr>
                <w:sz w:val="16"/>
              </w:rPr>
              <w:t xml:space="preserve">entsprechende </w:t>
            </w:r>
            <w:r>
              <w:rPr>
                <w:sz w:val="16"/>
              </w:rPr>
              <w:t xml:space="preserve">Massnahmen </w:t>
            </w:r>
            <w:r w:rsidR="00B879C9">
              <w:rPr>
                <w:sz w:val="16"/>
              </w:rPr>
              <w:t xml:space="preserve">zur Risikominderung </w:t>
            </w:r>
            <w:r>
              <w:rPr>
                <w:sz w:val="16"/>
              </w:rPr>
              <w:t xml:space="preserve">umgesetzt hat, </w:t>
            </w:r>
            <w:r w:rsidR="0019218E">
              <w:rPr>
                <w:sz w:val="16"/>
                <w:u w:val="single"/>
              </w:rPr>
              <w:t>namentlich</w:t>
            </w:r>
            <w:r>
              <w:rPr>
                <w:sz w:val="16"/>
              </w:rPr>
              <w:t>:</w:t>
            </w:r>
          </w:p>
          <w:p w14:paraId="279DA22C" w14:textId="3BE52B2D" w:rsidR="00891C11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Beurteilen, ob angemessene Massnahmen </w:t>
            </w:r>
            <w:r w:rsidR="00620815">
              <w:rPr>
                <w:sz w:val="16"/>
              </w:rPr>
              <w:t>getroffen wurden</w:t>
            </w:r>
            <w:r w:rsidR="009F688B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 w:rsidR="008F0C2A">
              <w:rPr>
                <w:sz w:val="16"/>
              </w:rPr>
              <w:t>um</w:t>
            </w:r>
            <w:r>
              <w:rPr>
                <w:sz w:val="16"/>
              </w:rPr>
              <w:t xml:space="preserve"> sicher</w:t>
            </w:r>
            <w:r w:rsidR="008F0C2A">
              <w:rPr>
                <w:sz w:val="16"/>
              </w:rPr>
              <w:t>zu</w:t>
            </w:r>
            <w:r>
              <w:rPr>
                <w:sz w:val="16"/>
              </w:rPr>
              <w:t>stellen, dass i) Informationsbarrieren</w:t>
            </w:r>
            <w:r w:rsidR="004B6805">
              <w:rPr>
                <w:sz w:val="16"/>
              </w:rPr>
              <w:t xml:space="preserve"> </w:t>
            </w:r>
            <w:r>
              <w:rPr>
                <w:sz w:val="16"/>
              </w:rPr>
              <w:t>und Vertraulichkeits</w:t>
            </w:r>
            <w:r w:rsidR="008D5A61">
              <w:rPr>
                <w:sz w:val="16"/>
              </w:rPr>
              <w:t>bereiche</w:t>
            </w:r>
            <w:r>
              <w:rPr>
                <w:sz w:val="16"/>
              </w:rPr>
              <w:t xml:space="preserve"> vorhanden sind und ii) </w:t>
            </w:r>
            <w:r w:rsidR="009F688B">
              <w:rPr>
                <w:sz w:val="16"/>
              </w:rPr>
              <w:t xml:space="preserve">Watch List und Restricted List </w:t>
            </w:r>
            <w:r w:rsidR="004B6805">
              <w:rPr>
                <w:sz w:val="16"/>
              </w:rPr>
              <w:t xml:space="preserve">erstellt </w:t>
            </w:r>
            <w:r>
              <w:rPr>
                <w:sz w:val="16"/>
              </w:rPr>
              <w:t xml:space="preserve">und </w:t>
            </w:r>
            <w:r w:rsidR="004B6805">
              <w:rPr>
                <w:sz w:val="16"/>
              </w:rPr>
              <w:t>gepflegt</w:t>
            </w:r>
            <w:r>
              <w:rPr>
                <w:sz w:val="16"/>
              </w:rPr>
              <w:t xml:space="preserve"> werden.</w:t>
            </w:r>
          </w:p>
          <w:p w14:paraId="2B2B9E0A" w14:textId="0EF69DE6" w:rsidR="00891C11" w:rsidRDefault="00341C83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Beurteilen</w:t>
            </w:r>
            <w:r w:rsidR="00891C11">
              <w:rPr>
                <w:sz w:val="16"/>
              </w:rPr>
              <w:t xml:space="preserve">, ob eine Richtlinie besteht, die die Überwachung von Transaktionen </w:t>
            </w:r>
            <w:r w:rsidR="004B6805">
              <w:rPr>
                <w:sz w:val="16"/>
              </w:rPr>
              <w:t xml:space="preserve">der </w:t>
            </w:r>
            <w:r w:rsidR="00064FC3">
              <w:rPr>
                <w:sz w:val="16"/>
              </w:rPr>
              <w:t>Mitglieder des Oberleitungsorgans</w:t>
            </w:r>
            <w:r w:rsidR="00891C11">
              <w:rPr>
                <w:sz w:val="16"/>
              </w:rPr>
              <w:t>, der Geschäfts</w:t>
            </w:r>
            <w:r w:rsidR="004B6805">
              <w:rPr>
                <w:sz w:val="16"/>
              </w:rPr>
              <w:t>leitung</w:t>
            </w:r>
            <w:r w:rsidR="00891C11">
              <w:rPr>
                <w:sz w:val="16"/>
              </w:rPr>
              <w:t xml:space="preserve"> und der Mitarbeitenden des Instituts regelt.</w:t>
            </w:r>
          </w:p>
          <w:p w14:paraId="110CD70D" w14:textId="4DBE2782" w:rsidR="00891C11" w:rsidRPr="005606CB" w:rsidRDefault="00891C11" w:rsidP="00F8343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Beurteilen, ob das Institut über ein angemessenes Schulungsprogramm zu </w:t>
            </w:r>
            <w:r w:rsidR="00F8343A">
              <w:rPr>
                <w:sz w:val="16"/>
              </w:rPr>
              <w:t xml:space="preserve">Risiken im Bereich </w:t>
            </w:r>
            <w:r>
              <w:rPr>
                <w:sz w:val="16"/>
              </w:rPr>
              <w:t>Marktverhalten verfügt.</w:t>
            </w:r>
          </w:p>
        </w:tc>
        <w:tc>
          <w:tcPr>
            <w:tcW w:w="3685" w:type="dxa"/>
          </w:tcPr>
          <w:p w14:paraId="34A2C46C" w14:textId="77777777" w:rsidR="00891C11" w:rsidRPr="00992972" w:rsidDel="007411F5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3562DA3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C21AE36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A7280C" w14:paraId="2CC4A52D" w14:textId="77777777" w:rsidTr="00D02D6B">
        <w:tc>
          <w:tcPr>
            <w:tcW w:w="534" w:type="dxa"/>
          </w:tcPr>
          <w:p w14:paraId="39D3BB47" w14:textId="77777777" w:rsidR="00891C11" w:rsidRPr="00DF4120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AC46212" w14:textId="77777777" w:rsidR="00891C11" w:rsidRPr="00927C9E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Kontrollen zur Prävention und Erkennung von Marktmissbrauch</w:t>
            </w:r>
          </w:p>
        </w:tc>
        <w:tc>
          <w:tcPr>
            <w:tcW w:w="3544" w:type="dxa"/>
          </w:tcPr>
          <w:p w14:paraId="62CB5EB5" w14:textId="74F53650" w:rsidR="00891C11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Beurteilen oder prüfen, ob Kontrollen zur Prävention und Erkennung von Marktmissbrauch</w:t>
            </w:r>
            <w:r w:rsidR="00620815">
              <w:rPr>
                <w:i/>
                <w:sz w:val="16"/>
              </w:rPr>
              <w:t xml:space="preserve"> </w:t>
            </w:r>
            <w:r w:rsidR="00277045">
              <w:rPr>
                <w:i/>
                <w:sz w:val="16"/>
              </w:rPr>
              <w:t xml:space="preserve">auf </w:t>
            </w:r>
            <w:r w:rsidR="004B6805">
              <w:rPr>
                <w:i/>
                <w:sz w:val="16"/>
              </w:rPr>
              <w:t xml:space="preserve">Basis des </w:t>
            </w:r>
            <w:r w:rsidR="00277045">
              <w:rPr>
                <w:i/>
                <w:sz w:val="16"/>
              </w:rPr>
              <w:t>Kontrolldesign</w:t>
            </w:r>
            <w:r w:rsidR="004B6805">
              <w:rPr>
                <w:i/>
                <w:sz w:val="16"/>
              </w:rPr>
              <w:t>s</w:t>
            </w:r>
            <w:r w:rsidR="00277045">
              <w:rPr>
                <w:i/>
                <w:sz w:val="16"/>
              </w:rPr>
              <w:t xml:space="preserve"> und </w:t>
            </w:r>
            <w:r w:rsidR="004B6805">
              <w:rPr>
                <w:i/>
                <w:sz w:val="16"/>
              </w:rPr>
              <w:t xml:space="preserve">der </w:t>
            </w:r>
            <w:r w:rsidR="00164AC4">
              <w:rPr>
                <w:i/>
                <w:sz w:val="16"/>
              </w:rPr>
              <w:t>entsprechenden Prozesse</w:t>
            </w:r>
            <w:r w:rsidR="00277045">
              <w:rPr>
                <w:i/>
                <w:sz w:val="16"/>
              </w:rPr>
              <w:t xml:space="preserve"> angemessen</w:t>
            </w:r>
            <w:r>
              <w:rPr>
                <w:i/>
                <w:sz w:val="16"/>
              </w:rPr>
              <w:t xml:space="preserve"> durchgeführt werden.</w:t>
            </w:r>
          </w:p>
          <w:p w14:paraId="2AF306C3" w14:textId="5D5D63D2" w:rsidR="005606CB" w:rsidRPr="00927C9E" w:rsidRDefault="005606CB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685" w:type="dxa"/>
          </w:tcPr>
          <w:p w14:paraId="48571F7C" w14:textId="77777777" w:rsidR="00891C11" w:rsidRPr="00133AB4" w:rsidRDefault="00891C11" w:rsidP="00E71689">
            <w:pPr>
              <w:pStyle w:val="Bullet"/>
              <w:numPr>
                <w:ilvl w:val="0"/>
                <w:numId w:val="0"/>
              </w:numPr>
              <w:spacing w:before="120" w:after="120"/>
              <w:ind w:left="63"/>
            </w:pPr>
          </w:p>
        </w:tc>
        <w:tc>
          <w:tcPr>
            <w:tcW w:w="2552" w:type="dxa"/>
          </w:tcPr>
          <w:p w14:paraId="515FBE2C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10F8DED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3A46E8" w14:paraId="10FCDA57" w14:textId="77777777" w:rsidTr="00D02D6B">
        <w:tc>
          <w:tcPr>
            <w:tcW w:w="534" w:type="dxa"/>
          </w:tcPr>
          <w:p w14:paraId="0F016E4A" w14:textId="77777777" w:rsidR="00891C11" w:rsidRPr="002E0311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4F0D68A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66334D0" w14:textId="7151C076" w:rsidR="00891C11" w:rsidRDefault="00064FC3" w:rsidP="00E71689">
            <w:pPr>
              <w:pStyle w:val="Bullet"/>
              <w:numPr>
                <w:ilvl w:val="0"/>
                <w:numId w:val="0"/>
              </w:numPr>
              <w:spacing w:before="120" w:after="120"/>
            </w:pPr>
            <w:r>
              <w:t>Verstehen und beurteilen</w:t>
            </w:r>
            <w:r w:rsidR="00891C11">
              <w:t xml:space="preserve">, ob angemessene Kontrollen zur Prävention und Erkennung von Marktmissbrauch bestehen. </w:t>
            </w:r>
            <w:r w:rsidR="00E24050">
              <w:t xml:space="preserve">Beurteilung </w:t>
            </w:r>
            <w:r>
              <w:t xml:space="preserve">der Wirksamkeit des </w:t>
            </w:r>
            <w:r w:rsidR="00F1197E">
              <w:t>Designs</w:t>
            </w:r>
            <w:r w:rsidR="00E24050">
              <w:t xml:space="preserve"> der Kontrollen </w:t>
            </w:r>
            <w:r w:rsidR="00891C11">
              <w:t>mithilfe von Befragungen des Managements und weiterer Mitarbeitenden sowie der Durchsicht von internen Berichten. Die Beurteilung sollte folgende Elemente einschliessen:</w:t>
            </w:r>
          </w:p>
          <w:p w14:paraId="06EDF0C0" w14:textId="30228498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Berichterstattung zur Prävention und Erkennung von Marktmissbrauch</w:t>
            </w:r>
            <w:r w:rsidR="00FC535D">
              <w:rPr>
                <w:sz w:val="16"/>
              </w:rPr>
              <w:t xml:space="preserve"> an die</w:t>
            </w:r>
            <w:r>
              <w:rPr>
                <w:sz w:val="16"/>
              </w:rPr>
              <w:t xml:space="preserve"> Geschäfts</w:t>
            </w:r>
            <w:r w:rsidR="004B6805">
              <w:rPr>
                <w:sz w:val="16"/>
              </w:rPr>
              <w:t>leitung</w:t>
            </w:r>
            <w:r>
              <w:rPr>
                <w:sz w:val="16"/>
              </w:rPr>
              <w:t>;</w:t>
            </w:r>
          </w:p>
          <w:p w14:paraId="7139996A" w14:textId="374589D2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Angemessenheit von Systemen und Kontrollen zur Erkennung von Marktmissbrauch (Kunden/Depotbanken) in regulierten und nicht regulierten Märkten, inklusive angemessener Dokumentation aller Transaktionen, die aufgrund von Hinweisen auf möglichen </w:t>
            </w:r>
            <w:r w:rsidR="004F79B5">
              <w:rPr>
                <w:sz w:val="16"/>
              </w:rPr>
              <w:t>Missbrauch</w:t>
            </w:r>
            <w:r>
              <w:rPr>
                <w:sz w:val="16"/>
              </w:rPr>
              <w:t xml:space="preserve"> geprüft werden; </w:t>
            </w:r>
          </w:p>
          <w:p w14:paraId="49BF6308" w14:textId="1D952674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Angemessenheit von Mitarbeiterschulungs</w:t>
            </w:r>
            <w:r w:rsidR="004F79B5">
              <w:rPr>
                <w:sz w:val="16"/>
              </w:rPr>
              <w:t>p</w:t>
            </w:r>
            <w:r>
              <w:rPr>
                <w:sz w:val="16"/>
              </w:rPr>
              <w:t xml:space="preserve">rogrammen zu Marktmissbrauch, </w:t>
            </w:r>
            <w:r w:rsidR="004F79B5">
              <w:rPr>
                <w:sz w:val="16"/>
              </w:rPr>
              <w:t xml:space="preserve">einschliesslich </w:t>
            </w:r>
            <w:r>
              <w:rPr>
                <w:sz w:val="16"/>
              </w:rPr>
              <w:t>obere</w:t>
            </w:r>
            <w:r w:rsidR="004F79B5">
              <w:rPr>
                <w:sz w:val="16"/>
              </w:rPr>
              <w:t>s</w:t>
            </w:r>
            <w:r>
              <w:rPr>
                <w:sz w:val="16"/>
              </w:rPr>
              <w:t xml:space="preserve"> und Topmanagement;</w:t>
            </w:r>
          </w:p>
          <w:p w14:paraId="4E46F68F" w14:textId="7E719D0C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Massnahmen zur Kontrolle der Handelsaktivitäten von </w:t>
            </w:r>
            <w:r w:rsidR="00064FC3">
              <w:rPr>
                <w:sz w:val="16"/>
              </w:rPr>
              <w:t>Mitgliedern des Oberleitungsorgans</w:t>
            </w:r>
            <w:r>
              <w:rPr>
                <w:sz w:val="16"/>
              </w:rPr>
              <w:t>, Geschäfts</w:t>
            </w:r>
            <w:r w:rsidR="00776009">
              <w:rPr>
                <w:sz w:val="16"/>
              </w:rPr>
              <w:t>leitungsmitgliedern</w:t>
            </w:r>
            <w:r>
              <w:rPr>
                <w:sz w:val="16"/>
              </w:rPr>
              <w:t xml:space="preserve"> und Mitarbeitenden;</w:t>
            </w:r>
          </w:p>
          <w:p w14:paraId="136D9ED3" w14:textId="6E3DEEAC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Existenz und regelmässige Aktualisierung von </w:t>
            </w:r>
            <w:r w:rsidR="004F79B5">
              <w:rPr>
                <w:sz w:val="16"/>
              </w:rPr>
              <w:t>Watch List</w:t>
            </w:r>
            <w:r>
              <w:rPr>
                <w:sz w:val="16"/>
              </w:rPr>
              <w:t xml:space="preserve"> und </w:t>
            </w:r>
            <w:r w:rsidR="004F79B5">
              <w:rPr>
                <w:sz w:val="16"/>
              </w:rPr>
              <w:t>Restricted List</w:t>
            </w:r>
            <w:r>
              <w:rPr>
                <w:sz w:val="16"/>
              </w:rPr>
              <w:t>;</w:t>
            </w:r>
          </w:p>
          <w:p w14:paraId="6F72B414" w14:textId="0E1495DF" w:rsidR="00891C11" w:rsidRPr="00CF0FDE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 xml:space="preserve">Überwachung von Transaktionen von </w:t>
            </w:r>
            <w:r w:rsidR="00064FC3">
              <w:rPr>
                <w:sz w:val="16"/>
              </w:rPr>
              <w:t>Mitgliedern des Oberleitungsorgans</w:t>
            </w:r>
            <w:r>
              <w:rPr>
                <w:sz w:val="16"/>
              </w:rPr>
              <w:t>, Geschäft</w:t>
            </w:r>
            <w:r w:rsidR="00776009">
              <w:rPr>
                <w:sz w:val="16"/>
              </w:rPr>
              <w:t>sleitungsmitgliedern</w:t>
            </w:r>
            <w:r>
              <w:rPr>
                <w:sz w:val="16"/>
              </w:rPr>
              <w:t xml:space="preserve"> und Mitarbeitenden;</w:t>
            </w:r>
          </w:p>
          <w:p w14:paraId="4B9C25B0" w14:textId="2679DF9B" w:rsidR="00891C11" w:rsidRPr="00D02D6B" w:rsidRDefault="00891C11" w:rsidP="004F79B5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Existenz und Angemessenheit von Informationsbarrieren (sofern </w:t>
            </w:r>
            <w:r w:rsidR="004F79B5">
              <w:rPr>
                <w:sz w:val="16"/>
              </w:rPr>
              <w:t>anwendbar</w:t>
            </w:r>
            <w:r>
              <w:rPr>
                <w:sz w:val="16"/>
              </w:rPr>
              <w:t>).</w:t>
            </w:r>
          </w:p>
        </w:tc>
        <w:tc>
          <w:tcPr>
            <w:tcW w:w="3685" w:type="dxa"/>
          </w:tcPr>
          <w:p w14:paraId="405EB14C" w14:textId="61B625E0" w:rsidR="00891C11" w:rsidRDefault="00AD7015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 xml:space="preserve">Durchführung von </w:t>
            </w:r>
            <w:r w:rsidR="00064FC3">
              <w:rPr>
                <w:sz w:val="16"/>
              </w:rPr>
              <w:t>Prüfungen</w:t>
            </w:r>
            <w:r w:rsidR="008C701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zur </w:t>
            </w:r>
            <w:r w:rsidR="00064FC3">
              <w:rPr>
                <w:sz w:val="16"/>
              </w:rPr>
              <w:t xml:space="preserve">Beurteilung </w:t>
            </w:r>
            <w:r>
              <w:rPr>
                <w:sz w:val="16"/>
              </w:rPr>
              <w:t>der</w:t>
            </w:r>
            <w:r w:rsidR="00891C11">
              <w:rPr>
                <w:sz w:val="16"/>
              </w:rPr>
              <w:t xml:space="preserve"> operative</w:t>
            </w:r>
            <w:r>
              <w:rPr>
                <w:sz w:val="16"/>
              </w:rPr>
              <w:t>n Wirksamkeit</w:t>
            </w:r>
            <w:r w:rsidR="00891C11">
              <w:rPr>
                <w:sz w:val="16"/>
              </w:rPr>
              <w:t xml:space="preserve"> </w:t>
            </w:r>
            <w:r w:rsidR="00064FC3">
              <w:rPr>
                <w:sz w:val="16"/>
              </w:rPr>
              <w:t xml:space="preserve">der </w:t>
            </w:r>
            <w:r w:rsidR="00891C11">
              <w:rPr>
                <w:sz w:val="16"/>
              </w:rPr>
              <w:t xml:space="preserve">internen Kontrollen zur Prävention und Erkennung von Marktmissbrauch und/oder </w:t>
            </w:r>
            <w:r>
              <w:rPr>
                <w:sz w:val="16"/>
              </w:rPr>
              <w:t xml:space="preserve">Durchführung </w:t>
            </w:r>
            <w:r w:rsidR="00064FC3">
              <w:rPr>
                <w:sz w:val="16"/>
              </w:rPr>
              <w:t>von aussagebezogenen</w:t>
            </w:r>
            <w:r w:rsidR="008C701D">
              <w:rPr>
                <w:sz w:val="16"/>
              </w:rPr>
              <w:t xml:space="preserve"> Prüfung</w:t>
            </w:r>
            <w:r w:rsidR="00064FC3">
              <w:rPr>
                <w:sz w:val="16"/>
              </w:rPr>
              <w:t>shandlungen</w:t>
            </w:r>
            <w:r w:rsidR="008C701D">
              <w:rPr>
                <w:sz w:val="16"/>
              </w:rPr>
              <w:t xml:space="preserve"> </w:t>
            </w:r>
            <w:r w:rsidR="00064FC3">
              <w:rPr>
                <w:sz w:val="16"/>
              </w:rPr>
              <w:t>in Bezug auf</w:t>
            </w:r>
            <w:r w:rsidR="00891C11">
              <w:rPr>
                <w:sz w:val="16"/>
              </w:rPr>
              <w:t>:</w:t>
            </w:r>
          </w:p>
          <w:p w14:paraId="0BC47AB8" w14:textId="0D69369B" w:rsidR="00891C11" w:rsidRPr="00CC08EA" w:rsidRDefault="004B6805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die B</w:t>
            </w:r>
            <w:r w:rsidR="00891C11">
              <w:rPr>
                <w:sz w:val="16"/>
              </w:rPr>
              <w:t>erichte</w:t>
            </w:r>
            <w:r w:rsidR="00101D58">
              <w:rPr>
                <w:sz w:val="16"/>
              </w:rPr>
              <w:t>rstattung</w:t>
            </w:r>
            <w:r w:rsidR="00891C11">
              <w:rPr>
                <w:sz w:val="16"/>
              </w:rPr>
              <w:t xml:space="preserve"> an die Geschäfts</w:t>
            </w:r>
            <w:r>
              <w:rPr>
                <w:sz w:val="16"/>
              </w:rPr>
              <w:t>leitung</w:t>
            </w:r>
            <w:r w:rsidR="00891C11">
              <w:rPr>
                <w:sz w:val="16"/>
              </w:rPr>
              <w:t xml:space="preserve"> zu</w:t>
            </w:r>
            <w:r w:rsidR="00101D58">
              <w:rPr>
                <w:sz w:val="16"/>
              </w:rPr>
              <w:t>r</w:t>
            </w:r>
            <w:r w:rsidR="00891C11">
              <w:rPr>
                <w:sz w:val="16"/>
              </w:rPr>
              <w:t xml:space="preserve"> Prävention und Erkennung von Marktmissbrauch;</w:t>
            </w:r>
          </w:p>
          <w:p w14:paraId="0BA48A9C" w14:textId="34E64218" w:rsidR="00891C11" w:rsidRDefault="004B6805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die </w:t>
            </w:r>
            <w:r w:rsidR="00941344">
              <w:rPr>
                <w:sz w:val="16"/>
              </w:rPr>
              <w:t>A</w:t>
            </w:r>
            <w:r w:rsidR="00891C11">
              <w:rPr>
                <w:sz w:val="16"/>
              </w:rPr>
              <w:t xml:space="preserve">ngemessenheit </w:t>
            </w:r>
            <w:r>
              <w:rPr>
                <w:sz w:val="16"/>
              </w:rPr>
              <w:t xml:space="preserve">der </w:t>
            </w:r>
            <w:r w:rsidR="00891C11">
              <w:rPr>
                <w:sz w:val="16"/>
              </w:rPr>
              <w:t>Systeme und Kontrollen zur Erkennung von Marktmissbrauch (Kunden/Depotbanken) in regulierten und nicht regulierten Märkten, (z.</w:t>
            </w:r>
            <w:r w:rsidR="00101D58">
              <w:rPr>
                <w:sz w:val="16"/>
              </w:rPr>
              <w:t> </w:t>
            </w:r>
            <w:r w:rsidR="00891C11">
              <w:rPr>
                <w:sz w:val="16"/>
              </w:rPr>
              <w:t>B.</w:t>
            </w:r>
            <w:r w:rsidR="00891C11">
              <w:t xml:space="preserve"> </w:t>
            </w:r>
            <w:r w:rsidR="00891C11">
              <w:rPr>
                <w:sz w:val="16"/>
              </w:rPr>
              <w:t xml:space="preserve">dokumentierte Kontrollen, ob die </w:t>
            </w:r>
            <w:r w:rsidR="00101D58">
              <w:rPr>
                <w:sz w:val="16"/>
              </w:rPr>
              <w:t>Unternehmensb</w:t>
            </w:r>
            <w:r w:rsidR="00891C11">
              <w:rPr>
                <w:sz w:val="16"/>
              </w:rPr>
              <w:t>ereiche/Depotbanken/Kunden</w:t>
            </w:r>
            <w:r w:rsidR="00101D58">
              <w:rPr>
                <w:sz w:val="16"/>
              </w:rPr>
              <w:t xml:space="preserve"> mit der besten Performance</w:t>
            </w:r>
            <w:r w:rsidR="00891C11">
              <w:rPr>
                <w:sz w:val="16"/>
              </w:rPr>
              <w:t xml:space="preserve"> </w:t>
            </w:r>
            <w:r w:rsidR="001B66EC">
              <w:rPr>
                <w:sz w:val="16"/>
              </w:rPr>
              <w:t>hinsichtlich</w:t>
            </w:r>
            <w:r w:rsidR="00891C11">
              <w:rPr>
                <w:sz w:val="16"/>
              </w:rPr>
              <w:t xml:space="preserve"> ihre</w:t>
            </w:r>
            <w:r w:rsidR="001B66EC">
              <w:rPr>
                <w:sz w:val="16"/>
              </w:rPr>
              <w:t>r</w:t>
            </w:r>
            <w:r w:rsidR="00891C11">
              <w:rPr>
                <w:sz w:val="16"/>
              </w:rPr>
              <w:t xml:space="preserve"> Marktintegrität </w:t>
            </w:r>
            <w:r w:rsidR="00064FC3">
              <w:rPr>
                <w:sz w:val="16"/>
              </w:rPr>
              <w:t xml:space="preserve">beurteilt </w:t>
            </w:r>
            <w:r w:rsidR="00891C11">
              <w:rPr>
                <w:sz w:val="16"/>
              </w:rPr>
              <w:t>w</w:t>
            </w:r>
            <w:r w:rsidR="002468C3">
              <w:rPr>
                <w:sz w:val="16"/>
              </w:rPr>
              <w:t>e</w:t>
            </w:r>
            <w:r w:rsidR="00891C11">
              <w:rPr>
                <w:sz w:val="16"/>
              </w:rPr>
              <w:t xml:space="preserve">rden); </w:t>
            </w:r>
          </w:p>
          <w:p w14:paraId="695CFD43" w14:textId="641A9E87" w:rsidR="00891C11" w:rsidRPr="002A1CF3" w:rsidRDefault="004B6805" w:rsidP="002A1CF3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die </w:t>
            </w:r>
            <w:r w:rsidR="00891C11">
              <w:rPr>
                <w:sz w:val="16"/>
              </w:rPr>
              <w:t>Mitarbeiterschulungs</w:t>
            </w:r>
            <w:r w:rsidR="003E64A0">
              <w:rPr>
                <w:sz w:val="16"/>
              </w:rPr>
              <w:t>p</w:t>
            </w:r>
            <w:r w:rsidR="00891C11">
              <w:rPr>
                <w:sz w:val="16"/>
              </w:rPr>
              <w:t>rogramme zu Marktmissbrauch;</w:t>
            </w:r>
          </w:p>
          <w:p w14:paraId="2F6CF019" w14:textId="0F95E5D7" w:rsidR="00891C11" w:rsidRPr="00992972" w:rsidRDefault="00891C11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Verletzungen von </w:t>
            </w:r>
            <w:r w:rsidR="00776009">
              <w:rPr>
                <w:sz w:val="16"/>
              </w:rPr>
              <w:t xml:space="preserve">regulatorischen Vorgaben </w:t>
            </w:r>
            <w:r>
              <w:rPr>
                <w:sz w:val="16"/>
              </w:rPr>
              <w:t xml:space="preserve">und internen </w:t>
            </w:r>
            <w:r w:rsidR="00776009">
              <w:rPr>
                <w:sz w:val="16"/>
              </w:rPr>
              <w:t>Richtlinien</w:t>
            </w:r>
            <w:r w:rsidR="001747A7">
              <w:rPr>
                <w:sz w:val="16"/>
              </w:rPr>
              <w:t xml:space="preserve"> in Bezug auf Marktverhalten</w:t>
            </w:r>
            <w:r w:rsidR="00776009">
              <w:rPr>
                <w:sz w:val="16"/>
              </w:rPr>
              <w:t xml:space="preserve"> führen zu angemessenen Sanktionen gegenüber Mitarbeitenden</w:t>
            </w:r>
            <w:r>
              <w:rPr>
                <w:sz w:val="16"/>
              </w:rPr>
              <w:t>;</w:t>
            </w:r>
          </w:p>
          <w:p w14:paraId="0143B31F" w14:textId="3D92F2B1" w:rsidR="00891C11" w:rsidRDefault="00776009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die </w:t>
            </w:r>
            <w:r w:rsidR="003E64A0">
              <w:rPr>
                <w:sz w:val="16"/>
              </w:rPr>
              <w:t xml:space="preserve">Einhaltung </w:t>
            </w:r>
            <w:r w:rsidR="001B66EC">
              <w:rPr>
                <w:sz w:val="16"/>
              </w:rPr>
              <w:t>der</w:t>
            </w:r>
            <w:r w:rsidR="003E64A0">
              <w:rPr>
                <w:sz w:val="16"/>
              </w:rPr>
              <w:t xml:space="preserve"> Watch List und Restricted List</w:t>
            </w:r>
            <w:r w:rsidR="00891C11">
              <w:rPr>
                <w:sz w:val="16"/>
              </w:rPr>
              <w:t xml:space="preserve">; </w:t>
            </w:r>
          </w:p>
          <w:p w14:paraId="1D3B5D0B" w14:textId="3242C8EB" w:rsidR="00891C11" w:rsidRDefault="00776009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 xml:space="preserve">die </w:t>
            </w:r>
            <w:r w:rsidR="00891C11">
              <w:rPr>
                <w:sz w:val="16"/>
              </w:rPr>
              <w:t xml:space="preserve">Massnahmen zur Überwachung von Transaktionen von </w:t>
            </w:r>
            <w:r w:rsidR="00FA3902">
              <w:rPr>
                <w:sz w:val="16"/>
              </w:rPr>
              <w:t>Mitgliedern des Oberleitungsorgans</w:t>
            </w:r>
            <w:r w:rsidR="00891C11">
              <w:rPr>
                <w:sz w:val="16"/>
              </w:rPr>
              <w:t>, Geschäfts</w:t>
            </w:r>
            <w:r>
              <w:rPr>
                <w:sz w:val="16"/>
              </w:rPr>
              <w:t>leitungsmitgliedern</w:t>
            </w:r>
            <w:r w:rsidR="00891C11">
              <w:rPr>
                <w:sz w:val="16"/>
              </w:rPr>
              <w:t xml:space="preserve"> und Mitarbeitenden; </w:t>
            </w:r>
          </w:p>
          <w:p w14:paraId="096D2BFE" w14:textId="4CDBB224" w:rsidR="00891C11" w:rsidRDefault="00776009" w:rsidP="00E716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die </w:t>
            </w:r>
            <w:r w:rsidR="00891C11">
              <w:rPr>
                <w:sz w:val="16"/>
              </w:rPr>
              <w:t xml:space="preserve">Einhaltung von Informationsbarrieren (sofern </w:t>
            </w:r>
            <w:r w:rsidR="001B3AB9">
              <w:rPr>
                <w:sz w:val="16"/>
              </w:rPr>
              <w:t>anwendbar</w:t>
            </w:r>
            <w:r w:rsidR="00891C11">
              <w:rPr>
                <w:sz w:val="16"/>
              </w:rPr>
              <w:t>);</w:t>
            </w:r>
          </w:p>
          <w:p w14:paraId="1AE6B725" w14:textId="7A4BA15E" w:rsidR="00891C11" w:rsidRPr="00D02D6B" w:rsidRDefault="00776009" w:rsidP="006E736F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die Einhaltung der </w:t>
            </w:r>
            <w:r w:rsidR="00891C11">
              <w:rPr>
                <w:sz w:val="16"/>
              </w:rPr>
              <w:t>Meldepflicht gegenüber der FINMA</w:t>
            </w:r>
            <w:r w:rsidR="001B3AB9">
              <w:rPr>
                <w:sz w:val="16"/>
              </w:rPr>
              <w:t xml:space="preserve"> bei</w:t>
            </w:r>
            <w:r w:rsidR="00891C11">
              <w:rPr>
                <w:sz w:val="16"/>
              </w:rPr>
              <w:t xml:space="preserve"> verdächtigen Transaktionen (gemäss Art.</w:t>
            </w:r>
            <w:r w:rsidR="001B3AB9">
              <w:rPr>
                <w:sz w:val="16"/>
              </w:rPr>
              <w:t> </w:t>
            </w:r>
            <w:r w:rsidR="00891C11">
              <w:rPr>
                <w:sz w:val="16"/>
              </w:rPr>
              <w:t>29 Abs.</w:t>
            </w:r>
            <w:r w:rsidR="001B3AB9">
              <w:rPr>
                <w:sz w:val="16"/>
              </w:rPr>
              <w:t> </w:t>
            </w:r>
            <w:r w:rsidR="00891C11">
              <w:rPr>
                <w:sz w:val="16"/>
              </w:rPr>
              <w:t>2 FINMAG).</w:t>
            </w:r>
          </w:p>
        </w:tc>
        <w:tc>
          <w:tcPr>
            <w:tcW w:w="2552" w:type="dxa"/>
          </w:tcPr>
          <w:p w14:paraId="200CB7E5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2F7A189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91C11" w:rsidRPr="00A7280C" w14:paraId="5E2F63C9" w14:textId="77777777" w:rsidTr="00D02D6B">
        <w:tc>
          <w:tcPr>
            <w:tcW w:w="534" w:type="dxa"/>
          </w:tcPr>
          <w:p w14:paraId="4F50FFB7" w14:textId="77777777" w:rsidR="00891C11" w:rsidRPr="002E0311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16EED96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79D9917" w14:textId="43E128F7" w:rsidR="00891C11" w:rsidRPr="00133AB4" w:rsidRDefault="00891C11" w:rsidP="00A4046F">
            <w:pPr>
              <w:pStyle w:val="Bullet"/>
              <w:numPr>
                <w:ilvl w:val="0"/>
                <w:numId w:val="0"/>
              </w:numPr>
              <w:spacing w:before="120" w:after="120"/>
            </w:pPr>
            <w:r>
              <w:t>Protokolle und Berichte an die Geschäfts</w:t>
            </w:r>
            <w:r w:rsidR="00776009">
              <w:t>leitung</w:t>
            </w:r>
            <w:r>
              <w:t xml:space="preserve"> lesen und beurteilen, ob die Überwachung angemessen ist und ob die nötigen </w:t>
            </w:r>
            <w:r w:rsidR="00A4046F">
              <w:t xml:space="preserve">Massnahmen definiert </w:t>
            </w:r>
            <w:r>
              <w:t xml:space="preserve">wurden. </w:t>
            </w:r>
          </w:p>
        </w:tc>
        <w:tc>
          <w:tcPr>
            <w:tcW w:w="3685" w:type="dxa"/>
          </w:tcPr>
          <w:p w14:paraId="0406DC1A" w14:textId="77777777" w:rsidR="00891C11" w:rsidRDefault="00891C11" w:rsidP="00E716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3695A2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7172691" w14:textId="77777777" w:rsidR="00891C11" w:rsidRPr="00133AB4" w:rsidRDefault="00891C11" w:rsidP="00E71689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bookmarkEnd w:id="0"/>
    <w:p w14:paraId="5B14116D" w14:textId="66457117" w:rsidR="00891C11" w:rsidRPr="003A46E8" w:rsidRDefault="00891C11" w:rsidP="00D02D6B">
      <w:pPr>
        <w:spacing w:before="120" w:after="120" w:line="240" w:lineRule="auto"/>
        <w:jc w:val="center"/>
        <w:rPr>
          <w:rFonts w:cs="Arial"/>
        </w:rPr>
      </w:pPr>
      <w:r>
        <w:rPr>
          <w:sz w:val="16"/>
        </w:rPr>
        <w:t>*******************************</w:t>
      </w:r>
    </w:p>
    <w:p w14:paraId="2BED62A8" w14:textId="77777777" w:rsidR="002A48CF" w:rsidRPr="00A7280C" w:rsidRDefault="002A48CF" w:rsidP="00A7280C">
      <w:pPr>
        <w:spacing w:line="240" w:lineRule="auto"/>
        <w:rPr>
          <w:sz w:val="2"/>
        </w:rPr>
      </w:pPr>
    </w:p>
    <w:sectPr w:rsidR="002A48CF" w:rsidRPr="00A7280C" w:rsidSect="00A13D9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2206" w:right="1134" w:bottom="1701" w:left="1701" w:header="198" w:footer="26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922C8" w14:textId="77777777" w:rsidR="00416827" w:rsidRDefault="00416827">
      <w:r>
        <w:separator/>
      </w:r>
    </w:p>
  </w:endnote>
  <w:endnote w:type="continuationSeparator" w:id="0">
    <w:p w14:paraId="015361E6" w14:textId="77777777" w:rsidR="00416827" w:rsidRDefault="0041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23" w:type="pct"/>
      <w:tblCellMar>
        <w:right w:w="0" w:type="dxa"/>
      </w:tblCellMar>
      <w:tblLook w:val="04A0" w:firstRow="1" w:lastRow="0" w:firstColumn="1" w:lastColumn="0" w:noHBand="0" w:noVBand="1"/>
    </w:tblPr>
    <w:tblGrid>
      <w:gridCol w:w="14316"/>
      <w:gridCol w:w="7852"/>
      <w:gridCol w:w="2262"/>
    </w:tblGrid>
    <w:tr w:rsidR="00455E44" w14:paraId="43BF1B6F" w14:textId="77777777" w:rsidTr="00187516">
      <w:tc>
        <w:tcPr>
          <w:tcW w:w="2930" w:type="pct"/>
          <w:tcMar>
            <w:left w:w="0" w:type="dxa"/>
          </w:tcMar>
        </w:tcPr>
        <w:p w14:paraId="4C98255C" w14:textId="74C17BA4" w:rsidR="00187516" w:rsidRPr="005D5015" w:rsidRDefault="00187516" w:rsidP="00187516">
          <w:pPr>
            <w:tabs>
              <w:tab w:val="left" w:pos="1859"/>
            </w:tabs>
            <w:spacing w:before="60" w:after="60" w:line="240" w:lineRule="auto"/>
            <w:rPr>
              <w:sz w:val="16"/>
              <w:szCs w:val="16"/>
            </w:rPr>
          </w:pPr>
          <w:r>
            <w:rPr>
              <w:sz w:val="16"/>
            </w:rPr>
            <w:t>Für das Prüf</w:t>
          </w:r>
          <w:r w:rsidR="00572DC5">
            <w:rPr>
              <w:sz w:val="16"/>
            </w:rPr>
            <w:t>feld</w:t>
          </w:r>
          <w:r w:rsidR="00B97A56">
            <w:rPr>
              <w:sz w:val="16"/>
            </w:rPr>
            <w:t xml:space="preserve"> </w:t>
          </w:r>
          <w:r w:rsidR="0035208E">
            <w:rPr>
              <w:sz w:val="16"/>
            </w:rPr>
            <w:t>"</w:t>
          </w:r>
          <w:r>
            <w:rPr>
              <w:sz w:val="16"/>
            </w:rPr>
            <w:t>Verhaltensregeln</w:t>
          </w:r>
          <w:r w:rsidR="00B97A56">
            <w:rPr>
              <w:sz w:val="16"/>
            </w:rPr>
            <w:t xml:space="preserve">: Marktverhalten und </w:t>
          </w:r>
          <w:r>
            <w:rPr>
              <w:sz w:val="16"/>
            </w:rPr>
            <w:t>Marktintegrität</w:t>
          </w:r>
          <w:r w:rsidR="00440445">
            <w:rPr>
              <w:sz w:val="16"/>
            </w:rPr>
            <w:t>“</w:t>
          </w:r>
          <w:r>
            <w:rPr>
              <w:sz w:val="16"/>
            </w:rPr>
            <w:t xml:space="preserve"> anwendbare </w:t>
          </w:r>
          <w:r w:rsidR="002179C5">
            <w:rPr>
              <w:sz w:val="16"/>
            </w:rPr>
            <w:t>Prüfpunkte, anwendbar für Prüfperioden beginnend am oder nach dem 1.1.2020.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sdt>
            <w:sdtPr>
              <w:rPr>
                <w:sz w:val="16"/>
                <w:szCs w:val="16"/>
              </w:rPr>
              <w:id w:val="-158490362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rPr>
                  <w:sz w:val="16"/>
                </w:rPr>
                <w:t xml:space="preserve">Seite </w:t>
              </w:r>
              <w:r w:rsidRPr="005061E9">
                <w:rPr>
                  <w:sz w:val="16"/>
                  <w:szCs w:val="16"/>
                </w:rPr>
                <w:fldChar w:fldCharType="begin"/>
              </w:r>
              <w:r w:rsidRPr="005061E9">
                <w:rPr>
                  <w:sz w:val="16"/>
                  <w:szCs w:val="16"/>
                </w:rPr>
                <w:instrText xml:space="preserve"> PAGE   \* MERGEFORMAT </w:instrText>
              </w:r>
              <w:r w:rsidRPr="005061E9">
                <w:rPr>
                  <w:sz w:val="16"/>
                  <w:szCs w:val="16"/>
                </w:rPr>
                <w:fldChar w:fldCharType="separate"/>
              </w:r>
              <w:r w:rsidR="00165BF9">
                <w:rPr>
                  <w:noProof/>
                  <w:sz w:val="16"/>
                  <w:szCs w:val="16"/>
                </w:rPr>
                <w:t>7</w:t>
              </w:r>
              <w:r w:rsidRPr="005061E9">
                <w:rPr>
                  <w:noProof/>
                  <w:sz w:val="16"/>
                  <w:szCs w:val="16"/>
                </w:rPr>
                <w:fldChar w:fldCharType="end"/>
              </w:r>
            </w:sdtContent>
          </w:sdt>
        </w:p>
        <w:p w14:paraId="640CCC54" w14:textId="77777777" w:rsidR="00455E44" w:rsidRPr="00975547" w:rsidRDefault="00455E44" w:rsidP="00455E44">
          <w:pPr>
            <w:pStyle w:val="Fuzeile"/>
            <w:tabs>
              <w:tab w:val="clear" w:pos="8618"/>
            </w:tabs>
          </w:pPr>
        </w:p>
      </w:tc>
      <w:tc>
        <w:tcPr>
          <w:tcW w:w="1607" w:type="pct"/>
          <w:tcMar>
            <w:left w:w="0" w:type="dxa"/>
          </w:tcMar>
        </w:tcPr>
        <w:p w14:paraId="5A07AD2C" w14:textId="77777777" w:rsidR="00455E44" w:rsidRDefault="00455E44" w:rsidP="00455E44">
          <w:pPr>
            <w:pStyle w:val="Fuzeile"/>
            <w:tabs>
              <w:tab w:val="clear" w:pos="8618"/>
            </w:tabs>
          </w:pPr>
        </w:p>
      </w:tc>
      <w:tc>
        <w:tcPr>
          <w:tcW w:w="463" w:type="pct"/>
          <w:tcMar>
            <w:left w:w="0" w:type="dxa"/>
          </w:tcMar>
        </w:tcPr>
        <w:p w14:paraId="738B5815" w14:textId="79104533" w:rsidR="00455E44" w:rsidRPr="00D81961" w:rsidRDefault="00455E44" w:rsidP="00D81961">
          <w:pPr>
            <w:pStyle w:val="Fuzeile"/>
            <w:tabs>
              <w:tab w:val="clear" w:pos="8618"/>
              <w:tab w:val="left" w:pos="1473"/>
            </w:tabs>
            <w:ind w:right="29"/>
            <w:rPr>
              <w:sz w:val="15"/>
              <w:szCs w:val="15"/>
            </w:rPr>
          </w:pPr>
          <w:r w:rsidRPr="00D81961">
            <w:rPr>
              <w:sz w:val="15"/>
              <w:szCs w:val="15"/>
            </w:rPr>
            <w:fldChar w:fldCharType="begin"/>
          </w:r>
          <w:r w:rsidRPr="00D81961">
            <w:rPr>
              <w:sz w:val="15"/>
              <w:szCs w:val="15"/>
            </w:rPr>
            <w:instrText xml:space="preserve"> PAGE </w:instrText>
          </w:r>
          <w:r w:rsidRPr="00D81961">
            <w:rPr>
              <w:sz w:val="15"/>
              <w:szCs w:val="15"/>
            </w:rPr>
            <w:fldChar w:fldCharType="separate"/>
          </w:r>
          <w:r w:rsidR="00165BF9">
            <w:rPr>
              <w:noProof/>
              <w:sz w:val="15"/>
              <w:szCs w:val="15"/>
            </w:rPr>
            <w:t>7</w:t>
          </w:r>
          <w:r w:rsidRPr="00D81961">
            <w:rPr>
              <w:noProof/>
              <w:sz w:val="15"/>
              <w:szCs w:val="15"/>
            </w:rPr>
            <w:fldChar w:fldCharType="end"/>
          </w:r>
          <w:r>
            <w:rPr>
              <w:sz w:val="15"/>
            </w:rPr>
            <w:t>/</w:t>
          </w:r>
          <w:r w:rsidR="00F0725C" w:rsidRPr="00D81961">
            <w:rPr>
              <w:sz w:val="15"/>
              <w:szCs w:val="15"/>
            </w:rPr>
            <w:fldChar w:fldCharType="begin"/>
          </w:r>
          <w:r w:rsidR="00F0725C" w:rsidRPr="00D81961">
            <w:rPr>
              <w:sz w:val="15"/>
              <w:szCs w:val="15"/>
            </w:rPr>
            <w:instrText xml:space="preserve"> NUMPAGES </w:instrText>
          </w:r>
          <w:r w:rsidR="00F0725C" w:rsidRPr="00D81961">
            <w:rPr>
              <w:sz w:val="15"/>
              <w:szCs w:val="15"/>
            </w:rPr>
            <w:fldChar w:fldCharType="separate"/>
          </w:r>
          <w:r w:rsidR="00165BF9">
            <w:rPr>
              <w:noProof/>
              <w:sz w:val="15"/>
              <w:szCs w:val="15"/>
            </w:rPr>
            <w:t>7</w:t>
          </w:r>
          <w:r w:rsidR="00F0725C" w:rsidRPr="00D81961">
            <w:rPr>
              <w:noProof/>
              <w:sz w:val="15"/>
              <w:szCs w:val="15"/>
            </w:rPr>
            <w:fldChar w:fldCharType="end"/>
          </w:r>
        </w:p>
      </w:tc>
    </w:tr>
  </w:tbl>
  <w:p w14:paraId="158C4A44" w14:textId="77777777" w:rsidR="00455E44" w:rsidRDefault="00455E44" w:rsidP="00975547">
    <w:pPr>
      <w:pStyle w:val="Fuzeile"/>
      <w:tabs>
        <w:tab w:val="clear" w:pos="8618"/>
        <w:tab w:val="right" w:pos="14600"/>
      </w:tabs>
      <w:ind w:left="-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29"/>
      <w:gridCol w:w="2474"/>
    </w:tblGrid>
    <w:tr w:rsidR="00455E44" w:rsidRPr="00680FFB" w14:paraId="4640627B" w14:textId="77777777" w:rsidTr="00D81961">
      <w:tc>
        <w:tcPr>
          <w:tcW w:w="11590" w:type="dxa"/>
        </w:tcPr>
        <w:p w14:paraId="31D0C0E1" w14:textId="7C38ED5D" w:rsidR="00C14FBE" w:rsidRDefault="00C14FBE" w:rsidP="00C14FBE">
          <w:pPr>
            <w:pStyle w:val="Fuzeile"/>
            <w:spacing w:line="240" w:lineRule="auto"/>
            <w:rPr>
              <w:sz w:val="15"/>
              <w:szCs w:val="15"/>
            </w:rPr>
          </w:pPr>
          <w:bookmarkStart w:id="2" w:name="BkmBarcode01" w:colFirst="1" w:colLast="1"/>
          <w:r>
            <w:rPr>
              <w:sz w:val="15"/>
              <w:szCs w:val="15"/>
            </w:rPr>
            <w:t>Laupenstrasse 27</w:t>
          </w:r>
          <w:r>
            <w:rPr>
              <w:sz w:val="15"/>
              <w:szCs w:val="15"/>
            </w:rPr>
            <w:br/>
            <w:t>3003 Bern</w:t>
          </w:r>
          <w:r w:rsidR="00981030">
            <w:rPr>
              <w:sz w:val="15"/>
              <w:szCs w:val="15"/>
            </w:rPr>
            <w:br/>
          </w:r>
          <w:r w:rsidR="000B61B4">
            <w:rPr>
              <w:sz w:val="15"/>
              <w:szCs w:val="15"/>
            </w:rPr>
            <w:t>Tel. +41 (0) 31 317 91 00</w:t>
          </w:r>
        </w:p>
        <w:p w14:paraId="33E832C6" w14:textId="6E28492A" w:rsidR="00455E44" w:rsidRPr="00680FFB" w:rsidRDefault="00C14FBE" w:rsidP="00C14FBE">
          <w:pPr>
            <w:pStyle w:val="Fuzeile"/>
            <w:spacing w:line="240" w:lineRule="auto"/>
          </w:pPr>
          <w:r>
            <w:rPr>
              <w:sz w:val="15"/>
              <w:szCs w:val="15"/>
            </w:rPr>
            <w:t>Fax +41 (0) 31 327 91 01</w:t>
          </w:r>
          <w:r w:rsidR="00981030">
            <w:rPr>
              <w:sz w:val="15"/>
              <w:szCs w:val="15"/>
            </w:rPr>
            <w:br/>
          </w:r>
          <w:r>
            <w:rPr>
              <w:b/>
              <w:sz w:val="15"/>
              <w:szCs w:val="15"/>
            </w:rPr>
            <w:t>www.finma.ch</w:t>
          </w:r>
        </w:p>
      </w:tc>
      <w:tc>
        <w:tcPr>
          <w:tcW w:w="2487" w:type="dxa"/>
          <w:vMerge w:val="restart"/>
          <w:vAlign w:val="bottom"/>
        </w:tcPr>
        <w:p w14:paraId="6DF0B443" w14:textId="77777777" w:rsidR="00455E44" w:rsidRPr="00465386" w:rsidRDefault="00455E44" w:rsidP="00455E44">
          <w:pPr>
            <w:pStyle w:val="Fuzeile"/>
            <w:spacing w:line="240" w:lineRule="auto"/>
            <w:jc w:val="right"/>
          </w:pPr>
        </w:p>
      </w:tc>
    </w:tr>
    <w:tr w:rsidR="00455E44" w:rsidRPr="00680FFB" w14:paraId="75EB5F73" w14:textId="77777777" w:rsidTr="00D81961">
      <w:tc>
        <w:tcPr>
          <w:tcW w:w="11590" w:type="dxa"/>
        </w:tcPr>
        <w:p w14:paraId="2F0ED124" w14:textId="77777777" w:rsidR="00455E44" w:rsidRPr="00465386" w:rsidRDefault="00455E44" w:rsidP="00455E44">
          <w:pPr>
            <w:pStyle w:val="Fuzeile"/>
            <w:spacing w:line="240" w:lineRule="auto"/>
          </w:pPr>
        </w:p>
      </w:tc>
      <w:tc>
        <w:tcPr>
          <w:tcW w:w="2487" w:type="dxa"/>
          <w:vMerge/>
        </w:tcPr>
        <w:p w14:paraId="667A1E5A" w14:textId="77777777" w:rsidR="00455E44" w:rsidRPr="00465386" w:rsidRDefault="00455E44" w:rsidP="00455E44">
          <w:pPr>
            <w:pStyle w:val="Fuzeile"/>
            <w:spacing w:line="240" w:lineRule="auto"/>
          </w:pPr>
        </w:p>
      </w:tc>
    </w:tr>
    <w:tr w:rsidR="00455E44" w:rsidRPr="00680FFB" w14:paraId="3CE570C4" w14:textId="77777777" w:rsidTr="00D81961">
      <w:tc>
        <w:tcPr>
          <w:tcW w:w="11590" w:type="dxa"/>
        </w:tcPr>
        <w:p w14:paraId="61B9A92C" w14:textId="6E15A1A8" w:rsidR="00455E44" w:rsidRPr="00D81961" w:rsidRDefault="00CE1FE0" w:rsidP="004622A6">
          <w:pPr>
            <w:pStyle w:val="Fuzeile"/>
            <w:spacing w:line="240" w:lineRule="auto"/>
            <w:rPr>
              <w:rFonts w:cs="Arial"/>
              <w:sz w:val="12"/>
              <w:szCs w:val="12"/>
            </w:rPr>
          </w:pP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IF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"geschaeft_id" </w:instrText>
          </w:r>
          <w:r w:rsidRPr="005D0B7C">
            <w:rPr>
              <w:sz w:val="12"/>
              <w:szCs w:val="12"/>
            </w:rPr>
            <w:fldChar w:fldCharType="separate"/>
          </w:r>
          <w:r w:rsidR="00941344">
            <w:rPr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"="</w:instrText>
          </w:r>
          <w:r w:rsidRPr="005D0B7C">
            <w:rPr>
              <w:rStyle w:val="FINMARf-AktnrZchn"/>
              <w:sz w:val="12"/>
              <w:szCs w:val="12"/>
            </w:rPr>
            <w:fldChar w:fldCharType="begin"/>
          </w:r>
          <w:r w:rsidRPr="005D0B7C">
            <w:rPr>
              <w:rStyle w:val="FINMARf-AktnrZchn"/>
              <w:sz w:val="12"/>
              <w:szCs w:val="12"/>
            </w:rPr>
            <w:instrText xml:space="preserve"> DOCPROPERTY "NotExist" </w:instrText>
          </w:r>
          <w:r w:rsidRPr="005D0B7C">
            <w:rPr>
              <w:rStyle w:val="FINMARf-AktnrZchn"/>
              <w:sz w:val="12"/>
              <w:szCs w:val="12"/>
            </w:rPr>
            <w:fldChar w:fldCharType="separate"/>
          </w:r>
          <w:r w:rsidR="00941344">
            <w:rPr>
              <w:rStyle w:val="FINMARf-AktnrZchn"/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rStyle w:val="FINMARf-AktnrZchn"/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 ""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"geschaeft_id"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 xml:space="preserve">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IF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"aktionswert" </w:instrText>
          </w:r>
          <w:r w:rsidRPr="005D0B7C">
            <w:rPr>
              <w:sz w:val="12"/>
              <w:szCs w:val="12"/>
            </w:rPr>
            <w:fldChar w:fldCharType="separate"/>
          </w:r>
          <w:r w:rsidR="00941344">
            <w:rPr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"="</w:instrText>
          </w:r>
          <w:r w:rsidRPr="005D0B7C">
            <w:rPr>
              <w:rStyle w:val="FINMARf-AktnrZchn"/>
              <w:sz w:val="12"/>
              <w:szCs w:val="12"/>
            </w:rPr>
            <w:fldChar w:fldCharType="begin"/>
          </w:r>
          <w:r w:rsidRPr="005D0B7C">
            <w:rPr>
              <w:rStyle w:val="FINMARf-AktnrZchn"/>
              <w:sz w:val="12"/>
              <w:szCs w:val="12"/>
            </w:rPr>
            <w:instrText xml:space="preserve"> DOCPROPERTY "NotExist" </w:instrText>
          </w:r>
          <w:r w:rsidRPr="005D0B7C">
            <w:rPr>
              <w:rStyle w:val="FINMARf-AktnrZchn"/>
              <w:sz w:val="12"/>
              <w:szCs w:val="12"/>
            </w:rPr>
            <w:fldChar w:fldCharType="separate"/>
          </w:r>
          <w:r w:rsidR="00941344">
            <w:rPr>
              <w:rStyle w:val="FINMARf-AktnrZchn"/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rStyle w:val="FINMARf-AktnrZchn"/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 ""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"aktionswert"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 xml:space="preserve">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IF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"aktionswert" </w:instrText>
          </w:r>
          <w:r w:rsidRPr="005D0B7C">
            <w:rPr>
              <w:sz w:val="12"/>
              <w:szCs w:val="12"/>
            </w:rPr>
            <w:fldChar w:fldCharType="separate"/>
          </w:r>
          <w:r w:rsidR="00941344">
            <w:rPr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 xml:space="preserve">"="" ";" "" </w:instrText>
          </w:r>
          <w:r w:rsidR="00165BF9">
            <w:rPr>
              <w:sz w:val="12"/>
              <w:szCs w:val="12"/>
            </w:rPr>
            <w:fldChar w:fldCharType="separate"/>
          </w:r>
          <w:r w:rsidRPr="005D0B7C">
            <w:rPr>
              <w:sz w:val="12"/>
              <w:szCs w:val="12"/>
            </w:rPr>
            <w:fldChar w:fldCharType="end"/>
          </w:r>
          <w:sdt>
            <w:sdtPr>
              <w:rPr>
                <w:sz w:val="12"/>
                <w:szCs w:val="12"/>
              </w:rPr>
              <w:alias w:val="Document ID Value"/>
              <w:tag w:val="_dlc_DocId"/>
              <w:id w:val="443044879"/>
              <w:text/>
            </w:sdtPr>
            <w:sdtEndPr/>
            <w:sdtContent>
              <w:r>
                <w:rPr>
                  <w:sz w:val="12"/>
                  <w:szCs w:val="12"/>
                </w:rPr>
                <w:t>b1004961-0000568</w:t>
              </w:r>
            </w:sdtContent>
          </w:sdt>
        </w:p>
      </w:tc>
      <w:tc>
        <w:tcPr>
          <w:tcW w:w="2487" w:type="dxa"/>
          <w:vMerge/>
        </w:tcPr>
        <w:p w14:paraId="2A9BFA7E" w14:textId="77777777" w:rsidR="00455E44" w:rsidRPr="00465386" w:rsidRDefault="00455E44" w:rsidP="00455E44">
          <w:pPr>
            <w:pStyle w:val="Fuzeile"/>
            <w:spacing w:line="240" w:lineRule="auto"/>
          </w:pPr>
        </w:p>
      </w:tc>
    </w:tr>
  </w:tbl>
  <w:bookmarkEnd w:id="2"/>
  <w:p w14:paraId="4923E37F" w14:textId="77777777" w:rsidR="00455E44" w:rsidRPr="00F768F1" w:rsidRDefault="00165BF9" w:rsidP="00F768F1">
    <w:pPr>
      <w:pStyle w:val="Fuzeile"/>
      <w:spacing w:line="240" w:lineRule="auto"/>
      <w:rPr>
        <w:sz w:val="2"/>
        <w:szCs w:val="2"/>
      </w:rPr>
    </w:pPr>
    <w:sdt>
      <w:sdtPr>
        <w:rPr>
          <w:rFonts w:cs="Arial"/>
          <w:sz w:val="12"/>
          <w:szCs w:val="12"/>
        </w:rPr>
        <w:alias w:val="docid"/>
        <w:tag w:val="docid"/>
        <w:id w:val="-1710867897"/>
        <w:showingPlcHdr/>
      </w:sdtPr>
      <w:sdtEndPr/>
      <w:sdtContent>
        <w:r w:rsidR="00806AD2">
          <w:rPr>
            <w:sz w:val="12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8A9A" w14:textId="77777777" w:rsidR="00416827" w:rsidRDefault="00416827">
      <w:r>
        <w:separator/>
      </w:r>
    </w:p>
  </w:footnote>
  <w:footnote w:type="continuationSeparator" w:id="0">
    <w:p w14:paraId="24E784EA" w14:textId="77777777" w:rsidR="00416827" w:rsidRDefault="00416827">
      <w:r>
        <w:continuationSeparator/>
      </w:r>
    </w:p>
  </w:footnote>
  <w:footnote w:id="1">
    <w:p w14:paraId="6EF35D1D" w14:textId="668C0E76" w:rsidR="00891C11" w:rsidRPr="00B714AC" w:rsidRDefault="00891C11" w:rsidP="001F1CE1">
      <w:pPr>
        <w:shd w:val="clear" w:color="auto" w:fill="FFFFFF"/>
        <w:spacing w:line="240" w:lineRule="auto"/>
        <w:ind w:left="90" w:hanging="90"/>
        <w:rPr>
          <w:rFonts w:cs="Arial"/>
          <w:color w:val="222222"/>
          <w:sz w:val="16"/>
          <w:szCs w:val="16"/>
          <w:lang w:eastAsia="en-GB"/>
        </w:rPr>
      </w:pPr>
      <w:r>
        <w:rPr>
          <w:rStyle w:val="Funotenzeichen"/>
        </w:rPr>
        <w:footnoteRef/>
      </w:r>
      <w:r>
        <w:rPr>
          <w:sz w:val="16"/>
        </w:rPr>
        <w:t xml:space="preserve"> </w:t>
      </w:r>
      <w:r>
        <w:rPr>
          <w:b/>
          <w:sz w:val="16"/>
        </w:rPr>
        <w:t>Flow Trading</w:t>
      </w:r>
      <w:r>
        <w:rPr>
          <w:sz w:val="16"/>
        </w:rPr>
        <w:t xml:space="preserve"> </w:t>
      </w:r>
      <w:r w:rsidR="008F0C2A">
        <w:rPr>
          <w:sz w:val="16"/>
        </w:rPr>
        <w:t xml:space="preserve">bezeichnet </w:t>
      </w:r>
      <w:r>
        <w:rPr>
          <w:sz w:val="16"/>
        </w:rPr>
        <w:t>de</w:t>
      </w:r>
      <w:r w:rsidR="008F0C2A">
        <w:rPr>
          <w:sz w:val="16"/>
        </w:rPr>
        <w:t>n</w:t>
      </w:r>
      <w:r>
        <w:rPr>
          <w:sz w:val="16"/>
        </w:rPr>
        <w:t xml:space="preserve"> sehr kurzfristige</w:t>
      </w:r>
      <w:r w:rsidR="008F0C2A">
        <w:rPr>
          <w:sz w:val="16"/>
        </w:rPr>
        <w:t>n</w:t>
      </w:r>
      <w:r>
        <w:rPr>
          <w:sz w:val="16"/>
        </w:rPr>
        <w:t xml:space="preserve"> Verkauf oder Kauf von Produkten als Gegenpartei </w:t>
      </w:r>
      <w:r w:rsidR="004B6805">
        <w:rPr>
          <w:sz w:val="16"/>
        </w:rPr>
        <w:t xml:space="preserve">des </w:t>
      </w:r>
      <w:r>
        <w:rPr>
          <w:sz w:val="16"/>
        </w:rPr>
        <w:t>Kunden</w:t>
      </w:r>
      <w:r w:rsidR="00423008">
        <w:rPr>
          <w:sz w:val="16"/>
        </w:rPr>
        <w:t xml:space="preserve"> ohne jegliche Absicht</w:t>
      </w:r>
      <w:r>
        <w:rPr>
          <w:sz w:val="16"/>
        </w:rPr>
        <w:t>, die Produkte</w:t>
      </w:r>
      <w:r w:rsidR="00423008">
        <w:rPr>
          <w:sz w:val="16"/>
        </w:rPr>
        <w:t xml:space="preserve"> zu</w:t>
      </w:r>
      <w:r>
        <w:rPr>
          <w:sz w:val="16"/>
        </w:rPr>
        <w:t xml:space="preserve"> halten oder</w:t>
      </w:r>
      <w:r w:rsidR="009E275A">
        <w:rPr>
          <w:sz w:val="16"/>
        </w:rPr>
        <w:t xml:space="preserve"> eine Risikoposition darauf</w:t>
      </w:r>
      <w:r>
        <w:rPr>
          <w:sz w:val="16"/>
        </w:rPr>
        <w:t xml:space="preserve"> ein</w:t>
      </w:r>
      <w:r w:rsidR="00423008">
        <w:rPr>
          <w:sz w:val="16"/>
        </w:rPr>
        <w:t>zu</w:t>
      </w:r>
      <w:r>
        <w:rPr>
          <w:sz w:val="16"/>
        </w:rPr>
        <w:t>gehen.</w:t>
      </w:r>
      <w:r>
        <w:rPr>
          <w:color w:val="222222"/>
          <w:sz w:val="16"/>
        </w:rPr>
        <w:t xml:space="preserve"> Das Ziel </w:t>
      </w:r>
      <w:r w:rsidR="008F0C2A">
        <w:rPr>
          <w:color w:val="222222"/>
          <w:sz w:val="16"/>
        </w:rPr>
        <w:t xml:space="preserve">beim </w:t>
      </w:r>
      <w:r>
        <w:rPr>
          <w:color w:val="222222"/>
          <w:sz w:val="16"/>
        </w:rPr>
        <w:t xml:space="preserve">Flow Trading </w:t>
      </w:r>
      <w:r w:rsidR="008F0C2A">
        <w:rPr>
          <w:color w:val="222222"/>
          <w:sz w:val="16"/>
        </w:rPr>
        <w:t>besteht darin</w:t>
      </w:r>
      <w:r>
        <w:rPr>
          <w:color w:val="222222"/>
          <w:sz w:val="16"/>
        </w:rPr>
        <w:t xml:space="preserve">, über Geld-Brief-Spannen </w:t>
      </w:r>
      <w:r w:rsidR="004B6805">
        <w:rPr>
          <w:color w:val="222222"/>
          <w:sz w:val="16"/>
        </w:rPr>
        <w:t xml:space="preserve">risikoarmen Ertrag </w:t>
      </w:r>
      <w:r>
        <w:rPr>
          <w:color w:val="222222"/>
          <w:sz w:val="16"/>
        </w:rPr>
        <w:t xml:space="preserve">zu erzielen. Die Positionen können länger als einen Tag </w:t>
      </w:r>
      <w:r w:rsidR="004C7E90">
        <w:rPr>
          <w:color w:val="222222"/>
          <w:sz w:val="16"/>
        </w:rPr>
        <w:t xml:space="preserve">im </w:t>
      </w:r>
      <w:r w:rsidR="004B6805">
        <w:rPr>
          <w:color w:val="222222"/>
          <w:sz w:val="16"/>
        </w:rPr>
        <w:t xml:space="preserve">Bestand </w:t>
      </w:r>
      <w:r>
        <w:rPr>
          <w:color w:val="222222"/>
          <w:sz w:val="16"/>
        </w:rPr>
        <w:t>gehalten werden, aber wesentliche Risik</w:t>
      </w:r>
      <w:r w:rsidR="008F0C2A">
        <w:rPr>
          <w:color w:val="222222"/>
          <w:sz w:val="16"/>
        </w:rPr>
        <w:t>oposition</w:t>
      </w:r>
      <w:r>
        <w:rPr>
          <w:color w:val="222222"/>
          <w:sz w:val="16"/>
        </w:rPr>
        <w:t>en müssen spätestens zum Ende des Handelstages abgesichert sein.</w:t>
      </w:r>
    </w:p>
    <w:p w14:paraId="09480E56" w14:textId="2613A142" w:rsidR="00891C11" w:rsidRPr="008F0C2A" w:rsidRDefault="005E35CB" w:rsidP="001F1CE1">
      <w:pPr>
        <w:shd w:val="clear" w:color="auto" w:fill="FFFFFF"/>
        <w:spacing w:line="240" w:lineRule="auto"/>
        <w:ind w:left="90"/>
        <w:rPr>
          <w:rFonts w:cs="Arial"/>
          <w:color w:val="222222"/>
          <w:sz w:val="16"/>
          <w:szCs w:val="16"/>
          <w:lang w:eastAsia="en-GB"/>
        </w:rPr>
      </w:pPr>
      <w:r>
        <w:rPr>
          <w:b/>
          <w:color w:val="222222"/>
          <w:sz w:val="16"/>
        </w:rPr>
        <w:t>Professional Trading</w:t>
      </w:r>
      <w:r w:rsidR="00891C11" w:rsidRPr="005E35CB">
        <w:rPr>
          <w:color w:val="222222"/>
          <w:sz w:val="16"/>
        </w:rPr>
        <w:t xml:space="preserve"> ist eine Handelsstrategie, bei der ein Händler als Market Maker </w:t>
      </w:r>
      <w:r w:rsidR="004B6805">
        <w:rPr>
          <w:color w:val="222222"/>
          <w:sz w:val="16"/>
        </w:rPr>
        <w:t>gegenüber</w:t>
      </w:r>
      <w:r w:rsidR="004B6805" w:rsidRPr="005E35CB">
        <w:rPr>
          <w:color w:val="222222"/>
          <w:sz w:val="16"/>
        </w:rPr>
        <w:t xml:space="preserve"> </w:t>
      </w:r>
      <w:r w:rsidR="00891C11" w:rsidRPr="005E35CB">
        <w:rPr>
          <w:color w:val="222222"/>
          <w:sz w:val="16"/>
        </w:rPr>
        <w:t>den Kunden auftritt (wie beim Flow Trading), ohne die Positionen jeden Tag schliessen zu müssen.</w:t>
      </w:r>
      <w:r w:rsidR="00891C11">
        <w:rPr>
          <w:color w:val="222222"/>
          <w:sz w:val="16"/>
        </w:rPr>
        <w:t xml:space="preserve"> Beim </w:t>
      </w:r>
      <w:r w:rsidR="004C7E90">
        <w:rPr>
          <w:color w:val="222222"/>
          <w:sz w:val="16"/>
        </w:rPr>
        <w:t xml:space="preserve">Professional Trading </w:t>
      </w:r>
      <w:r w:rsidR="00891C11">
        <w:rPr>
          <w:color w:val="222222"/>
          <w:sz w:val="16"/>
        </w:rPr>
        <w:t xml:space="preserve">werden die Positionen kurzfristig und innerhalb von vorgängig definierten Limiten gehalten. Es werden auch Positionen eingegangen, die </w:t>
      </w:r>
      <w:r w:rsidR="009E275A">
        <w:rPr>
          <w:color w:val="222222"/>
          <w:sz w:val="16"/>
        </w:rPr>
        <w:t xml:space="preserve">sich nicht direkt auf ein </w:t>
      </w:r>
      <w:r w:rsidR="00891C11">
        <w:rPr>
          <w:color w:val="222222"/>
          <w:sz w:val="16"/>
        </w:rPr>
        <w:t>Kunden</w:t>
      </w:r>
      <w:r w:rsidR="00C709C8">
        <w:rPr>
          <w:color w:val="222222"/>
          <w:sz w:val="16"/>
        </w:rPr>
        <w:t>geschäft</w:t>
      </w:r>
      <w:r w:rsidR="009E275A">
        <w:rPr>
          <w:color w:val="222222"/>
          <w:sz w:val="16"/>
        </w:rPr>
        <w:t xml:space="preserve"> beziehen</w:t>
      </w:r>
      <w:r w:rsidR="00891C11">
        <w:rPr>
          <w:color w:val="222222"/>
          <w:sz w:val="16"/>
        </w:rPr>
        <w:t>.</w:t>
      </w:r>
    </w:p>
    <w:p w14:paraId="2C257197" w14:textId="213699C2" w:rsidR="00891C11" w:rsidRPr="00B714AC" w:rsidRDefault="00891C11" w:rsidP="001F1CE1">
      <w:pPr>
        <w:shd w:val="clear" w:color="auto" w:fill="FFFFFF"/>
        <w:spacing w:line="240" w:lineRule="auto"/>
        <w:ind w:left="90"/>
        <w:rPr>
          <w:rFonts w:cs="Arial"/>
          <w:color w:val="222222"/>
          <w:sz w:val="16"/>
          <w:szCs w:val="16"/>
          <w:lang w:eastAsia="en-GB"/>
        </w:rPr>
      </w:pPr>
      <w:r w:rsidRPr="005E35CB">
        <w:rPr>
          <w:b/>
          <w:color w:val="222222"/>
          <w:sz w:val="16"/>
        </w:rPr>
        <w:t>Eigenhandel</w:t>
      </w:r>
      <w:r w:rsidRPr="005E35CB">
        <w:rPr>
          <w:color w:val="222222"/>
          <w:sz w:val="16"/>
        </w:rPr>
        <w:t xml:space="preserve"> ist </w:t>
      </w:r>
      <w:r w:rsidR="00B80620">
        <w:rPr>
          <w:color w:val="222222"/>
          <w:sz w:val="16"/>
        </w:rPr>
        <w:t xml:space="preserve">die Bezeichnung für </w:t>
      </w:r>
      <w:r w:rsidRPr="005E35CB">
        <w:rPr>
          <w:color w:val="222222"/>
          <w:sz w:val="16"/>
        </w:rPr>
        <w:t>eine Handelsabteilung, die von allen anderen Handelsaktivitäten getrennt ist.</w:t>
      </w:r>
      <w:r>
        <w:rPr>
          <w:color w:val="222222"/>
          <w:sz w:val="16"/>
        </w:rPr>
        <w:t xml:space="preserve"> Sie wickelt keine Kundengeschäfte ab und erwirtschafte</w:t>
      </w:r>
      <w:r w:rsidRPr="00EE5830">
        <w:rPr>
          <w:color w:val="222222"/>
          <w:sz w:val="16"/>
        </w:rPr>
        <w:t>t Erträge</w:t>
      </w:r>
      <w:r>
        <w:rPr>
          <w:color w:val="222222"/>
          <w:sz w:val="16"/>
        </w:rPr>
        <w:t xml:space="preserve"> ausschliesslich durch</w:t>
      </w:r>
      <w:r w:rsidR="00D84678">
        <w:rPr>
          <w:color w:val="222222"/>
          <w:sz w:val="16"/>
        </w:rPr>
        <w:t xml:space="preserve"> das Eingehen von</w:t>
      </w:r>
      <w:r>
        <w:rPr>
          <w:color w:val="222222"/>
          <w:sz w:val="16"/>
        </w:rPr>
        <w:t xml:space="preserve"> Positionen. Beim Eigenhandel </w:t>
      </w:r>
      <w:r w:rsidR="00F25A8A">
        <w:rPr>
          <w:color w:val="222222"/>
          <w:sz w:val="16"/>
        </w:rPr>
        <w:t xml:space="preserve">gibt </w:t>
      </w:r>
      <w:r>
        <w:rPr>
          <w:color w:val="222222"/>
          <w:sz w:val="16"/>
        </w:rPr>
        <w:t>es kein</w:t>
      </w:r>
      <w:r w:rsidR="00F25A8A">
        <w:rPr>
          <w:color w:val="222222"/>
          <w:sz w:val="16"/>
        </w:rPr>
        <w:t>en</w:t>
      </w:r>
      <w:r>
        <w:rPr>
          <w:color w:val="222222"/>
          <w:sz w:val="16"/>
        </w:rPr>
        <w:t xml:space="preserve"> Kundenkontakt</w:t>
      </w:r>
      <w:r w:rsidR="00F25A8A">
        <w:rPr>
          <w:color w:val="222222"/>
          <w:sz w:val="16"/>
        </w:rPr>
        <w:t xml:space="preserve"> und keine</w:t>
      </w:r>
      <w:r w:rsidR="00B714AC">
        <w:rPr>
          <w:color w:val="222222"/>
          <w:sz w:val="16"/>
        </w:rPr>
        <w:t>n</w:t>
      </w:r>
      <w:r w:rsidR="00F25A8A">
        <w:rPr>
          <w:color w:val="222222"/>
          <w:sz w:val="16"/>
        </w:rPr>
        <w:t xml:space="preserve"> </w:t>
      </w:r>
      <w:r w:rsidR="00B714AC">
        <w:rPr>
          <w:color w:val="222222"/>
          <w:sz w:val="16"/>
        </w:rPr>
        <w:t>Handel</w:t>
      </w:r>
      <w:r>
        <w:rPr>
          <w:color w:val="222222"/>
          <w:sz w:val="16"/>
        </w:rPr>
        <w:t xml:space="preserve"> </w:t>
      </w:r>
      <w:r w:rsidR="008F0C2A">
        <w:rPr>
          <w:color w:val="222222"/>
          <w:sz w:val="16"/>
        </w:rPr>
        <w:t>a</w:t>
      </w:r>
      <w:r>
        <w:rPr>
          <w:color w:val="222222"/>
          <w:sz w:val="16"/>
        </w:rPr>
        <w:t xml:space="preserve">m </w:t>
      </w:r>
      <w:r w:rsidR="00446BF6">
        <w:rPr>
          <w:color w:val="222222"/>
          <w:sz w:val="16"/>
        </w:rPr>
        <w:t>Broker-Markt</w:t>
      </w:r>
      <w:r>
        <w:rPr>
          <w:color w:val="222222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10"/>
      <w:gridCol w:w="9156"/>
    </w:tblGrid>
    <w:tr w:rsidR="00455E44" w:rsidRPr="00A7280C" w14:paraId="1567858C" w14:textId="77777777" w:rsidTr="00AB4F96">
      <w:trPr>
        <w:trHeight w:val="901"/>
      </w:trPr>
      <w:tc>
        <w:tcPr>
          <w:tcW w:w="53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DBA7A8C" w14:textId="77777777" w:rsidR="00FC4956" w:rsidRPr="007D72CA" w:rsidRDefault="00FC4956" w:rsidP="00AB4F96">
          <w:pPr>
            <w:ind w:left="-104"/>
            <w:rPr>
              <w:rFonts w:cs="Arial"/>
              <w:sz w:val="16"/>
              <w:szCs w:val="16"/>
            </w:rPr>
          </w:pPr>
          <w:r>
            <w:rPr>
              <w:b/>
              <w:sz w:val="32"/>
              <w:szCs w:val="32"/>
            </w:rPr>
            <w:br/>
          </w:r>
          <w:r>
            <w:rPr>
              <w:b/>
              <w:sz w:val="16"/>
              <w:highlight w:val="yellow"/>
            </w:rPr>
            <w:t>[Institut XY]</w:t>
          </w:r>
          <w:r>
            <w:rPr>
              <w:b/>
              <w:sz w:val="32"/>
              <w:szCs w:val="32"/>
            </w:rPr>
            <w:br/>
          </w:r>
          <w:r>
            <w:rPr>
              <w:sz w:val="16"/>
            </w:rPr>
            <w:t xml:space="preserve">Prüfperiode </w:t>
          </w:r>
          <w:r>
            <w:rPr>
              <w:sz w:val="16"/>
              <w:highlight w:val="yellow"/>
            </w:rPr>
            <w:t>20XX</w:t>
          </w:r>
          <w:r>
            <w:rPr>
              <w:b/>
              <w:sz w:val="32"/>
            </w:rPr>
            <w:t xml:space="preserve"> </w:t>
          </w:r>
        </w:p>
        <w:p w14:paraId="75FC54DA" w14:textId="77777777" w:rsidR="00FC4956" w:rsidRDefault="00FC4956" w:rsidP="00AB4F96">
          <w:pPr>
            <w:pStyle w:val="Kopfzeile"/>
            <w:tabs>
              <w:tab w:val="clear" w:pos="9072"/>
              <w:tab w:val="right" w:pos="14317"/>
            </w:tabs>
            <w:ind w:left="-104"/>
            <w:rPr>
              <w:rFonts w:cs="Arial"/>
              <w:sz w:val="16"/>
              <w:szCs w:val="16"/>
            </w:rPr>
          </w:pPr>
          <w:r>
            <w:rPr>
              <w:sz w:val="16"/>
            </w:rPr>
            <w:t xml:space="preserve">Referenz: </w:t>
          </w:r>
          <w:r>
            <w:rPr>
              <w:sz w:val="16"/>
              <w:highlight w:val="yellow"/>
            </w:rPr>
            <w:t>[Referenz hinzufügen]</w:t>
          </w:r>
        </w:p>
        <w:p w14:paraId="6C50231B" w14:textId="77777777" w:rsidR="00FC4956" w:rsidRPr="0045532C" w:rsidRDefault="00FC4956" w:rsidP="00FC4956">
          <w:pPr>
            <w:pStyle w:val="Kopfzeile"/>
            <w:tabs>
              <w:tab w:val="clear" w:pos="9072"/>
              <w:tab w:val="right" w:pos="14317"/>
            </w:tabs>
            <w:rPr>
              <w:rFonts w:cs="Arial"/>
              <w:sz w:val="14"/>
              <w:szCs w:val="16"/>
            </w:rPr>
          </w:pPr>
        </w:p>
        <w:p w14:paraId="39929D1E" w14:textId="41C8EEF9" w:rsidR="00455E44" w:rsidRPr="00FC4956" w:rsidRDefault="004F238C" w:rsidP="00AB4F96">
          <w:pPr>
            <w:tabs>
              <w:tab w:val="left" w:pos="1800"/>
            </w:tabs>
            <w:ind w:left="-104" w:right="-575"/>
          </w:pPr>
          <w:r w:rsidRPr="00737A70">
            <w:rPr>
              <w:b/>
            </w:rPr>
            <w:t>Verhaltensregeln / Marktverhalten und Marktintegrität</w:t>
          </w:r>
        </w:p>
      </w:tc>
      <w:tc>
        <w:tcPr>
          <w:tcW w:w="9156" w:type="dxa"/>
          <w:tcBorders>
            <w:top w:val="nil"/>
            <w:left w:val="nil"/>
            <w:bottom w:val="nil"/>
            <w:right w:val="nil"/>
          </w:tcBorders>
        </w:tcPr>
        <w:p w14:paraId="48A24CC2" w14:textId="4D083E61" w:rsidR="00455E44" w:rsidRPr="00FC4956" w:rsidRDefault="00AB4F96" w:rsidP="00F05C8A">
          <w:pPr>
            <w:tabs>
              <w:tab w:val="right" w:pos="9360"/>
            </w:tabs>
            <w:ind w:right="40"/>
          </w:pPr>
          <w:r>
            <w:rPr>
              <w:noProof/>
              <w:lang w:bidi="ar-SA"/>
            </w:rPr>
            <w:drawing>
              <wp:anchor distT="0" distB="0" distL="114300" distR="114300" simplePos="0" relativeHeight="251665408" behindDoc="0" locked="0" layoutInCell="1" allowOverlap="1" wp14:anchorId="75F331CF" wp14:editId="25B3D5A3">
                <wp:simplePos x="0" y="0"/>
                <wp:positionH relativeFrom="column">
                  <wp:posOffset>4577055</wp:posOffset>
                </wp:positionH>
                <wp:positionV relativeFrom="paragraph">
                  <wp:posOffset>535204</wp:posOffset>
                </wp:positionV>
                <wp:extent cx="1223645" cy="280670"/>
                <wp:effectExtent l="0" t="0" r="0" b="5080"/>
                <wp:wrapNone/>
                <wp:docPr id="40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_farb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645" cy="280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1B9933D" wp14:editId="251D56CD">
                    <wp:simplePos x="0" y="0"/>
                    <wp:positionH relativeFrom="column">
                      <wp:posOffset>4514113</wp:posOffset>
                    </wp:positionH>
                    <wp:positionV relativeFrom="paragraph">
                      <wp:posOffset>831647</wp:posOffset>
                    </wp:positionV>
                    <wp:extent cx="935990" cy="431165"/>
                    <wp:effectExtent l="0" t="0" r="0" b="6985"/>
                    <wp:wrapSquare wrapText="bothSides"/>
                    <wp:docPr id="1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5990" cy="431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499D00" w14:textId="32022547" w:rsidR="00AB4F96" w:rsidRPr="00955D32" w:rsidRDefault="001F1CE1" w:rsidP="00F314A4">
                                <w:pPr>
                                  <w:pStyle w:val="FINMAMarginalDocvalue"/>
                                  <w:spacing w:after="0"/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Referenz</w:t>
                                </w:r>
                                <w:r w:rsidR="00AB4F96">
                                  <w:rPr>
                                    <w:b/>
                                    <w:sz w:val="12"/>
                                  </w:rPr>
                                  <w:t> :</w:t>
                                </w:r>
                                <w:r w:rsidR="00AB4F9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IF "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DOCPROPERTY "geschaeft_id"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>"="</w:instrText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instrText xml:space="preserve"> DOCPROPERTY "NotExist" </w:instrText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AB4F96">
                                  <w:rPr>
                                    <w:rStyle w:val="FINMARf-AktnrZchn"/>
                                    <w:b/>
                                    <w:bCs/>
                                    <w:sz w:val="12"/>
                                    <w:szCs w:val="12"/>
                                    <w:lang w:val="de-DE"/>
                                  </w:rPr>
                                  <w:instrText>Fehler! Unbekannter Name für Dokument-Eigenschaft.</w:instrText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>" "" "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DOCPROPERTY "geschaeft_id"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" </w:instrText>
                                </w:r>
                                <w:r w:rsidR="00165BF9">
                                  <w:rPr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IF "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DOCPROPERTY "aktionswert"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>"="</w:instrText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instrText xml:space="preserve"> DOCPROPERTY "NotExist" </w:instrText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AB4F96">
                                  <w:rPr>
                                    <w:rStyle w:val="FINMARf-AktnrZchn"/>
                                    <w:b/>
                                    <w:bCs/>
                                    <w:sz w:val="12"/>
                                    <w:szCs w:val="12"/>
                                    <w:lang w:val="de-DE"/>
                                  </w:rPr>
                                  <w:instrText>Fehler! Unbekannter Name für Dokument-Eigenschaft.</w:instrText>
                                </w:r>
                                <w:r w:rsidR="00AB4F96">
                                  <w:rPr>
                                    <w:rStyle w:val="FINMARf-AktnrZchn"/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>" "" "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DOCPROPERTY "aktionswert"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instrText xml:space="preserve">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AB4F9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IF "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begin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 DOCPROPERTY "aktionswert"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instrText xml:space="preserve">"="" ";" "" </w:instrTex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separate"/>
                                </w:r>
                                <w:r w:rsidR="00AB4F9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;</w:t>
                                </w:r>
                                <w:r w:rsidR="00AB4F96">
                                  <w:rPr>
                                    <w:sz w:val="12"/>
                                    <w:szCs w:val="12"/>
                                  </w:rPr>
                                  <w:fldChar w:fldCharType="end"/>
                                </w:r>
                                <w:sdt>
                                  <w:sdtPr>
                                    <w:rPr>
                                      <w:sz w:val="12"/>
                                      <w:szCs w:val="12"/>
                                    </w:rPr>
                                    <w:alias w:val="Document ID Value"/>
                                    <w:tag w:val="_dlc_DocId"/>
                                    <w:id w:val="1491979447"/>
                                    <w:lock w:val="contentLocked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f238dd-bb73-4aef-a7a5-d644ad823e52' xmlns:ns4='0852ad06-0b79-4ac2-ba2c-9e6338abf1e3' xmlns:ns5='f80ca865-a4d0-4d85-9717-7e174089f5ca' xmlns:ns6='4b61ff4c-819f-4bb4-bda2-3e42e3286df1' xmlns:ns7='25d1071a-ec21-4a6c-bdfc-6048f7e932c7' xmlns:ns8='f5b609b2-dd9a-4243-952c-03534fafb9e0' xmlns:ns9='d333f292-fabc-46c2-add1-4fcc2c228574' xmlns:ns10='6dbfbf7c-965e-46bc-a2ab-598a5859da99' " w:xpath="/ns0:properties[1]/documentManagement[1]/ns5:_dlc_DocId[1]" w:storeItemID="{0E8A6E84-322E-40EB-AF70-E34A312DC064}"/>
                                    <w:text/>
                                  </w:sdtPr>
                                  <w:sdtEndPr/>
                                  <w:sdtContent>
                                    <w:r w:rsidR="00AB4F96">
                                      <w:rPr>
                                        <w:sz w:val="12"/>
                                        <w:szCs w:val="12"/>
                                      </w:rPr>
                                      <w:t>b1004961-0000568</w:t>
                                    </w:r>
                                  </w:sdtContent>
                                </w:sdt>
                              </w:p>
                              <w:p w14:paraId="7718E948" w14:textId="77777777" w:rsidR="00AB4F96" w:rsidRPr="00F314A4" w:rsidRDefault="00AB4F9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B993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355.45pt;margin-top:65.5pt;width:73.7pt;height:33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" stroked="f">
                    <v:textbox>
                      <w:txbxContent>
                        <w:p w14:paraId="64499D00" w14:textId="32022547" w:rsidR="00AB4F96" w:rsidRPr="00955D32" w:rsidRDefault="001F1CE1" w:rsidP="00F314A4">
                          <w:pPr>
                            <w:pStyle w:val="FINMAMarginalDocvalue"/>
                            <w:spacing w:after="0"/>
                          </w:pPr>
                          <w:r>
                            <w:rPr>
                              <w:b/>
                              <w:sz w:val="12"/>
                            </w:rPr>
                            <w:t>Referenz</w:t>
                          </w:r>
                          <w:r w:rsidR="00AB4F96">
                            <w:rPr>
                              <w:b/>
                              <w:sz w:val="12"/>
                            </w:rPr>
                            <w:t> :</w:t>
                          </w:r>
                          <w:r w:rsidR="00AB4F96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IF "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DOCPROPERTY "geschaeft_id"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>"="</w:instrText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instrText xml:space="preserve"> DOCPROPERTY "NotExist" </w:instrText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B4F96">
                            <w:rPr>
                              <w:rStyle w:val="FINMARf-AktnrZchn"/>
                              <w:b/>
                              <w:bCs/>
                              <w:sz w:val="12"/>
                              <w:szCs w:val="12"/>
                              <w:lang w:val="de-DE"/>
                            </w:rPr>
                            <w:instrText>Fehler! Unbekannter Name für Dokument-Eigenschaft.</w:instrText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>" "" "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DOCPROPERTY "geschaeft_id"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" </w:instrText>
                          </w:r>
                          <w:r w:rsidR="00165BF9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IF "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DOCPROPERTY "aktionswert"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>"="</w:instrText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instrText xml:space="preserve"> DOCPROPERTY "NotExist" </w:instrText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B4F96">
                            <w:rPr>
                              <w:rStyle w:val="FINMARf-AktnrZchn"/>
                              <w:b/>
                              <w:bCs/>
                              <w:sz w:val="12"/>
                              <w:szCs w:val="12"/>
                              <w:lang w:val="de-DE"/>
                            </w:rPr>
                            <w:instrText>Fehler! Unbekannter Name für Dokument-Eigenschaft.</w:instrText>
                          </w:r>
                          <w:r w:rsidR="00AB4F96">
                            <w:rPr>
                              <w:rStyle w:val="FINMARf-AktnrZchn"/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>" "" "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DOCPROPERTY "aktionswert"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br/>
                            <w:instrText xml:space="preserve">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B4F96">
                            <w:rPr>
                              <w:noProof/>
                              <w:sz w:val="12"/>
                              <w:szCs w:val="12"/>
                            </w:rPr>
                            <w:br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IF "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 DOCPROPERTY "aktionswert"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instrText xml:space="preserve">"="" ";" "" </w:instrTex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B4F96">
                            <w:rPr>
                              <w:noProof/>
                              <w:sz w:val="12"/>
                              <w:szCs w:val="12"/>
                            </w:rPr>
                            <w:t>;</w:t>
                          </w:r>
                          <w:r w:rsidR="00AB4F96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alias w:val="Document ID Value"/>
                              <w:tag w:val="_dlc_DocId"/>
                              <w:id w:val="1491979447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f238dd-bb73-4aef-a7a5-d644ad823e52' xmlns:ns4='0852ad06-0b79-4ac2-ba2c-9e6338abf1e3' xmlns:ns5='f80ca865-a4d0-4d85-9717-7e174089f5ca' xmlns:ns6='4b61ff4c-819f-4bb4-bda2-3e42e3286df1' xmlns:ns7='25d1071a-ec21-4a6c-bdfc-6048f7e932c7' xmlns:ns8='f5b609b2-dd9a-4243-952c-03534fafb9e0' xmlns:ns9='d333f292-fabc-46c2-add1-4fcc2c228574' xmlns:ns10='6dbfbf7c-965e-46bc-a2ab-598a5859da99' " w:xpath="/ns0:properties[1]/documentManagement[1]/ns5:_dlc_DocId[1]" w:storeItemID="{0E8A6E84-322E-40EB-AF70-E34A312DC064}"/>
                              <w:text/>
                            </w:sdtPr>
                            <w:sdtEndPr/>
                            <w:sdtContent>
                              <w:r w:rsidR="00AB4F96">
                                <w:rPr>
                                  <w:sz w:val="12"/>
                                  <w:szCs w:val="12"/>
                                </w:rPr>
                                <w:t>b1004961-0000568</w:t>
                              </w:r>
                            </w:sdtContent>
                          </w:sdt>
                        </w:p>
                        <w:p w14:paraId="7718E948" w14:textId="77777777" w:rsidR="00AB4F96" w:rsidRPr="00F314A4" w:rsidRDefault="00AB4F96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6D041384" w14:textId="22AE991C" w:rsidR="00455E44" w:rsidRPr="00110559" w:rsidRDefault="00455E44" w:rsidP="00F05C8A">
    <w:pPr>
      <w:spacing w:after="120" w:line="240" w:lineRule="auto"/>
      <w:ind w:right="1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007"/>
      <w:gridCol w:w="6996"/>
    </w:tblGrid>
    <w:tr w:rsidR="00455E44" w:rsidRPr="00A7280C" w14:paraId="44D1798F" w14:textId="77777777" w:rsidTr="00AE5E7B">
      <w:trPr>
        <w:trHeight w:val="1789"/>
      </w:trPr>
      <w:tc>
        <w:tcPr>
          <w:tcW w:w="7110" w:type="dxa"/>
        </w:tcPr>
        <w:p w14:paraId="3C308AC5" w14:textId="77777777" w:rsidR="00FC4956" w:rsidRPr="007D72CA" w:rsidRDefault="00FC4956" w:rsidP="00FC4956">
          <w:pPr>
            <w:rPr>
              <w:rFonts w:cs="Arial"/>
              <w:sz w:val="16"/>
              <w:szCs w:val="16"/>
            </w:rPr>
          </w:pPr>
          <w:r>
            <w:rPr>
              <w:b/>
              <w:sz w:val="32"/>
              <w:szCs w:val="32"/>
            </w:rPr>
            <w:br/>
          </w:r>
          <w:r>
            <w:rPr>
              <w:b/>
              <w:sz w:val="16"/>
              <w:highlight w:val="yellow"/>
            </w:rPr>
            <w:t>[Institut XY]</w:t>
          </w:r>
          <w:r>
            <w:rPr>
              <w:b/>
              <w:sz w:val="32"/>
              <w:szCs w:val="32"/>
            </w:rPr>
            <w:br/>
          </w:r>
          <w:r>
            <w:rPr>
              <w:sz w:val="16"/>
            </w:rPr>
            <w:t xml:space="preserve">Prüfperiode </w:t>
          </w:r>
          <w:r>
            <w:rPr>
              <w:sz w:val="16"/>
              <w:highlight w:val="yellow"/>
            </w:rPr>
            <w:t>20XX</w:t>
          </w:r>
          <w:r>
            <w:rPr>
              <w:b/>
              <w:sz w:val="32"/>
            </w:rPr>
            <w:t xml:space="preserve"> </w:t>
          </w:r>
        </w:p>
        <w:p w14:paraId="2D488AA0" w14:textId="77777777" w:rsidR="00FC4956" w:rsidRDefault="00FC4956" w:rsidP="00FC4956">
          <w:pPr>
            <w:pStyle w:val="Kopfzeile"/>
            <w:tabs>
              <w:tab w:val="clear" w:pos="9072"/>
              <w:tab w:val="right" w:pos="14317"/>
            </w:tabs>
            <w:rPr>
              <w:rFonts w:cs="Arial"/>
              <w:sz w:val="16"/>
              <w:szCs w:val="16"/>
            </w:rPr>
          </w:pPr>
          <w:r>
            <w:rPr>
              <w:sz w:val="16"/>
            </w:rPr>
            <w:t xml:space="preserve">Referenz: </w:t>
          </w:r>
          <w:r>
            <w:rPr>
              <w:sz w:val="16"/>
              <w:highlight w:val="yellow"/>
            </w:rPr>
            <w:t>[Referenz hinzufügen]</w:t>
          </w:r>
        </w:p>
        <w:p w14:paraId="52FAD48C" w14:textId="77777777" w:rsidR="00FC4956" w:rsidRPr="0045532C" w:rsidRDefault="00FC4956" w:rsidP="00FC4956">
          <w:pPr>
            <w:pStyle w:val="Kopfzeile"/>
            <w:tabs>
              <w:tab w:val="clear" w:pos="9072"/>
              <w:tab w:val="right" w:pos="14317"/>
            </w:tabs>
            <w:rPr>
              <w:rFonts w:cs="Arial"/>
              <w:sz w:val="14"/>
              <w:szCs w:val="16"/>
            </w:rPr>
          </w:pPr>
        </w:p>
        <w:p w14:paraId="0F829C2A" w14:textId="5A5E298A" w:rsidR="00455E44" w:rsidRPr="00FC4956" w:rsidRDefault="00FC4956" w:rsidP="00755FFA">
          <w:pPr>
            <w:rPr>
              <w:b/>
              <w:sz w:val="32"/>
              <w:szCs w:val="32"/>
            </w:rPr>
          </w:pPr>
          <w:r>
            <w:rPr>
              <w:b/>
            </w:rPr>
            <w:t xml:space="preserve">Verhaltensregeln </w:t>
          </w:r>
          <w:r w:rsidR="002179C5">
            <w:rPr>
              <w:b/>
            </w:rPr>
            <w:t>zu</w:t>
          </w:r>
          <w:r w:rsidR="00755FFA">
            <w:rPr>
              <w:b/>
            </w:rPr>
            <w:t>m</w:t>
          </w:r>
          <w:r w:rsidR="00BC5B97">
            <w:rPr>
              <w:b/>
            </w:rPr>
            <w:t xml:space="preserve"> </w:t>
          </w:r>
          <w:r w:rsidR="002179C5">
            <w:rPr>
              <w:b/>
            </w:rPr>
            <w:t xml:space="preserve">Marktverhalten </w:t>
          </w:r>
        </w:p>
      </w:tc>
      <w:tc>
        <w:tcPr>
          <w:tcW w:w="7109" w:type="dxa"/>
        </w:tcPr>
        <w:p w14:paraId="20ADC0FD" w14:textId="77777777" w:rsidR="00455E44" w:rsidRPr="00FC4956" w:rsidRDefault="00986438" w:rsidP="00455E44">
          <w:r>
            <w:rPr>
              <w:noProof/>
              <w:lang w:bidi="ar-SA"/>
            </w:rPr>
            <w:drawing>
              <wp:anchor distT="0" distB="0" distL="114300" distR="114300" simplePos="0" relativeHeight="251663360" behindDoc="0" locked="0" layoutInCell="1" allowOverlap="1" wp14:anchorId="37641D45" wp14:editId="16C3C1ED">
                <wp:simplePos x="0" y="0"/>
                <wp:positionH relativeFrom="column">
                  <wp:posOffset>2726690</wp:posOffset>
                </wp:positionH>
                <wp:positionV relativeFrom="paragraph">
                  <wp:posOffset>250190</wp:posOffset>
                </wp:positionV>
                <wp:extent cx="1799590" cy="791845"/>
                <wp:effectExtent l="0" t="0" r="0" b="8255"/>
                <wp:wrapNone/>
                <wp:docPr id="3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_des_farb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314003" w14:textId="77777777" w:rsidR="00455E44" w:rsidRPr="00FC4956" w:rsidRDefault="00455E44" w:rsidP="00110559">
    <w:pPr>
      <w:pStyle w:val="Kopfzeile"/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827"/>
    <w:multiLevelType w:val="multilevel"/>
    <w:tmpl w:val="9DDA42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95F682E"/>
    <w:multiLevelType w:val="hybridMultilevel"/>
    <w:tmpl w:val="DA3CB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6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C65345"/>
    <w:multiLevelType w:val="hybridMultilevel"/>
    <w:tmpl w:val="2416A7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C3FCB"/>
    <w:multiLevelType w:val="hybridMultilevel"/>
    <w:tmpl w:val="6C661F1A"/>
    <w:lvl w:ilvl="0" w:tplc="8ABE2DFE">
      <w:numFmt w:val="bullet"/>
      <w:pStyle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it-CH" w:vendorID="64" w:dllVersion="131078" w:nlCheck="1" w:checkStyle="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9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xml_1" w:val="&lt;?xml version=&quot;1.0&quot; encoding=&quot;utf-8&quot;?&gt;&lt;docugate ResetInterfaceCacheAfterDocCreation=&quot;false&quot; FreeDocumentSelection=&quot;true&quot; xmlns=&quot;http://www.docugate.com/2014/dgxml&quot;&gt;&lt;template doclanguage=&quot;Deutsch&quot; id=&quot;&quot; workflowdocumentid=&quot;80e07dd4-b727-4957-9728-c381848b4f92&quot;&gt;&lt;docproperties&gt;&lt;saveaslocation&gt;https://org.finma.ch/sites/8010-T/Dossiers/Suitability/Neue Prüfprogramme Suitability&lt;/saveaslocation&gt;&lt;dossier_id&gt;8010-T-2-9515&lt;/dossier_id&gt;&lt;dossier_titel&gt;Suitability&lt;/dossier_titel&gt;&lt;dossier_aktenzeichen&gt;8010-T-2-9515 - 00 Allgemeines&lt;/dossier_aktenzeichen&gt;&lt;dossier_osp_nr&gt;00&lt;/dossier_osp_nr&gt;&lt;dossier_kategorie&gt;&lt;/dossier_kategorie&gt;&lt;geschaeft_id&gt;&lt;/geschaeft_id&gt;&lt;geschaeft_federfuehrende_oe&gt;M-GWS&lt;/geschaeft_federfuehrende_oe&gt;&lt;geschaeft_datum_eroeffnen&gt;&lt;/geschaeft_datum_eroeffnen&gt;&lt;aktionsname /&gt;&lt;aktionswert /&gt;&lt;addresses /&gt;&lt;/docproperties&gt;&lt;/template&gt;&lt;/docugate&gt;"/>
  </w:docVars>
  <w:rsids>
    <w:rsidRoot w:val="00DF574D"/>
    <w:rsid w:val="00000597"/>
    <w:rsid w:val="00001DEA"/>
    <w:rsid w:val="0001718E"/>
    <w:rsid w:val="00017F57"/>
    <w:rsid w:val="000239AE"/>
    <w:rsid w:val="00024D4C"/>
    <w:rsid w:val="000259BF"/>
    <w:rsid w:val="000339C7"/>
    <w:rsid w:val="0003730B"/>
    <w:rsid w:val="00044074"/>
    <w:rsid w:val="00054651"/>
    <w:rsid w:val="000550D5"/>
    <w:rsid w:val="000572FE"/>
    <w:rsid w:val="000632D8"/>
    <w:rsid w:val="00064FC3"/>
    <w:rsid w:val="00070974"/>
    <w:rsid w:val="00070A8C"/>
    <w:rsid w:val="00073512"/>
    <w:rsid w:val="00075CE8"/>
    <w:rsid w:val="000760CE"/>
    <w:rsid w:val="00077666"/>
    <w:rsid w:val="000822DF"/>
    <w:rsid w:val="000837C2"/>
    <w:rsid w:val="000870C8"/>
    <w:rsid w:val="000904A3"/>
    <w:rsid w:val="00094E88"/>
    <w:rsid w:val="000A436A"/>
    <w:rsid w:val="000A4F31"/>
    <w:rsid w:val="000A5F8D"/>
    <w:rsid w:val="000B4554"/>
    <w:rsid w:val="000B5284"/>
    <w:rsid w:val="000B61B4"/>
    <w:rsid w:val="000C2E06"/>
    <w:rsid w:val="000C66F6"/>
    <w:rsid w:val="000D10F4"/>
    <w:rsid w:val="000D337E"/>
    <w:rsid w:val="000D6C35"/>
    <w:rsid w:val="000E40E6"/>
    <w:rsid w:val="000E612D"/>
    <w:rsid w:val="000F5E59"/>
    <w:rsid w:val="00101D58"/>
    <w:rsid w:val="00110559"/>
    <w:rsid w:val="0011169C"/>
    <w:rsid w:val="00115168"/>
    <w:rsid w:val="00122506"/>
    <w:rsid w:val="00133196"/>
    <w:rsid w:val="0013549E"/>
    <w:rsid w:val="0014461A"/>
    <w:rsid w:val="001479FA"/>
    <w:rsid w:val="00150782"/>
    <w:rsid w:val="00150E8B"/>
    <w:rsid w:val="00164AC4"/>
    <w:rsid w:val="00164BF6"/>
    <w:rsid w:val="001656C2"/>
    <w:rsid w:val="00165BF9"/>
    <w:rsid w:val="0017124A"/>
    <w:rsid w:val="001747A7"/>
    <w:rsid w:val="001749D6"/>
    <w:rsid w:val="0018719C"/>
    <w:rsid w:val="00187516"/>
    <w:rsid w:val="00190D92"/>
    <w:rsid w:val="0019218E"/>
    <w:rsid w:val="001A0D35"/>
    <w:rsid w:val="001A758E"/>
    <w:rsid w:val="001B0BA4"/>
    <w:rsid w:val="001B3AB9"/>
    <w:rsid w:val="001B4054"/>
    <w:rsid w:val="001B66EC"/>
    <w:rsid w:val="001B76E5"/>
    <w:rsid w:val="001C25B1"/>
    <w:rsid w:val="001C2ADC"/>
    <w:rsid w:val="001C303F"/>
    <w:rsid w:val="001C5E3A"/>
    <w:rsid w:val="001D03FD"/>
    <w:rsid w:val="001E78B6"/>
    <w:rsid w:val="001F0E1C"/>
    <w:rsid w:val="001F1CE1"/>
    <w:rsid w:val="001F2706"/>
    <w:rsid w:val="001F5F4A"/>
    <w:rsid w:val="001F6403"/>
    <w:rsid w:val="001F7678"/>
    <w:rsid w:val="002040C6"/>
    <w:rsid w:val="00204B23"/>
    <w:rsid w:val="0021274A"/>
    <w:rsid w:val="002179C5"/>
    <w:rsid w:val="00217AA6"/>
    <w:rsid w:val="00221F14"/>
    <w:rsid w:val="00227FBC"/>
    <w:rsid w:val="002436E4"/>
    <w:rsid w:val="00245584"/>
    <w:rsid w:val="00245CAC"/>
    <w:rsid w:val="00246290"/>
    <w:rsid w:val="002468C3"/>
    <w:rsid w:val="002476AC"/>
    <w:rsid w:val="00256539"/>
    <w:rsid w:val="00256FE8"/>
    <w:rsid w:val="00264805"/>
    <w:rsid w:val="00265230"/>
    <w:rsid w:val="002762D3"/>
    <w:rsid w:val="00277045"/>
    <w:rsid w:val="00282AA1"/>
    <w:rsid w:val="00283AA5"/>
    <w:rsid w:val="002844D3"/>
    <w:rsid w:val="00284BA0"/>
    <w:rsid w:val="00284C59"/>
    <w:rsid w:val="002851F7"/>
    <w:rsid w:val="00286E08"/>
    <w:rsid w:val="00294A59"/>
    <w:rsid w:val="002A0835"/>
    <w:rsid w:val="002A1CF3"/>
    <w:rsid w:val="002A48CF"/>
    <w:rsid w:val="002A799C"/>
    <w:rsid w:val="002B0C66"/>
    <w:rsid w:val="002B137C"/>
    <w:rsid w:val="002B20EB"/>
    <w:rsid w:val="002B490E"/>
    <w:rsid w:val="002B4D96"/>
    <w:rsid w:val="002B7513"/>
    <w:rsid w:val="002C2BEB"/>
    <w:rsid w:val="002C5C51"/>
    <w:rsid w:val="002D5975"/>
    <w:rsid w:val="002E20C7"/>
    <w:rsid w:val="002E2B5D"/>
    <w:rsid w:val="002E4B22"/>
    <w:rsid w:val="002E6021"/>
    <w:rsid w:val="002E6B63"/>
    <w:rsid w:val="002F1A39"/>
    <w:rsid w:val="003051D1"/>
    <w:rsid w:val="0031352D"/>
    <w:rsid w:val="00316E19"/>
    <w:rsid w:val="00330C32"/>
    <w:rsid w:val="0033442E"/>
    <w:rsid w:val="00336E1C"/>
    <w:rsid w:val="00341C83"/>
    <w:rsid w:val="00346326"/>
    <w:rsid w:val="00346735"/>
    <w:rsid w:val="0035208E"/>
    <w:rsid w:val="00353668"/>
    <w:rsid w:val="00355146"/>
    <w:rsid w:val="0037152B"/>
    <w:rsid w:val="003759F6"/>
    <w:rsid w:val="0039235E"/>
    <w:rsid w:val="00392743"/>
    <w:rsid w:val="003979F8"/>
    <w:rsid w:val="003A7B8B"/>
    <w:rsid w:val="003B08C0"/>
    <w:rsid w:val="003B702C"/>
    <w:rsid w:val="003C79A3"/>
    <w:rsid w:val="003D247A"/>
    <w:rsid w:val="003D3866"/>
    <w:rsid w:val="003D4AA3"/>
    <w:rsid w:val="003D7D00"/>
    <w:rsid w:val="003E231A"/>
    <w:rsid w:val="003E3CDF"/>
    <w:rsid w:val="003E495A"/>
    <w:rsid w:val="003E5765"/>
    <w:rsid w:val="003E64A0"/>
    <w:rsid w:val="003F0C61"/>
    <w:rsid w:val="003F2BD8"/>
    <w:rsid w:val="004040EA"/>
    <w:rsid w:val="004118FB"/>
    <w:rsid w:val="00413781"/>
    <w:rsid w:val="00413E4A"/>
    <w:rsid w:val="00416827"/>
    <w:rsid w:val="00423008"/>
    <w:rsid w:val="00433182"/>
    <w:rsid w:val="00434D41"/>
    <w:rsid w:val="00434E66"/>
    <w:rsid w:val="00437412"/>
    <w:rsid w:val="00440445"/>
    <w:rsid w:val="00446BF6"/>
    <w:rsid w:val="00455E44"/>
    <w:rsid w:val="004576AD"/>
    <w:rsid w:val="004622A6"/>
    <w:rsid w:val="00463F41"/>
    <w:rsid w:val="004653AF"/>
    <w:rsid w:val="0046775D"/>
    <w:rsid w:val="00481503"/>
    <w:rsid w:val="00483662"/>
    <w:rsid w:val="00490FFE"/>
    <w:rsid w:val="00496E97"/>
    <w:rsid w:val="004A246D"/>
    <w:rsid w:val="004A5CA4"/>
    <w:rsid w:val="004A6911"/>
    <w:rsid w:val="004A6E1E"/>
    <w:rsid w:val="004A7D92"/>
    <w:rsid w:val="004B2A5D"/>
    <w:rsid w:val="004B6805"/>
    <w:rsid w:val="004C7E90"/>
    <w:rsid w:val="004D4F86"/>
    <w:rsid w:val="004E0524"/>
    <w:rsid w:val="004E0892"/>
    <w:rsid w:val="004E1F00"/>
    <w:rsid w:val="004E607E"/>
    <w:rsid w:val="004F0AAC"/>
    <w:rsid w:val="004F238C"/>
    <w:rsid w:val="004F79B5"/>
    <w:rsid w:val="00504366"/>
    <w:rsid w:val="00506263"/>
    <w:rsid w:val="005129AF"/>
    <w:rsid w:val="00522BD0"/>
    <w:rsid w:val="00524470"/>
    <w:rsid w:val="005270D9"/>
    <w:rsid w:val="00532963"/>
    <w:rsid w:val="0053429C"/>
    <w:rsid w:val="00560231"/>
    <w:rsid w:val="005606CB"/>
    <w:rsid w:val="00562E3C"/>
    <w:rsid w:val="00564295"/>
    <w:rsid w:val="00572DC5"/>
    <w:rsid w:val="00577C59"/>
    <w:rsid w:val="00587D08"/>
    <w:rsid w:val="00591E6F"/>
    <w:rsid w:val="0059311E"/>
    <w:rsid w:val="00593545"/>
    <w:rsid w:val="005A7056"/>
    <w:rsid w:val="005B047F"/>
    <w:rsid w:val="005B13D5"/>
    <w:rsid w:val="005C365D"/>
    <w:rsid w:val="005D5B0E"/>
    <w:rsid w:val="005D6470"/>
    <w:rsid w:val="005D6615"/>
    <w:rsid w:val="005D6D65"/>
    <w:rsid w:val="005E35CB"/>
    <w:rsid w:val="005E4DC4"/>
    <w:rsid w:val="005E54C6"/>
    <w:rsid w:val="005E5E1B"/>
    <w:rsid w:val="005E60B5"/>
    <w:rsid w:val="005E7938"/>
    <w:rsid w:val="00611174"/>
    <w:rsid w:val="00612B14"/>
    <w:rsid w:val="00615BBC"/>
    <w:rsid w:val="00620145"/>
    <w:rsid w:val="00620815"/>
    <w:rsid w:val="00623792"/>
    <w:rsid w:val="0063696E"/>
    <w:rsid w:val="006400CD"/>
    <w:rsid w:val="0064776F"/>
    <w:rsid w:val="00650307"/>
    <w:rsid w:val="00663F13"/>
    <w:rsid w:val="006644D8"/>
    <w:rsid w:val="00666DEC"/>
    <w:rsid w:val="0067305E"/>
    <w:rsid w:val="0067414F"/>
    <w:rsid w:val="00680FFB"/>
    <w:rsid w:val="00681A03"/>
    <w:rsid w:val="0068364B"/>
    <w:rsid w:val="006877D1"/>
    <w:rsid w:val="00690971"/>
    <w:rsid w:val="0069568B"/>
    <w:rsid w:val="0069682B"/>
    <w:rsid w:val="00697C83"/>
    <w:rsid w:val="006B2C02"/>
    <w:rsid w:val="006B79C7"/>
    <w:rsid w:val="006D2EED"/>
    <w:rsid w:val="006D6960"/>
    <w:rsid w:val="006E437D"/>
    <w:rsid w:val="006E736F"/>
    <w:rsid w:val="007014CF"/>
    <w:rsid w:val="00704500"/>
    <w:rsid w:val="00704539"/>
    <w:rsid w:val="00713930"/>
    <w:rsid w:val="007143F3"/>
    <w:rsid w:val="00717ED2"/>
    <w:rsid w:val="00726BF6"/>
    <w:rsid w:val="00734124"/>
    <w:rsid w:val="00735F1E"/>
    <w:rsid w:val="00737AE2"/>
    <w:rsid w:val="00743E6C"/>
    <w:rsid w:val="00746B4B"/>
    <w:rsid w:val="00750722"/>
    <w:rsid w:val="0075284C"/>
    <w:rsid w:val="00753103"/>
    <w:rsid w:val="0075484F"/>
    <w:rsid w:val="00755FFA"/>
    <w:rsid w:val="007616DB"/>
    <w:rsid w:val="0076531A"/>
    <w:rsid w:val="00770DD1"/>
    <w:rsid w:val="00776009"/>
    <w:rsid w:val="0078347C"/>
    <w:rsid w:val="00792048"/>
    <w:rsid w:val="00793A68"/>
    <w:rsid w:val="007959C0"/>
    <w:rsid w:val="0079791A"/>
    <w:rsid w:val="007D125C"/>
    <w:rsid w:val="007E6551"/>
    <w:rsid w:val="007E67C6"/>
    <w:rsid w:val="007F3A3E"/>
    <w:rsid w:val="007F726C"/>
    <w:rsid w:val="0080161F"/>
    <w:rsid w:val="0080672E"/>
    <w:rsid w:val="00806AD2"/>
    <w:rsid w:val="00811A09"/>
    <w:rsid w:val="00812FC1"/>
    <w:rsid w:val="0081331F"/>
    <w:rsid w:val="008134A1"/>
    <w:rsid w:val="00816E00"/>
    <w:rsid w:val="00821DC3"/>
    <w:rsid w:val="00822FD8"/>
    <w:rsid w:val="00833A93"/>
    <w:rsid w:val="008340E6"/>
    <w:rsid w:val="00837421"/>
    <w:rsid w:val="008407CC"/>
    <w:rsid w:val="00841CE7"/>
    <w:rsid w:val="008513BA"/>
    <w:rsid w:val="00852539"/>
    <w:rsid w:val="00853200"/>
    <w:rsid w:val="008532AA"/>
    <w:rsid w:val="008620D4"/>
    <w:rsid w:val="00865782"/>
    <w:rsid w:val="0086701C"/>
    <w:rsid w:val="0086720C"/>
    <w:rsid w:val="00872605"/>
    <w:rsid w:val="00873A0E"/>
    <w:rsid w:val="0088068A"/>
    <w:rsid w:val="00880A2C"/>
    <w:rsid w:val="00890536"/>
    <w:rsid w:val="00890BCB"/>
    <w:rsid w:val="00891C11"/>
    <w:rsid w:val="008929EC"/>
    <w:rsid w:val="008B71A0"/>
    <w:rsid w:val="008C5D1B"/>
    <w:rsid w:val="008C701D"/>
    <w:rsid w:val="008C70FA"/>
    <w:rsid w:val="008D051F"/>
    <w:rsid w:val="008D1152"/>
    <w:rsid w:val="008D5A61"/>
    <w:rsid w:val="008D5F59"/>
    <w:rsid w:val="008D7B74"/>
    <w:rsid w:val="008E1DEF"/>
    <w:rsid w:val="008E1FE5"/>
    <w:rsid w:val="008E3C27"/>
    <w:rsid w:val="008F0C2A"/>
    <w:rsid w:val="0090503F"/>
    <w:rsid w:val="009127DB"/>
    <w:rsid w:val="0093350E"/>
    <w:rsid w:val="00941344"/>
    <w:rsid w:val="00943495"/>
    <w:rsid w:val="00947854"/>
    <w:rsid w:val="00947F0D"/>
    <w:rsid w:val="0095032D"/>
    <w:rsid w:val="0095322B"/>
    <w:rsid w:val="009549EA"/>
    <w:rsid w:val="00966ABD"/>
    <w:rsid w:val="0097124B"/>
    <w:rsid w:val="00973456"/>
    <w:rsid w:val="00973CB9"/>
    <w:rsid w:val="00974C5A"/>
    <w:rsid w:val="00975547"/>
    <w:rsid w:val="0097764B"/>
    <w:rsid w:val="00981030"/>
    <w:rsid w:val="0098479B"/>
    <w:rsid w:val="00986438"/>
    <w:rsid w:val="009867E7"/>
    <w:rsid w:val="009922AF"/>
    <w:rsid w:val="0099537C"/>
    <w:rsid w:val="00995791"/>
    <w:rsid w:val="00995A1B"/>
    <w:rsid w:val="0099609A"/>
    <w:rsid w:val="00996FCB"/>
    <w:rsid w:val="00997243"/>
    <w:rsid w:val="009A248F"/>
    <w:rsid w:val="009C519A"/>
    <w:rsid w:val="009D04F8"/>
    <w:rsid w:val="009E275A"/>
    <w:rsid w:val="009F1B31"/>
    <w:rsid w:val="009F688B"/>
    <w:rsid w:val="009F7A84"/>
    <w:rsid w:val="00A00EE2"/>
    <w:rsid w:val="00A05608"/>
    <w:rsid w:val="00A13D9A"/>
    <w:rsid w:val="00A143E4"/>
    <w:rsid w:val="00A31916"/>
    <w:rsid w:val="00A359AF"/>
    <w:rsid w:val="00A4046F"/>
    <w:rsid w:val="00A42E51"/>
    <w:rsid w:val="00A45466"/>
    <w:rsid w:val="00A57519"/>
    <w:rsid w:val="00A61F4F"/>
    <w:rsid w:val="00A67C00"/>
    <w:rsid w:val="00A70452"/>
    <w:rsid w:val="00A7280C"/>
    <w:rsid w:val="00A739E8"/>
    <w:rsid w:val="00A75767"/>
    <w:rsid w:val="00A81D10"/>
    <w:rsid w:val="00AA710D"/>
    <w:rsid w:val="00AB12CB"/>
    <w:rsid w:val="00AB3066"/>
    <w:rsid w:val="00AB4C14"/>
    <w:rsid w:val="00AB4F96"/>
    <w:rsid w:val="00AB7B8E"/>
    <w:rsid w:val="00AC4CA5"/>
    <w:rsid w:val="00AD0E41"/>
    <w:rsid w:val="00AD31A1"/>
    <w:rsid w:val="00AD7015"/>
    <w:rsid w:val="00AD76C4"/>
    <w:rsid w:val="00AE3F6D"/>
    <w:rsid w:val="00AE5E7B"/>
    <w:rsid w:val="00AF10E0"/>
    <w:rsid w:val="00AF4DE5"/>
    <w:rsid w:val="00AF6669"/>
    <w:rsid w:val="00B00F97"/>
    <w:rsid w:val="00B25686"/>
    <w:rsid w:val="00B307D3"/>
    <w:rsid w:val="00B32F56"/>
    <w:rsid w:val="00B33285"/>
    <w:rsid w:val="00B36C2C"/>
    <w:rsid w:val="00B406E3"/>
    <w:rsid w:val="00B4531C"/>
    <w:rsid w:val="00B651C2"/>
    <w:rsid w:val="00B714AC"/>
    <w:rsid w:val="00B80620"/>
    <w:rsid w:val="00B8153D"/>
    <w:rsid w:val="00B820E5"/>
    <w:rsid w:val="00B84A22"/>
    <w:rsid w:val="00B879C9"/>
    <w:rsid w:val="00B87DEA"/>
    <w:rsid w:val="00B926FC"/>
    <w:rsid w:val="00B9380F"/>
    <w:rsid w:val="00B97A56"/>
    <w:rsid w:val="00BA17F9"/>
    <w:rsid w:val="00BA1EE6"/>
    <w:rsid w:val="00BB402D"/>
    <w:rsid w:val="00BB4DD3"/>
    <w:rsid w:val="00BB6FAF"/>
    <w:rsid w:val="00BB73D3"/>
    <w:rsid w:val="00BB7A46"/>
    <w:rsid w:val="00BC1A89"/>
    <w:rsid w:val="00BC5B97"/>
    <w:rsid w:val="00BD1354"/>
    <w:rsid w:val="00BD4FA6"/>
    <w:rsid w:val="00BE1352"/>
    <w:rsid w:val="00BE1601"/>
    <w:rsid w:val="00BE3929"/>
    <w:rsid w:val="00BE6BDC"/>
    <w:rsid w:val="00BF426A"/>
    <w:rsid w:val="00C008CD"/>
    <w:rsid w:val="00C027CB"/>
    <w:rsid w:val="00C03B9A"/>
    <w:rsid w:val="00C109AC"/>
    <w:rsid w:val="00C11981"/>
    <w:rsid w:val="00C14FBE"/>
    <w:rsid w:val="00C1546E"/>
    <w:rsid w:val="00C20499"/>
    <w:rsid w:val="00C24659"/>
    <w:rsid w:val="00C24948"/>
    <w:rsid w:val="00C405EB"/>
    <w:rsid w:val="00C40E27"/>
    <w:rsid w:val="00C50442"/>
    <w:rsid w:val="00C550FE"/>
    <w:rsid w:val="00C56743"/>
    <w:rsid w:val="00C5701C"/>
    <w:rsid w:val="00C57E63"/>
    <w:rsid w:val="00C63247"/>
    <w:rsid w:val="00C67FD9"/>
    <w:rsid w:val="00C70711"/>
    <w:rsid w:val="00C709C8"/>
    <w:rsid w:val="00C76617"/>
    <w:rsid w:val="00C82116"/>
    <w:rsid w:val="00C82807"/>
    <w:rsid w:val="00C97F05"/>
    <w:rsid w:val="00CA3978"/>
    <w:rsid w:val="00CA4DC9"/>
    <w:rsid w:val="00CA4F7D"/>
    <w:rsid w:val="00CA6C7F"/>
    <w:rsid w:val="00CB49B0"/>
    <w:rsid w:val="00CC1787"/>
    <w:rsid w:val="00CC3C9E"/>
    <w:rsid w:val="00CC3EC5"/>
    <w:rsid w:val="00CC3F01"/>
    <w:rsid w:val="00CC4905"/>
    <w:rsid w:val="00CD2D3D"/>
    <w:rsid w:val="00CD54EF"/>
    <w:rsid w:val="00CD55EB"/>
    <w:rsid w:val="00CD6272"/>
    <w:rsid w:val="00CE1FE0"/>
    <w:rsid w:val="00CE31DA"/>
    <w:rsid w:val="00CE4AC6"/>
    <w:rsid w:val="00CE6751"/>
    <w:rsid w:val="00D017B3"/>
    <w:rsid w:val="00D02D6B"/>
    <w:rsid w:val="00D35EE7"/>
    <w:rsid w:val="00D373FA"/>
    <w:rsid w:val="00D40DE0"/>
    <w:rsid w:val="00D464C3"/>
    <w:rsid w:val="00D46B6D"/>
    <w:rsid w:val="00D6070E"/>
    <w:rsid w:val="00D64927"/>
    <w:rsid w:val="00D720D7"/>
    <w:rsid w:val="00D81961"/>
    <w:rsid w:val="00D84678"/>
    <w:rsid w:val="00D87DBC"/>
    <w:rsid w:val="00D91816"/>
    <w:rsid w:val="00D923FD"/>
    <w:rsid w:val="00DA53FB"/>
    <w:rsid w:val="00DD2F77"/>
    <w:rsid w:val="00DE722F"/>
    <w:rsid w:val="00DF0C3B"/>
    <w:rsid w:val="00DF37EB"/>
    <w:rsid w:val="00DF495F"/>
    <w:rsid w:val="00DF574D"/>
    <w:rsid w:val="00E0018D"/>
    <w:rsid w:val="00E012B3"/>
    <w:rsid w:val="00E0267C"/>
    <w:rsid w:val="00E159AC"/>
    <w:rsid w:val="00E20E3F"/>
    <w:rsid w:val="00E24050"/>
    <w:rsid w:val="00E2573D"/>
    <w:rsid w:val="00E34E0D"/>
    <w:rsid w:val="00E41223"/>
    <w:rsid w:val="00E41B7A"/>
    <w:rsid w:val="00E42FCD"/>
    <w:rsid w:val="00E64FFD"/>
    <w:rsid w:val="00E672E3"/>
    <w:rsid w:val="00E71689"/>
    <w:rsid w:val="00E71FC5"/>
    <w:rsid w:val="00E76066"/>
    <w:rsid w:val="00E77764"/>
    <w:rsid w:val="00E86E5D"/>
    <w:rsid w:val="00E870F8"/>
    <w:rsid w:val="00EB0CAB"/>
    <w:rsid w:val="00EB2F65"/>
    <w:rsid w:val="00EC6C49"/>
    <w:rsid w:val="00ED79E4"/>
    <w:rsid w:val="00ED7C06"/>
    <w:rsid w:val="00EE5830"/>
    <w:rsid w:val="00EF6C71"/>
    <w:rsid w:val="00EF73D2"/>
    <w:rsid w:val="00F018A5"/>
    <w:rsid w:val="00F03866"/>
    <w:rsid w:val="00F05C8A"/>
    <w:rsid w:val="00F0628B"/>
    <w:rsid w:val="00F0725C"/>
    <w:rsid w:val="00F1197E"/>
    <w:rsid w:val="00F24906"/>
    <w:rsid w:val="00F25A8A"/>
    <w:rsid w:val="00F30554"/>
    <w:rsid w:val="00F31890"/>
    <w:rsid w:val="00F32C28"/>
    <w:rsid w:val="00F3344A"/>
    <w:rsid w:val="00F34044"/>
    <w:rsid w:val="00F37A04"/>
    <w:rsid w:val="00F444DA"/>
    <w:rsid w:val="00F56F44"/>
    <w:rsid w:val="00F655EE"/>
    <w:rsid w:val="00F7199A"/>
    <w:rsid w:val="00F73EFE"/>
    <w:rsid w:val="00F75CB4"/>
    <w:rsid w:val="00F76057"/>
    <w:rsid w:val="00F768F1"/>
    <w:rsid w:val="00F8343A"/>
    <w:rsid w:val="00F905EB"/>
    <w:rsid w:val="00F968B0"/>
    <w:rsid w:val="00F9773B"/>
    <w:rsid w:val="00FA142A"/>
    <w:rsid w:val="00FA3902"/>
    <w:rsid w:val="00FA39DC"/>
    <w:rsid w:val="00FB011D"/>
    <w:rsid w:val="00FB12A7"/>
    <w:rsid w:val="00FB1AAC"/>
    <w:rsid w:val="00FB4118"/>
    <w:rsid w:val="00FC26D9"/>
    <w:rsid w:val="00FC2C37"/>
    <w:rsid w:val="00FC34F9"/>
    <w:rsid w:val="00FC4956"/>
    <w:rsid w:val="00FC535D"/>
    <w:rsid w:val="00FC59FA"/>
    <w:rsid w:val="00FD7B4C"/>
    <w:rsid w:val="00FE3758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695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de-C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NMA Standard"/>
    <w:rsid w:val="00316E19"/>
    <w:pPr>
      <w:spacing w:line="260" w:lineRule="atLeast"/>
    </w:pPr>
    <w:rPr>
      <w:rFonts w:ascii="Arial" w:hAnsi="Arial"/>
    </w:rPr>
  </w:style>
  <w:style w:type="paragraph" w:styleId="berschrift1">
    <w:name w:val="heading 1"/>
    <w:aliases w:val="FINMA Überschrift 1"/>
    <w:basedOn w:val="Standard"/>
    <w:next w:val="Standard"/>
    <w:qFormat/>
    <w:rsid w:val="00D87DBC"/>
    <w:pPr>
      <w:keepNext/>
      <w:numPr>
        <w:numId w:val="6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Standard"/>
    <w:qFormat/>
    <w:rsid w:val="00D87DBC"/>
    <w:pPr>
      <w:keepNext/>
      <w:numPr>
        <w:ilvl w:val="1"/>
        <w:numId w:val="6"/>
      </w:numPr>
      <w:spacing w:before="360" w:after="240"/>
      <w:ind w:right="-23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Standard"/>
    <w:qFormat/>
    <w:rsid w:val="00D87DBC"/>
    <w:pPr>
      <w:keepNext/>
      <w:numPr>
        <w:ilvl w:val="2"/>
        <w:numId w:val="6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Standard"/>
    <w:qFormat/>
    <w:rsid w:val="00D87DBC"/>
    <w:pPr>
      <w:keepNext/>
      <w:numPr>
        <w:ilvl w:val="3"/>
        <w:numId w:val="6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Standard"/>
    <w:qFormat/>
    <w:rsid w:val="00D87DBC"/>
    <w:pPr>
      <w:numPr>
        <w:ilvl w:val="4"/>
        <w:numId w:val="6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Standard"/>
    <w:qFormat/>
    <w:rsid w:val="00D87DBC"/>
    <w:pPr>
      <w:numPr>
        <w:ilvl w:val="5"/>
        <w:numId w:val="6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Standard"/>
    <w:qFormat/>
    <w:rsid w:val="00D87DBC"/>
    <w:pPr>
      <w:numPr>
        <w:ilvl w:val="6"/>
        <w:numId w:val="6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Standard"/>
    <w:qFormat/>
    <w:rsid w:val="00D87DBC"/>
    <w:pPr>
      <w:numPr>
        <w:ilvl w:val="7"/>
        <w:numId w:val="6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Standard"/>
    <w:qFormat/>
    <w:rsid w:val="00D87DBC"/>
    <w:pPr>
      <w:numPr>
        <w:ilvl w:val="8"/>
        <w:numId w:val="6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aliases w:val="FINMA Anrede"/>
    <w:basedOn w:val="Standard"/>
    <w:next w:val="Standard"/>
    <w:link w:val="AnredeZchn"/>
    <w:rsid w:val="00D87DBC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rsid w:val="00D87DBC"/>
    <w:rPr>
      <w:rFonts w:ascii="Arial" w:hAnsi="Arial"/>
      <w:noProof/>
      <w:lang w:eastAsia="de-CH"/>
    </w:rPr>
  </w:style>
  <w:style w:type="paragraph" w:customStyle="1" w:styleId="FINMAAufzhlungEbene1">
    <w:name w:val="FINMA Aufzählung Ebene 1"/>
    <w:basedOn w:val="Standard"/>
    <w:qFormat/>
    <w:rsid w:val="00483662"/>
    <w:pPr>
      <w:numPr>
        <w:numId w:val="1"/>
      </w:numPr>
      <w:spacing w:after="80"/>
    </w:pPr>
  </w:style>
  <w:style w:type="paragraph" w:customStyle="1" w:styleId="FINMAAufzhlungEbene2">
    <w:name w:val="FINMA Aufzählung Ebene 2"/>
    <w:basedOn w:val="Standard"/>
    <w:qFormat/>
    <w:rsid w:val="00483662"/>
    <w:pPr>
      <w:numPr>
        <w:numId w:val="2"/>
      </w:numPr>
      <w:tabs>
        <w:tab w:val="left" w:pos="312"/>
      </w:tabs>
      <w:spacing w:after="80"/>
      <w:ind w:left="765" w:hanging="357"/>
    </w:pPr>
  </w:style>
  <w:style w:type="paragraph" w:customStyle="1" w:styleId="FINMAAufzhlungEbene3">
    <w:name w:val="FINMA Aufzählung Ebene 3"/>
    <w:basedOn w:val="Standard"/>
    <w:qFormat/>
    <w:rsid w:val="00483662"/>
    <w:pPr>
      <w:numPr>
        <w:numId w:val="3"/>
      </w:numPr>
      <w:tabs>
        <w:tab w:val="left" w:pos="1038"/>
      </w:tabs>
      <w:spacing w:after="80"/>
      <w:ind w:left="1077" w:hanging="357"/>
    </w:pPr>
  </w:style>
  <w:style w:type="paragraph" w:customStyle="1" w:styleId="FINMAAufzhlungEbene4">
    <w:name w:val="FINMA Aufzählung Ebene 4"/>
    <w:basedOn w:val="FINMAAufzhlungEbene3"/>
    <w:rsid w:val="003051D1"/>
    <w:pPr>
      <w:numPr>
        <w:numId w:val="4"/>
      </w:numPr>
      <w:tabs>
        <w:tab w:val="clear" w:pos="1038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D87DBC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D87DBC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483662"/>
    <w:pPr>
      <w:spacing w:before="260" w:after="260"/>
    </w:pPr>
  </w:style>
  <w:style w:type="paragraph" w:customStyle="1" w:styleId="FINMAGeheim">
    <w:name w:val="FINMA Geheim"/>
    <w:basedOn w:val="FINMAStandardAbsatz"/>
    <w:next w:val="FINMAStandardAbsatz"/>
    <w:rsid w:val="00D87DBC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483662"/>
    <w:pPr>
      <w:numPr>
        <w:numId w:val="5"/>
      </w:numPr>
      <w:spacing w:after="80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483662"/>
    <w:pPr>
      <w:numPr>
        <w:ilvl w:val="1"/>
        <w:numId w:val="5"/>
      </w:numPr>
      <w:spacing w:after="80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483662"/>
    <w:pPr>
      <w:numPr>
        <w:ilvl w:val="2"/>
        <w:numId w:val="5"/>
      </w:numPr>
      <w:spacing w:after="80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483662"/>
    <w:pPr>
      <w:numPr>
        <w:ilvl w:val="3"/>
        <w:numId w:val="5"/>
      </w:numPr>
      <w:spacing w:after="80"/>
    </w:pPr>
    <w:rPr>
      <w:rFonts w:cs="Arial"/>
      <w:szCs w:val="22"/>
    </w:rPr>
  </w:style>
  <w:style w:type="paragraph" w:customStyle="1" w:styleId="FINMAGrussformelFINMA">
    <w:name w:val="FINMA Grussformel FINMA"/>
    <w:basedOn w:val="Standard"/>
    <w:next w:val="FINMABeilagen"/>
    <w:rsid w:val="00D87DBC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D87DBC"/>
    <w:pPr>
      <w:tabs>
        <w:tab w:val="left" w:pos="1260"/>
      </w:tabs>
      <w:spacing w:after="0"/>
      <w:ind w:left="1259" w:hanging="1259"/>
    </w:pPr>
  </w:style>
  <w:style w:type="paragraph" w:customStyle="1" w:styleId="FINMANameundFunktion">
    <w:name w:val="FINMA Name und Funktion"/>
    <w:basedOn w:val="Standard"/>
    <w:rsid w:val="00D87DBC"/>
  </w:style>
  <w:style w:type="paragraph" w:customStyle="1" w:styleId="FINMAReferenuValue">
    <w:name w:val="FINMA ReferenuValue"/>
    <w:basedOn w:val="Standard"/>
    <w:rsid w:val="00D87DBC"/>
    <w:rPr>
      <w:sz w:val="16"/>
    </w:rPr>
  </w:style>
  <w:style w:type="paragraph" w:customStyle="1" w:styleId="FINMAReferenz">
    <w:name w:val="FINMA Referenz"/>
    <w:basedOn w:val="Standard"/>
    <w:rsid w:val="00D87DBC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D87DBC"/>
    <w:pPr>
      <w:framePr w:wrap="around"/>
    </w:pPr>
  </w:style>
  <w:style w:type="character" w:customStyle="1" w:styleId="FINMARf-AktnrZchn">
    <w:name w:val="FINMA Rf-Akt.nr. Zchn"/>
    <w:basedOn w:val="Absatz-Standardschriftart"/>
    <w:rsid w:val="00D87DBC"/>
    <w:rPr>
      <w:rFonts w:ascii="Arial" w:hAnsi="Arial"/>
      <w:sz w:val="16"/>
      <w:szCs w:val="16"/>
      <w:lang w:val="de-CH" w:eastAsia="de-CH" w:bidi="de-CH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D87DBC"/>
  </w:style>
  <w:style w:type="paragraph" w:customStyle="1" w:styleId="FINMATabellemitAufzzeichen">
    <w:name w:val="FINMA Tabelle mit Aufz.zeichen"/>
    <w:basedOn w:val="Standard"/>
    <w:rsid w:val="00D87DBC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D87DBC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D87DBC"/>
    <w:pPr>
      <w:spacing w:before="60" w:after="60"/>
    </w:pPr>
    <w:rPr>
      <w:b/>
      <w:bCs/>
      <w:szCs w:val="24"/>
    </w:rPr>
  </w:style>
  <w:style w:type="paragraph" w:customStyle="1" w:styleId="FINMATitel">
    <w:name w:val="FINMA Titel"/>
    <w:basedOn w:val="FINMAStandardAbsatz"/>
    <w:rsid w:val="001749D6"/>
    <w:rPr>
      <w:sz w:val="40"/>
    </w:rPr>
  </w:style>
  <w:style w:type="paragraph" w:customStyle="1" w:styleId="FINMAUntertitel">
    <w:name w:val="FINMA Untertitel"/>
    <w:basedOn w:val="Anrede"/>
    <w:rsid w:val="003E231A"/>
    <w:rPr>
      <w:sz w:val="36"/>
    </w:rPr>
  </w:style>
  <w:style w:type="paragraph" w:customStyle="1" w:styleId="FINMAVertraulichkeitsvermerk">
    <w:name w:val="FINMA Vertraulichkeitsvermerk"/>
    <w:basedOn w:val="Standard"/>
    <w:qFormat/>
    <w:rsid w:val="00D87DBC"/>
    <w:rPr>
      <w:b/>
      <w:sz w:val="16"/>
    </w:rPr>
  </w:style>
  <w:style w:type="paragraph" w:styleId="Fuzeile">
    <w:name w:val="footer"/>
    <w:aliases w:val="FINMA Fußzeile"/>
    <w:basedOn w:val="Standard"/>
    <w:link w:val="FuzeileZchn"/>
    <w:rsid w:val="00D87DBC"/>
    <w:pPr>
      <w:tabs>
        <w:tab w:val="right" w:pos="8618"/>
      </w:tabs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D87DBC"/>
    <w:rPr>
      <w:rFonts w:ascii="Arial" w:hAnsi="Arial"/>
      <w:sz w:val="16"/>
      <w:lang w:eastAsia="de-CH"/>
    </w:rPr>
  </w:style>
  <w:style w:type="paragraph" w:styleId="Kopfzeile">
    <w:name w:val="header"/>
    <w:aliases w:val="FINMA Kopfzeile"/>
    <w:basedOn w:val="Standard"/>
    <w:link w:val="KopfzeileZchn"/>
    <w:uiPriority w:val="99"/>
    <w:rsid w:val="00D87D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uiPriority w:val="99"/>
    <w:rsid w:val="00D87DBC"/>
    <w:rPr>
      <w:rFonts w:ascii="Arial" w:hAnsi="Arial"/>
      <w:sz w:val="22"/>
      <w:lang w:eastAsia="de-CH"/>
    </w:rPr>
  </w:style>
  <w:style w:type="paragraph" w:styleId="Verzeichnis1">
    <w:name w:val="toc 1"/>
    <w:basedOn w:val="Standard"/>
    <w:next w:val="Standard"/>
    <w:autoRedefine/>
    <w:rsid w:val="00D87DBC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</w:rPr>
  </w:style>
  <w:style w:type="paragraph" w:styleId="Verzeichnis2">
    <w:name w:val="toc 2"/>
    <w:basedOn w:val="Standard"/>
    <w:next w:val="FINMAStandardAbsatz"/>
    <w:autoRedefine/>
    <w:rsid w:val="00D87DBC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</w:rPr>
  </w:style>
  <w:style w:type="paragraph" w:styleId="Verzeichnis3">
    <w:name w:val="toc 3"/>
    <w:basedOn w:val="Standard"/>
    <w:next w:val="FINMAStandardAbsatz"/>
    <w:autoRedefine/>
    <w:rsid w:val="00D87DBC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</w:rPr>
  </w:style>
  <w:style w:type="paragraph" w:styleId="Verzeichnis4">
    <w:name w:val="toc 4"/>
    <w:basedOn w:val="Standard"/>
    <w:next w:val="FINMAStandardAbsatz"/>
    <w:autoRedefine/>
    <w:rsid w:val="00D87DBC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</w:rPr>
  </w:style>
  <w:style w:type="paragraph" w:styleId="Verzeichnis5">
    <w:name w:val="toc 5"/>
    <w:basedOn w:val="Standard"/>
    <w:next w:val="FINMAStandardAbsatz"/>
    <w:autoRedefine/>
    <w:rsid w:val="00D87DBC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rsid w:val="00D87DBC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rsid w:val="00D87DBC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rsid w:val="00D87DBC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rsid w:val="00D87DBC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FINMAGliederungEbene5">
    <w:name w:val="FINMA Gliederung Ebene 5"/>
    <w:basedOn w:val="Standard"/>
    <w:rsid w:val="00CC3C9E"/>
    <w:pPr>
      <w:numPr>
        <w:numId w:val="7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styleId="Sprechblasentext">
    <w:name w:val="Balloon Text"/>
    <w:basedOn w:val="Standard"/>
    <w:link w:val="SprechblasentextZchn"/>
    <w:rsid w:val="00413E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3E4A"/>
    <w:rPr>
      <w:rFonts w:ascii="Tahoma" w:hAnsi="Tahoma" w:cs="Tahoma"/>
      <w:sz w:val="16"/>
      <w:szCs w:val="16"/>
      <w:lang w:val="de-CH" w:eastAsia="de-CH"/>
    </w:rPr>
  </w:style>
  <w:style w:type="table" w:styleId="Tabellenraster">
    <w:name w:val="Table Grid"/>
    <w:basedOn w:val="NormaleTabelle"/>
    <w:uiPriority w:val="59"/>
    <w:rsid w:val="008D11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INMAMarginalDocvalue">
    <w:name w:val="FINMA Marginal Docvalue"/>
    <w:basedOn w:val="Kopfzeile"/>
    <w:rsid w:val="00D81961"/>
    <w:pPr>
      <w:framePr w:w="2835" w:wrap="around" w:vAnchor="page" w:hAnchor="page" w:xAlign="right" w:y="1419" w:anchorLock="1"/>
      <w:spacing w:after="120" w:line="180" w:lineRule="exact"/>
    </w:pPr>
    <w:rPr>
      <w:sz w:val="15"/>
    </w:rPr>
  </w:style>
  <w:style w:type="paragraph" w:styleId="Listenabsatz">
    <w:name w:val="List Paragraph"/>
    <w:basedOn w:val="Standard"/>
    <w:uiPriority w:val="34"/>
    <w:qFormat/>
    <w:rsid w:val="00891C11"/>
    <w:pPr>
      <w:spacing w:before="60" w:after="6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Funotentext">
    <w:name w:val="footnote text"/>
    <w:basedOn w:val="Standard"/>
    <w:link w:val="FunotentextZchn"/>
    <w:uiPriority w:val="99"/>
    <w:unhideWhenUsed/>
    <w:rsid w:val="00891C11"/>
    <w:pPr>
      <w:spacing w:line="240" w:lineRule="auto"/>
    </w:pPr>
    <w:rPr>
      <w:rFonts w:eastAsiaTheme="minorHAnsi" w:cstheme="minorBidi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91C11"/>
    <w:rPr>
      <w:rFonts w:ascii="Arial" w:eastAsiaTheme="minorHAnsi" w:hAnsi="Arial" w:cstheme="minorBidi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891C1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C11"/>
    <w:rPr>
      <w:sz w:val="16"/>
      <w:szCs w:val="16"/>
    </w:rPr>
  </w:style>
  <w:style w:type="paragraph" w:customStyle="1" w:styleId="Bullet">
    <w:name w:val="Bullet"/>
    <w:basedOn w:val="Listenabsatz"/>
    <w:qFormat/>
    <w:rsid w:val="00891C11"/>
    <w:pPr>
      <w:numPr>
        <w:numId w:val="9"/>
      </w:numPr>
      <w:spacing w:line="240" w:lineRule="auto"/>
      <w:contextualSpacing w:val="0"/>
    </w:pPr>
    <w:rPr>
      <w:rFonts w:cs="Arial"/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6531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7653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53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531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1B66E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docugate xmlns="http://www.docugate.com/2014/dgxml" ResetInterfaceCacheAfterDocCreation="false" FreeDocumentSelection="true">
  <template doclanguage="Deutsch" id="" workflowdocumentid="80e07dd4-b727-4957-9728-c381848b4f92">
    <docproperties>
      <saveaslocation>https://org.finma.ch/sites/8010-T/Dossiers/Suitability/Neue Prüfprogramme Suitability</saveaslocation>
      <dossier_id>8010-T-2-9515</dossier_id>
      <dossier_titel>Suitability</dossier_titel>
      <dossier_aktenzeichen>8010-T-2-9515 - 00 Allgemeines</dossier_aktenzeichen>
      <dossier_osp_nr>00</dossier_osp_nr>
      <dossier_kategorie>
      </dossier_kategorie>
      <geschaeft_id>
      </geschaeft_id>
      <geschaeft_federfuehrende_oe>M-GWS</geschaeft_federfuehrende_oe>
      <geschaeft_datum_eroeffnen>
      </geschaeft_datum_eroeffnen>
      <aktionsname/>
      <aktionswert/>
      <addresses/>
    </docproperties>
  </template>
</docugat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ma Document" ma:contentTypeID="0x0101003951D1F36BC944E987AD610ADE6A10C300F1260F5CFCB3A54EACE0BB2047C9EA9A" ma:contentTypeVersion="10" ma:contentTypeDescription="Ein neues Dokument erstellen." ma:contentTypeScope="" ma:versionID="faa2c4049937e96c26a4daea6e9829d1">
  <xsd:schema xmlns:xsd="http://www.w3.org/2001/XMLSchema" xmlns:xs="http://www.w3.org/2001/XMLSchema" xmlns:p="http://schemas.microsoft.com/office/2006/metadata/properties" xmlns:ns2="2e1eec62-3f83-4498-8267-62ad71ac9197" xmlns:ns3="http://schemas.microsoft.com/sharepoint/v3/fields" xmlns:ns4="EAB9F746-4C47-47AF-9544-703AE8D09E76" xmlns:ns5="eab9f746-4c47-47af-9544-703ae8d09e76" targetNamespace="http://schemas.microsoft.com/office/2006/metadata/properties" ma:root="true" ma:fieldsID="ffa39f9f084cb61b9888e64adbdaf3db" ns2:_="" ns3:_="" ns4:_="" ns5:_="">
    <xsd:import namespace="2e1eec62-3f83-4498-8267-62ad71ac9197"/>
    <xsd:import namespace="http://schemas.microsoft.com/sharepoint/v3/fields"/>
    <xsd:import namespace="EAB9F746-4C47-47AF-9544-703AE8D09E76"/>
    <xsd:import namespace="eab9f746-4c47-47af-9544-703ae8d09e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_Note" minOccurs="0"/>
                <xsd:element ref="ns3:OU_Note" minOccurs="0"/>
                <xsd:element ref="ns3:OSP_Note" minOccurs="0"/>
                <xsd:element ref="ns4:RetentionPeriod" minOccurs="0"/>
                <xsd:element ref="ns5:SeqenceNumber" minOccurs="0"/>
                <xsd:element ref="ns5:AgendaItemGUID" minOccurs="0"/>
                <xsd:element ref="ns5:ToBeArchived" minOccurs="0"/>
                <xsd:element ref="ns4:Docum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ec62-3f83-4498-8267-62ad71ac91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opic_Note" ma:index="14" nillable="true" ma:taxonomy="true" ma:internalName="Topic_Note" ma:taxonomyFieldName="Topic" ma:displayName="Thema" ma:readOnly="false" ma:default="" ma:fieldId="{a64374eb-6e28-4d6b-ae22-c24ecbfd0ec3}" ma:sspId="1614e331-078d-4830-aac2-889f77d1de05" ma:termSetId="7b4b023d-5e9a-475b-a148-dfe01b6a8d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U_Note" ma:index="16" nillable="true" ma:taxonomy="true" ma:internalName="OU_Note" ma:taxonomyFieldName="OU" ma:displayName="Organisationseinheit" ma:readOnly="false" ma:default="2;#Aufsicht|8e15bc1a-5fad-41b1-99ef-f5f40b01fdd4" ma:fieldId="{fcb30f0d-baee-4a7e-876f-d65b0367c7a8}" ma:sspId="1614e331-078d-4830-aac2-889f77d1de05" ma:termSetId="2e7da289-48a2-42d8-b875-47a1903a1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P_Note" ma:index="18" nillable="true" ma:taxonomy="true" ma:internalName="OSP_Note" ma:taxonomyFieldName="OSP" ma:displayName="Ordnungssystemposition" ma:readOnly="false" ma:fieldId="{47fc1aad-a32f-4b87-b398-8d261b0da966}" ma:sspId="1614e331-078d-4830-aac2-889f77d1de05" ma:termSetId="6eefd7ee-d6f6-47de-bb49-f1d3420203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F746-4C47-47AF-9544-703AE8D09E76" elementFormDefault="qualified">
    <xsd:import namespace="http://schemas.microsoft.com/office/2006/documentManagement/types"/>
    <xsd:import namespace="http://schemas.microsoft.com/office/infopath/2007/PartnerControls"/>
    <xsd:element name="RetentionPeriod" ma:index="19" nillable="true" ma:displayName="Aufbewahrungsfrist" ma:description="Aufbewahrungsfrist des Dossiers" ma:hidden="true" ma:internalName="RetentionPeriod" ma:readOnly="false">
      <xsd:simpleType>
        <xsd:restriction base="dms:Text"/>
      </xsd:simpleType>
    </xsd:element>
    <xsd:element name="DocumentDate" ma:index="23" ma:displayName="Datum" ma:default="[today]" ma:description="Dokumentendatum" ma:format="DateOnly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f746-4c47-47af-9544-703ae8d09e76" elementFormDefault="qualified">
    <xsd:import namespace="http://schemas.microsoft.com/office/2006/documentManagement/types"/>
    <xsd:import namespace="http://schemas.microsoft.com/office/infopath/2007/PartnerControls"/>
    <xsd:element name="SeqenceNumber" ma:index="20" nillable="true" ma:displayName="Reihenfolge Nummer" ma:internalName="SeqenceNumber" ma:readOnly="false">
      <xsd:simpleType>
        <xsd:restriction base="dms:Unknown"/>
      </xsd:simpleType>
    </xsd:element>
    <xsd:element name="AgendaItemGUID" ma:index="21" nillable="true" ma:displayName="Traktandum GUID" ma:internalName="AgendaItemGUID" ma:readOnly="false">
      <xsd:simpleType>
        <xsd:restriction base="dms:Text"/>
      </xsd:simpleType>
    </xsd:element>
    <xsd:element name="ToBeArchived" ma:index="22" nillable="true" ma:displayName="Archivwürdig" ma:description="Soll das Dossier archiviert werden" ma:hidden="true" ma:internalName="ToBeArchive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Archived xmlns="eab9f746-4c47-47af-9544-703ae8d09e76">Ja</ToBeArchived>
    <Topic_Note xmlns="http://schemas.microsoft.com/sharepoint/v3/fields">
      <Terms xmlns="http://schemas.microsoft.com/office/infopath/2007/PartnerControls"/>
    </Topic_Note>
    <OSP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4-03.0 Allgemeines</TermName>
          <TermId xmlns="http://schemas.microsoft.com/office/infopath/2007/PartnerControls">1522b022-31da-478f-a023-27779a4cfc41</TermId>
        </TermInfo>
      </Terms>
    </OSP_Note>
    <_dlc_DocId xmlns="2e1eec62-3f83-4498-8267-62ad71ac9197">7002-T-2-21775</_dlc_DocId>
    <_dlc_DocIdUrl xmlns="2e1eec62-3f83-4498-8267-62ad71ac9197">
      <Url>https://dok.finma.ch/sites/7002-T/_layouts/15/DocIdRedir.aspx?ID=7002-T-2-21775</Url>
      <Description>7002-T-2-21775</Description>
    </_dlc_DocIdUrl>
    <OU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Aufsicht</TermName>
          <TermId xmlns="http://schemas.microsoft.com/office/infopath/2007/PartnerControls">8e15bc1a-5fad-41b1-99ef-f5f40b01fdd4</TermId>
        </TermInfo>
      </Terms>
    </OU_Note>
    <RetentionPeriod xmlns="EAB9F746-4C47-47AF-9544-703AE8D09E76">15</RetentionPeriod>
    <SeqenceNumber xmlns="eab9f746-4c47-47af-9544-703ae8d09e76" xsi:nil="true"/>
    <DocumentDate xmlns="EAB9F746-4C47-47AF-9544-703AE8D09E76">2020-05-04T22:00:00+00:00</DocumentDate>
    <AgendaItemGUID xmlns="eab9f746-4c47-47af-9544-703ae8d09e76" xsi:nil="true"/>
  </documentManagement>
</p:properties>
</file>

<file path=customXml/item6.xml><?xml version="1.0" encoding="utf-8"?>
<document xmlns="http://www.docugate.com/2015/docugatedatastorexml">
  <snapins xmlns=""/>
</document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AD87-94A8-43EB-B952-4FED4980C8F2}">
  <ds:schemaRefs>
    <ds:schemaRef ds:uri="http://www.docugate.com/2014/dgxml"/>
  </ds:schemaRefs>
</ds:datastoreItem>
</file>

<file path=customXml/itemProps2.xml><?xml version="1.0" encoding="utf-8"?>
<ds:datastoreItem xmlns:ds="http://schemas.openxmlformats.org/officeDocument/2006/customXml" ds:itemID="{6F8C8266-7568-4CA7-966E-BA29C79BF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ec62-3f83-4498-8267-62ad71ac9197"/>
    <ds:schemaRef ds:uri="http://schemas.microsoft.com/sharepoint/v3/fields"/>
    <ds:schemaRef ds:uri="EAB9F746-4C47-47AF-9544-703AE8D09E76"/>
    <ds:schemaRef ds:uri="eab9f746-4c47-47af-9544-703ae8d0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22FC6-6C5F-4A91-8635-7277BE03DB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874D78-64EE-4830-99C7-E12D940DB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40251D-74FF-4639-976E-266016E9D9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AB9F746-4C47-47AF-9544-703AE8D09E76"/>
    <ds:schemaRef ds:uri="http://purl.org/dc/elements/1.1/"/>
    <ds:schemaRef ds:uri="http://schemas.microsoft.com/office/2006/metadata/properties"/>
    <ds:schemaRef ds:uri="http://schemas.microsoft.com/office/infopath/2007/PartnerControls"/>
    <ds:schemaRef ds:uri="eab9f746-4c47-47af-9544-703ae8d09e76"/>
    <ds:schemaRef ds:uri="2e1eec62-3f83-4498-8267-62ad71ac9197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9265B08-8015-4F3C-8FEE-7FCBD12A34C7}">
  <ds:schemaRefs>
    <ds:schemaRef ds:uri="http://www.docugate.com/2015/docugatedatastorexml"/>
    <ds:schemaRef ds:uri=""/>
  </ds:schemaRefs>
</ds:datastoreItem>
</file>

<file path=customXml/itemProps7.xml><?xml version="1.0" encoding="utf-8"?>
<ds:datastoreItem xmlns:ds="http://schemas.openxmlformats.org/officeDocument/2006/customXml" ds:itemID="{9E6ED477-FCD5-49E2-85F5-D42F953F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995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2020-05-19T05:56:00Z</dcterms:created>
  <dcterms:modified xsi:type="dcterms:W3CDTF">2020-05-19T06:40:00Z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OSP">
    <vt:lpwstr>11;#4-03.0 Allgemeines|1522b022-31da-478f-a023-27779a4cfc41</vt:lpwstr>
  </property>
  <property fmtid="{D5CDD505-2E9C-101B-9397-08002B2CF9AE}" pid="4" name="OU">
    <vt:lpwstr>2;#Aufsicht|8e15bc1a-5fad-41b1-99ef-f5f40b01fdd4</vt:lpwstr>
  </property>
  <property fmtid="{D5CDD505-2E9C-101B-9397-08002B2CF9AE}" pid="5" name="ContentTypeId">
    <vt:lpwstr>0x0101003951D1F36BC944E987AD610ADE6A10C300F1260F5CFCB3A54EACE0BB2047C9EA9A</vt:lpwstr>
  </property>
  <property fmtid="{D5CDD505-2E9C-101B-9397-08002B2CF9AE}" pid="6" name="_dlc_DocIdItemGuid">
    <vt:lpwstr>dd98e219-a316-4bf9-8802-d7a9cefa5ab8</vt:lpwstr>
  </property>
  <property fmtid="{D5CDD505-2E9C-101B-9397-08002B2CF9AE}" pid="7" name="DossierStatus_Note">
    <vt:lpwstr/>
  </property>
</Properties>
</file>