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A0E6" w14:textId="32C080FD" w:rsidR="00DB7CF3" w:rsidRPr="00A81F08" w:rsidRDefault="0073176F">
      <w:pPr>
        <w:rPr>
          <w:rFonts w:cs="Arial"/>
          <w:b/>
          <w:sz w:val="28"/>
          <w:szCs w:val="28"/>
          <w:lang w:val="de-CH"/>
        </w:rPr>
      </w:pPr>
      <w:r w:rsidRPr="00A81F08">
        <w:rPr>
          <w:b/>
          <w:sz w:val="28"/>
          <w:lang w:val="de-CH"/>
        </w:rPr>
        <w:t>Prüfp</w:t>
      </w:r>
      <w:r w:rsidR="00910F32">
        <w:rPr>
          <w:b/>
          <w:sz w:val="28"/>
          <w:lang w:val="de-CH"/>
        </w:rPr>
        <w:t>unkte zu anderen Risiken aus Rechts- und Prozessrisiken</w:t>
      </w:r>
    </w:p>
    <w:p w14:paraId="14D9F5E1" w14:textId="77777777" w:rsidR="00D322C0" w:rsidRDefault="00D322C0">
      <w:pPr>
        <w:rPr>
          <w:b/>
          <w:lang w:val="de-CH"/>
        </w:rPr>
      </w:pPr>
    </w:p>
    <w:p w14:paraId="509A72D1" w14:textId="76040FAA" w:rsidR="00D247FF" w:rsidRPr="00A81F08" w:rsidRDefault="005D00E1">
      <w:pPr>
        <w:rPr>
          <w:rFonts w:cs="Arial"/>
          <w:b/>
          <w:lang w:val="de-CH"/>
        </w:rPr>
      </w:pPr>
      <w:r w:rsidRPr="00A81F08">
        <w:rPr>
          <w:b/>
          <w:lang w:val="de-CH"/>
        </w:rPr>
        <w:t>Übersicht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11516"/>
      </w:tblGrid>
      <w:tr w:rsidR="001B763E" w:rsidRPr="00A81F08" w14:paraId="02B14E6E" w14:textId="77777777" w:rsidTr="00EA067E">
        <w:tc>
          <w:tcPr>
            <w:tcW w:w="2694" w:type="dxa"/>
            <w:shd w:val="pct10" w:color="auto" w:fill="auto"/>
          </w:tcPr>
          <w:p w14:paraId="50339EE8" w14:textId="05FD740F" w:rsidR="001B763E" w:rsidRPr="00A81F08" w:rsidRDefault="001B763E" w:rsidP="00352874">
            <w:pPr>
              <w:tabs>
                <w:tab w:val="left" w:pos="1418"/>
              </w:tabs>
              <w:rPr>
                <w:rFonts w:cs="Arial"/>
                <w:b/>
                <w:szCs w:val="18"/>
                <w:lang w:val="de-CH"/>
              </w:rPr>
            </w:pPr>
            <w:r w:rsidRPr="00A81F08">
              <w:rPr>
                <w:b/>
                <w:lang w:val="de-CH"/>
              </w:rPr>
              <w:t>Prüf</w:t>
            </w:r>
            <w:r w:rsidR="00145A77">
              <w:rPr>
                <w:b/>
                <w:lang w:val="de-CH"/>
              </w:rPr>
              <w:t>feld</w:t>
            </w:r>
            <w:r w:rsidRPr="00A81F08">
              <w:rPr>
                <w:b/>
                <w:lang w:val="de-CH"/>
              </w:rPr>
              <w:t>:</w:t>
            </w:r>
          </w:p>
        </w:tc>
        <w:tc>
          <w:tcPr>
            <w:tcW w:w="11701" w:type="dxa"/>
            <w:shd w:val="pct10" w:color="auto" w:fill="auto"/>
          </w:tcPr>
          <w:p w14:paraId="67640218" w14:textId="77777777" w:rsidR="00E75CFD" w:rsidRPr="00A81F08" w:rsidRDefault="00E75CFD" w:rsidP="000C6812">
            <w:pPr>
              <w:tabs>
                <w:tab w:val="left" w:pos="1859"/>
              </w:tabs>
              <w:rPr>
                <w:rFonts w:cs="Arial"/>
                <w:b/>
                <w:szCs w:val="18"/>
                <w:lang w:val="de-CH"/>
              </w:rPr>
            </w:pPr>
            <w:r w:rsidRPr="00A81F08">
              <w:rPr>
                <w:b/>
                <w:lang w:val="de-CH"/>
              </w:rPr>
              <w:t>Geschäftsrisiken – Risikomanagement / Andere Risiken aus Rechts- und Prozessrisiken</w:t>
            </w:r>
          </w:p>
        </w:tc>
      </w:tr>
      <w:tr w:rsidR="009F7E12" w:rsidRPr="00A81F08" w14:paraId="0F0D850D" w14:textId="77777777" w:rsidTr="00EA067E">
        <w:tc>
          <w:tcPr>
            <w:tcW w:w="2694" w:type="dxa"/>
            <w:shd w:val="pct10" w:color="auto" w:fill="auto"/>
          </w:tcPr>
          <w:p w14:paraId="671A812A" w14:textId="77777777" w:rsidR="009F7E12" w:rsidRPr="00A81F08" w:rsidRDefault="009F7E12" w:rsidP="00352874">
            <w:pPr>
              <w:tabs>
                <w:tab w:val="left" w:pos="1418"/>
              </w:tabs>
              <w:rPr>
                <w:rFonts w:cs="Arial"/>
                <w:b/>
                <w:szCs w:val="18"/>
                <w:lang w:val="de-CH"/>
              </w:rPr>
            </w:pPr>
            <w:r w:rsidRPr="00A81F08">
              <w:rPr>
                <w:b/>
                <w:lang w:val="de-CH"/>
              </w:rPr>
              <w:t>Prüftiefe:</w:t>
            </w:r>
          </w:p>
        </w:tc>
        <w:tc>
          <w:tcPr>
            <w:tcW w:w="11701" w:type="dxa"/>
            <w:shd w:val="pct10" w:color="auto" w:fill="auto"/>
          </w:tcPr>
          <w:p w14:paraId="7EDA12BB" w14:textId="211D836D" w:rsidR="009F7E12" w:rsidRPr="00A81F08" w:rsidRDefault="00424650" w:rsidP="006C2A6A">
            <w:pPr>
              <w:tabs>
                <w:tab w:val="left" w:pos="1859"/>
              </w:tabs>
              <w:rPr>
                <w:rFonts w:cs="Arial"/>
                <w:szCs w:val="18"/>
                <w:lang w:val="de-CH"/>
              </w:rPr>
            </w:pPr>
            <w:r w:rsidRPr="00A81F08">
              <w:rPr>
                <w:highlight w:val="yellow"/>
                <w:lang w:val="de-CH"/>
              </w:rPr>
              <w:t>[Prüfung / kritische Beurteilung]</w:t>
            </w:r>
            <w:r w:rsidR="007601AD">
              <w:rPr>
                <w:rStyle w:val="Appelnotedebasdep"/>
                <w:highlight w:val="yellow"/>
                <w:lang w:val="de-CH"/>
              </w:rPr>
              <w:footnoteReference w:id="1"/>
            </w:r>
          </w:p>
        </w:tc>
      </w:tr>
      <w:tr w:rsidR="00F37CB4" w:rsidRPr="00B9506E" w14:paraId="0FD8B7CA" w14:textId="77777777" w:rsidTr="00F37CB4">
        <w:tc>
          <w:tcPr>
            <w:tcW w:w="2694" w:type="dxa"/>
          </w:tcPr>
          <w:p w14:paraId="14B5F39B" w14:textId="77777777" w:rsidR="00F37CB4" w:rsidRPr="00F959B2" w:rsidRDefault="00F37CB4" w:rsidP="00352874">
            <w:pPr>
              <w:tabs>
                <w:tab w:val="left" w:pos="1418"/>
              </w:tabs>
              <w:rPr>
                <w:rFonts w:cs="Arial"/>
                <w:b/>
                <w:szCs w:val="20"/>
                <w:lang w:val="de-CH"/>
              </w:rPr>
            </w:pPr>
            <w:r w:rsidRPr="00F959B2">
              <w:rPr>
                <w:b/>
                <w:lang w:val="de-CH"/>
              </w:rPr>
              <w:t>Vorschriften:</w:t>
            </w:r>
          </w:p>
          <w:p w14:paraId="234F3769" w14:textId="77777777" w:rsidR="008F1FC1" w:rsidRPr="00F959B2" w:rsidRDefault="008F1FC1" w:rsidP="00352874">
            <w:pPr>
              <w:tabs>
                <w:tab w:val="left" w:pos="1418"/>
              </w:tabs>
              <w:rPr>
                <w:rFonts w:cs="Arial"/>
                <w:szCs w:val="20"/>
                <w:lang w:val="de-CH"/>
              </w:rPr>
            </w:pPr>
            <w:r w:rsidRPr="00F959B2">
              <w:rPr>
                <w:lang w:val="de-CH"/>
              </w:rPr>
              <w:t>(Liste ist nicht abschliessend)</w:t>
            </w:r>
          </w:p>
        </w:tc>
        <w:tc>
          <w:tcPr>
            <w:tcW w:w="11701" w:type="dxa"/>
          </w:tcPr>
          <w:p w14:paraId="65CD7368" w14:textId="15FE17B1" w:rsidR="00204571" w:rsidRDefault="00204571" w:rsidP="00204571">
            <w:pPr>
              <w:tabs>
                <w:tab w:val="left" w:pos="1859"/>
              </w:tabs>
              <w:rPr>
                <w:lang w:val="de-CH"/>
              </w:rPr>
            </w:pPr>
            <w:r>
              <w:rPr>
                <w:lang w:val="de-CH"/>
              </w:rPr>
              <w:t xml:space="preserve">Art. 3 Abs. 2 Bst. a Bankengesetz </w:t>
            </w:r>
            <w:r w:rsidR="00C31389" w:rsidRPr="00C31389">
              <w:rPr>
                <w:lang w:val="de-CH"/>
              </w:rPr>
              <w:t xml:space="preserve">vom 8. November 1934 </w:t>
            </w:r>
            <w:r>
              <w:rPr>
                <w:lang w:val="de-CH"/>
              </w:rPr>
              <w:t>(BankG</w:t>
            </w:r>
            <w:r w:rsidR="00C31389">
              <w:rPr>
                <w:lang w:val="de-CH"/>
              </w:rPr>
              <w:t>; SR </w:t>
            </w:r>
            <w:r w:rsidR="00C31389" w:rsidRPr="00FA059B">
              <w:rPr>
                <w:i/>
                <w:iCs/>
                <w:lang w:val="de-CH"/>
              </w:rPr>
              <w:t>952.0</w:t>
            </w:r>
            <w:r>
              <w:rPr>
                <w:lang w:val="de-CH"/>
              </w:rPr>
              <w:t>)</w:t>
            </w:r>
          </w:p>
          <w:p w14:paraId="15D14B74" w14:textId="4C96F50A" w:rsidR="00204571" w:rsidRDefault="00204571" w:rsidP="00204571">
            <w:pPr>
              <w:tabs>
                <w:tab w:val="left" w:pos="1859"/>
              </w:tabs>
              <w:rPr>
                <w:lang w:val="de-CH"/>
              </w:rPr>
            </w:pPr>
            <w:r>
              <w:rPr>
                <w:lang w:val="de-CH"/>
              </w:rPr>
              <w:t xml:space="preserve">Art. 9 </w:t>
            </w:r>
            <w:r w:rsidR="00C31389">
              <w:t xml:space="preserve">Bundesgesetz </w:t>
            </w:r>
            <w:r w:rsidR="00C31389" w:rsidRPr="00710705">
              <w:t>vom 15. Juni 2018</w:t>
            </w:r>
            <w:r w:rsidR="00C31389">
              <w:t xml:space="preserve"> über die Finanzinstitute (FINIG; SR </w:t>
            </w:r>
            <w:r w:rsidR="00C31389" w:rsidRPr="0019326D">
              <w:rPr>
                <w:i/>
                <w:iCs/>
              </w:rPr>
              <w:t>95</w:t>
            </w:r>
            <w:r w:rsidR="00C31389">
              <w:rPr>
                <w:i/>
                <w:iCs/>
              </w:rPr>
              <w:t>4</w:t>
            </w:r>
            <w:r w:rsidR="00C31389" w:rsidRPr="0019326D">
              <w:rPr>
                <w:i/>
                <w:iCs/>
              </w:rPr>
              <w:t>.1</w:t>
            </w:r>
            <w:r w:rsidR="00C31389">
              <w:t>)</w:t>
            </w:r>
          </w:p>
          <w:p w14:paraId="19485F7C" w14:textId="704ECCFF" w:rsidR="00204571" w:rsidRDefault="00204571" w:rsidP="00204571">
            <w:pPr>
              <w:tabs>
                <w:tab w:val="left" w:pos="1859"/>
              </w:tabs>
              <w:rPr>
                <w:lang w:val="de-CH"/>
              </w:rPr>
            </w:pPr>
            <w:r>
              <w:rPr>
                <w:lang w:val="de-CH"/>
              </w:rPr>
              <w:t xml:space="preserve">Art. 12 </w:t>
            </w:r>
            <w:r w:rsidR="00145A77">
              <w:rPr>
                <w:lang w:val="de-CH"/>
              </w:rPr>
              <w:t>Abs. 2</w:t>
            </w:r>
            <w:r w:rsidR="00A74E74">
              <w:rPr>
                <w:lang w:val="de-CH"/>
              </w:rPr>
              <w:t>–</w:t>
            </w:r>
            <w:r w:rsidR="00145A77">
              <w:rPr>
                <w:lang w:val="de-CH"/>
              </w:rPr>
              <w:t xml:space="preserve">4 </w:t>
            </w:r>
            <w:r w:rsidR="00C31389">
              <w:t xml:space="preserve">Verordnung </w:t>
            </w:r>
            <w:r w:rsidR="00C31389" w:rsidRPr="007A2C23">
              <w:t>vom 30. April 2014</w:t>
            </w:r>
            <w:r w:rsidR="00C31389">
              <w:t xml:space="preserve"> über die Banken und Sparkassen (BankV; SR </w:t>
            </w:r>
            <w:r w:rsidR="00C31389" w:rsidRPr="00FE4DED">
              <w:rPr>
                <w:i/>
                <w:iCs/>
              </w:rPr>
              <w:t>95</w:t>
            </w:r>
            <w:r w:rsidR="00C31389">
              <w:rPr>
                <w:i/>
                <w:iCs/>
              </w:rPr>
              <w:t>2.02</w:t>
            </w:r>
            <w:r w:rsidR="00C31389">
              <w:t>)</w:t>
            </w:r>
          </w:p>
          <w:p w14:paraId="4910429F" w14:textId="1087E674" w:rsidR="00D05CFC" w:rsidRPr="00D05CFC" w:rsidRDefault="00204571" w:rsidP="00204571">
            <w:pPr>
              <w:tabs>
                <w:tab w:val="left" w:pos="1859"/>
              </w:tabs>
              <w:rPr>
                <w:rFonts w:cs="Arial"/>
                <w:szCs w:val="20"/>
                <w:lang w:val="de-CH"/>
              </w:rPr>
            </w:pPr>
            <w:r>
              <w:rPr>
                <w:lang w:val="de-CH"/>
              </w:rPr>
              <w:t xml:space="preserve">Art. 12 </w:t>
            </w:r>
            <w:r w:rsidR="00145A77">
              <w:rPr>
                <w:lang w:val="de-CH"/>
              </w:rPr>
              <w:t xml:space="preserve">Abs. 4, 68 </w:t>
            </w:r>
            <w:r>
              <w:rPr>
                <w:lang w:val="de-CH"/>
              </w:rPr>
              <w:t xml:space="preserve">und </w:t>
            </w:r>
            <w:r w:rsidR="00145A77">
              <w:rPr>
                <w:lang w:val="de-CH"/>
              </w:rPr>
              <w:t>73</w:t>
            </w:r>
            <w:r>
              <w:rPr>
                <w:lang w:val="de-CH"/>
              </w:rPr>
              <w:t xml:space="preserve"> </w:t>
            </w:r>
            <w:r w:rsidR="00C31389">
              <w:t xml:space="preserve">Verordnung </w:t>
            </w:r>
            <w:r w:rsidR="00C31389" w:rsidRPr="00710705">
              <w:t xml:space="preserve">vom 6. November 2019 </w:t>
            </w:r>
            <w:r w:rsidR="00C31389">
              <w:t>über die Finanzinstitute (FINIV; SR </w:t>
            </w:r>
            <w:r w:rsidR="00C31389" w:rsidRPr="0019326D">
              <w:rPr>
                <w:i/>
                <w:iCs/>
              </w:rPr>
              <w:t>95</w:t>
            </w:r>
            <w:r w:rsidR="00C31389">
              <w:rPr>
                <w:i/>
                <w:iCs/>
              </w:rPr>
              <w:t>4</w:t>
            </w:r>
            <w:r w:rsidR="00C31389" w:rsidRPr="0019326D">
              <w:rPr>
                <w:i/>
                <w:iCs/>
              </w:rPr>
              <w:t>.</w:t>
            </w:r>
            <w:r w:rsidR="00C31389">
              <w:rPr>
                <w:i/>
                <w:iCs/>
              </w:rPr>
              <w:t>1</w:t>
            </w:r>
            <w:r w:rsidR="00C31389" w:rsidRPr="0019326D">
              <w:rPr>
                <w:i/>
                <w:iCs/>
              </w:rPr>
              <w:t>1</w:t>
            </w:r>
            <w:r w:rsidR="00C31389">
              <w:t>)</w:t>
            </w:r>
          </w:p>
        </w:tc>
      </w:tr>
      <w:tr w:rsidR="00F37CB4" w:rsidRPr="00A81F08" w14:paraId="4A949F79" w14:textId="77777777" w:rsidTr="0041269F">
        <w:trPr>
          <w:trHeight w:val="2160"/>
        </w:trPr>
        <w:tc>
          <w:tcPr>
            <w:tcW w:w="2694" w:type="dxa"/>
          </w:tcPr>
          <w:p w14:paraId="080F74B0" w14:textId="77777777" w:rsidR="00F37CB4" w:rsidRPr="00A81F08" w:rsidRDefault="00F37CB4" w:rsidP="00B54948">
            <w:pPr>
              <w:tabs>
                <w:tab w:val="left" w:pos="1418"/>
              </w:tabs>
              <w:spacing w:before="120" w:after="120"/>
              <w:rPr>
                <w:rFonts w:cs="Arial"/>
                <w:b/>
                <w:szCs w:val="20"/>
                <w:lang w:val="de-CH"/>
              </w:rPr>
            </w:pPr>
            <w:proofErr w:type="spellStart"/>
            <w:r w:rsidRPr="00A81F08">
              <w:rPr>
                <w:b/>
                <w:lang w:val="de-CH"/>
              </w:rPr>
              <w:t>Sign</w:t>
            </w:r>
            <w:proofErr w:type="spellEnd"/>
            <w:r w:rsidRPr="00A81F08">
              <w:rPr>
                <w:b/>
                <w:lang w:val="de-CH"/>
              </w:rPr>
              <w:t>-offs:</w:t>
            </w:r>
          </w:p>
        </w:tc>
        <w:tc>
          <w:tcPr>
            <w:tcW w:w="11701" w:type="dxa"/>
          </w:tcPr>
          <w:p w14:paraId="53FC2F2C" w14:textId="77777777" w:rsidR="00F37CB4" w:rsidRPr="00A81F08" w:rsidRDefault="00F37CB4" w:rsidP="0041269F">
            <w:pPr>
              <w:tabs>
                <w:tab w:val="left" w:pos="1859"/>
              </w:tabs>
              <w:spacing w:before="120"/>
              <w:rPr>
                <w:rFonts w:cs="Arial"/>
                <w:sz w:val="2"/>
                <w:szCs w:val="2"/>
                <w:lang w:val="de-CH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83"/>
              <w:gridCol w:w="3620"/>
              <w:gridCol w:w="3480"/>
              <w:gridCol w:w="2207"/>
            </w:tblGrid>
            <w:tr w:rsidR="009F7E12" w:rsidRPr="00A81F08" w14:paraId="4EA85A6E" w14:textId="77777777" w:rsidTr="00DB7CF3">
              <w:tc>
                <w:tcPr>
                  <w:tcW w:w="2013" w:type="dxa"/>
                  <w:shd w:val="clear" w:color="auto" w:fill="D9D9D9" w:themeFill="background1" w:themeFillShade="D9"/>
                </w:tcPr>
                <w:p w14:paraId="0CAA7D69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proofErr w:type="spellStart"/>
                  <w:r w:rsidRPr="00A81F08">
                    <w:rPr>
                      <w:b/>
                      <w:sz w:val="18"/>
                      <w:lang w:val="de-CH"/>
                    </w:rPr>
                    <w:t>Sign</w:t>
                  </w:r>
                  <w:proofErr w:type="spellEnd"/>
                  <w:r w:rsidRPr="00A81F08">
                    <w:rPr>
                      <w:b/>
                      <w:sz w:val="18"/>
                      <w:lang w:val="de-CH"/>
                    </w:rPr>
                    <w:t>-offs: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0399D122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b/>
                      <w:sz w:val="18"/>
                      <w:lang w:val="de-CH"/>
                    </w:rPr>
                    <w:t>Name: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3EF8AA5E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b/>
                      <w:sz w:val="18"/>
                      <w:lang w:val="de-CH"/>
                    </w:rPr>
                    <w:t>Funktion:</w:t>
                  </w:r>
                </w:p>
              </w:tc>
              <w:tc>
                <w:tcPr>
                  <w:tcW w:w="2228" w:type="dxa"/>
                  <w:shd w:val="clear" w:color="auto" w:fill="D9D9D9" w:themeFill="background1" w:themeFillShade="D9"/>
                </w:tcPr>
                <w:p w14:paraId="64ACA7A5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b/>
                      <w:sz w:val="18"/>
                      <w:lang w:val="de-CH"/>
                    </w:rPr>
                    <w:t>Datum:</w:t>
                  </w:r>
                </w:p>
              </w:tc>
            </w:tr>
            <w:tr w:rsidR="009F7E12" w:rsidRPr="00A81F08" w14:paraId="0C8F7024" w14:textId="77777777" w:rsidTr="00537739">
              <w:tc>
                <w:tcPr>
                  <w:tcW w:w="2013" w:type="dxa"/>
                </w:tcPr>
                <w:p w14:paraId="2BA2009C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sz w:val="18"/>
                      <w:lang w:val="de-CH"/>
                    </w:rPr>
                    <w:t xml:space="preserve">Prüfer: </w:t>
                  </w:r>
                </w:p>
              </w:tc>
              <w:tc>
                <w:tcPr>
                  <w:tcW w:w="3685" w:type="dxa"/>
                </w:tcPr>
                <w:p w14:paraId="00FE2190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sz w:val="18"/>
                      <w:highlight w:val="yellow"/>
                      <w:lang w:val="de-CH"/>
                    </w:rPr>
                    <w:t>[Name]</w:t>
                  </w:r>
                </w:p>
              </w:tc>
              <w:tc>
                <w:tcPr>
                  <w:tcW w:w="3544" w:type="dxa"/>
                </w:tcPr>
                <w:p w14:paraId="305A5054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sz w:val="18"/>
                      <w:highlight w:val="yellow"/>
                      <w:lang w:val="de-CH"/>
                    </w:rPr>
                    <w:t>[Assistent / S</w:t>
                  </w:r>
                  <w:r w:rsidR="0043788F">
                    <w:rPr>
                      <w:sz w:val="18"/>
                      <w:highlight w:val="yellow"/>
                      <w:lang w:val="de-CH"/>
                    </w:rPr>
                    <w:t>enior</w:t>
                  </w:r>
                  <w:r w:rsidRPr="00A81F08">
                    <w:rPr>
                      <w:sz w:val="18"/>
                      <w:highlight w:val="yellow"/>
                      <w:lang w:val="de-CH"/>
                    </w:rPr>
                    <w:t xml:space="preserve"> / Manager / Senior Manager / Partner]</w:t>
                  </w:r>
                </w:p>
              </w:tc>
              <w:tc>
                <w:tcPr>
                  <w:tcW w:w="2228" w:type="dxa"/>
                </w:tcPr>
                <w:p w14:paraId="13C87725" w14:textId="77777777" w:rsidR="009F7E12" w:rsidRPr="00A81F08" w:rsidRDefault="00304A32" w:rsidP="00304A32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sz w:val="18"/>
                      <w:highlight w:val="yellow"/>
                      <w:lang w:val="de-CH"/>
                    </w:rPr>
                    <w:t>[TT.MM.JJJJ]</w:t>
                  </w:r>
                </w:p>
              </w:tc>
            </w:tr>
            <w:tr w:rsidR="009F7E12" w:rsidRPr="00A81F08" w14:paraId="21BDCAFB" w14:textId="77777777" w:rsidTr="00537739">
              <w:tc>
                <w:tcPr>
                  <w:tcW w:w="2013" w:type="dxa"/>
                </w:tcPr>
                <w:p w14:paraId="75CDDEEB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sz w:val="18"/>
                      <w:lang w:val="de-CH"/>
                    </w:rPr>
                    <w:t>Reviewer:</w:t>
                  </w:r>
                </w:p>
              </w:tc>
              <w:tc>
                <w:tcPr>
                  <w:tcW w:w="3685" w:type="dxa"/>
                </w:tcPr>
                <w:p w14:paraId="75EDCAA7" w14:textId="77777777" w:rsidR="009F7E12" w:rsidRPr="00A81F08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A81F08">
                    <w:rPr>
                      <w:sz w:val="18"/>
                      <w:highlight w:val="yellow"/>
                      <w:lang w:val="de-CH"/>
                    </w:rPr>
                    <w:t>[Name]</w:t>
                  </w:r>
                </w:p>
              </w:tc>
              <w:tc>
                <w:tcPr>
                  <w:tcW w:w="3544" w:type="dxa"/>
                </w:tcPr>
                <w:p w14:paraId="3E8452D7" w14:textId="77777777" w:rsidR="009F7E12" w:rsidRPr="00A81F08" w:rsidRDefault="009F7E12" w:rsidP="00424650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A81F08">
                    <w:rPr>
                      <w:sz w:val="18"/>
                      <w:highlight w:val="yellow"/>
                      <w:lang w:val="de-CH"/>
                    </w:rPr>
                    <w:t>[S</w:t>
                  </w:r>
                  <w:r w:rsidR="0043788F">
                    <w:rPr>
                      <w:sz w:val="18"/>
                      <w:highlight w:val="yellow"/>
                      <w:lang w:val="de-CH"/>
                    </w:rPr>
                    <w:t>enior</w:t>
                  </w:r>
                  <w:r w:rsidRPr="00A81F08">
                    <w:rPr>
                      <w:sz w:val="18"/>
                      <w:highlight w:val="yellow"/>
                      <w:lang w:val="de-CH"/>
                    </w:rPr>
                    <w:t xml:space="preserve"> / Manager / Senior Manager </w:t>
                  </w:r>
                  <w:r w:rsidRPr="00A81F08"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  <w:br/>
                  </w:r>
                  <w:r w:rsidRPr="00A81F08">
                    <w:rPr>
                      <w:sz w:val="18"/>
                      <w:highlight w:val="yellow"/>
                      <w:lang w:val="de-CH"/>
                    </w:rPr>
                    <w:t>/ Partner]</w:t>
                  </w:r>
                </w:p>
              </w:tc>
              <w:tc>
                <w:tcPr>
                  <w:tcW w:w="2228" w:type="dxa"/>
                </w:tcPr>
                <w:p w14:paraId="756AEAC7" w14:textId="77777777" w:rsidR="009F7E12" w:rsidRPr="00A81F08" w:rsidRDefault="009F7E12" w:rsidP="00304A32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A81F08">
                    <w:rPr>
                      <w:sz w:val="18"/>
                      <w:highlight w:val="yellow"/>
                      <w:lang w:val="de-CH"/>
                    </w:rPr>
                    <w:t>[TT.MM.JJJJ]</w:t>
                  </w:r>
                </w:p>
              </w:tc>
            </w:tr>
          </w:tbl>
          <w:p w14:paraId="0920CE3D" w14:textId="77777777" w:rsidR="00F37CB4" w:rsidRPr="00A81F08" w:rsidRDefault="00F37CB4" w:rsidP="00B54948">
            <w:pPr>
              <w:tabs>
                <w:tab w:val="left" w:pos="1859"/>
              </w:tabs>
              <w:spacing w:before="120" w:after="120"/>
              <w:rPr>
                <w:rFonts w:cs="Arial"/>
                <w:sz w:val="18"/>
                <w:szCs w:val="18"/>
                <w:lang w:val="de-CH"/>
              </w:rPr>
            </w:pPr>
          </w:p>
        </w:tc>
      </w:tr>
    </w:tbl>
    <w:p w14:paraId="42B6D054" w14:textId="77777777" w:rsidR="00F37CB4" w:rsidRPr="00A81F08" w:rsidRDefault="00F37CB4" w:rsidP="00F37CB4">
      <w:pPr>
        <w:rPr>
          <w:rFonts w:cs="Arial"/>
          <w:szCs w:val="20"/>
          <w:lang w:val="de-CH"/>
        </w:rPr>
      </w:pPr>
    </w:p>
    <w:p w14:paraId="7A630B84" w14:textId="311E980C" w:rsidR="003E1DA2" w:rsidRPr="00A81F08" w:rsidRDefault="006F3170" w:rsidP="00B70350">
      <w:pPr>
        <w:jc w:val="both"/>
        <w:rPr>
          <w:rFonts w:cs="Arial"/>
          <w:b/>
          <w:szCs w:val="20"/>
          <w:lang w:val="de-CH"/>
        </w:rPr>
      </w:pPr>
      <w:r w:rsidRPr="00A81F08">
        <w:rPr>
          <w:b/>
          <w:lang w:val="de-CH"/>
        </w:rPr>
        <w:t>Dies ist ein Standard-Prüfprogram</w:t>
      </w:r>
      <w:r w:rsidRPr="001D3AC7">
        <w:rPr>
          <w:b/>
          <w:lang w:val="de-CH"/>
        </w:rPr>
        <w:t>m</w:t>
      </w:r>
      <w:r w:rsidR="00131B58" w:rsidRPr="001D3AC7">
        <w:rPr>
          <w:b/>
          <w:lang w:val="de-CH"/>
        </w:rPr>
        <w:t xml:space="preserve">, </w:t>
      </w:r>
      <w:r w:rsidR="001D3AC7" w:rsidRPr="001D3AC7">
        <w:rPr>
          <w:b/>
          <w:lang w:val="de-CH"/>
        </w:rPr>
        <w:t xml:space="preserve">das in diesem Prüfgebiet bei jeder Invention </w:t>
      </w:r>
      <w:r w:rsidR="007601AD">
        <w:rPr>
          <w:b/>
          <w:lang w:val="de-CH"/>
        </w:rPr>
        <w:t xml:space="preserve">gemäss Prüfstrategie </w:t>
      </w:r>
      <w:r w:rsidR="001D3AC7" w:rsidRPr="001D3AC7">
        <w:rPr>
          <w:b/>
          <w:lang w:val="de-CH"/>
        </w:rPr>
        <w:t>grundsätzlich anzuwenden ist</w:t>
      </w:r>
      <w:r w:rsidR="001D3AC7" w:rsidRPr="001D3AC7" w:rsidDel="00910F32">
        <w:rPr>
          <w:b/>
          <w:lang w:val="de-CH"/>
        </w:rPr>
        <w:t xml:space="preserve"> </w:t>
      </w:r>
      <w:r w:rsidRPr="00A81F08">
        <w:rPr>
          <w:b/>
          <w:lang w:val="de-CH"/>
        </w:rPr>
        <w:t>. Es liegt in der Verantwortung des Prüfteams, das Standard-Prüfprogramm an die spezifische Situation (Grösse, Geschäftsmodell, Organisation, Prozesse, Risiko</w:t>
      </w:r>
      <w:r w:rsidR="00C30D25">
        <w:rPr>
          <w:b/>
          <w:lang w:val="de-CH"/>
        </w:rPr>
        <w:t>-</w:t>
      </w:r>
      <w:r w:rsidR="00C30D25" w:rsidRPr="00FA059B">
        <w:rPr>
          <w:b/>
          <w:i/>
          <w:iCs/>
          <w:lang w:val="de-CH"/>
        </w:rPr>
        <w:t>E</w:t>
      </w:r>
      <w:r w:rsidRPr="00FA059B">
        <w:rPr>
          <w:b/>
          <w:i/>
          <w:iCs/>
          <w:lang w:val="de-CH"/>
        </w:rPr>
        <w:t>xposure</w:t>
      </w:r>
      <w:r w:rsidRPr="00A81F08">
        <w:rPr>
          <w:b/>
          <w:lang w:val="de-CH"/>
        </w:rPr>
        <w:t xml:space="preserve"> usw.) des geprüften Instituts anzupassen. Werden </w:t>
      </w:r>
      <w:r w:rsidR="00910F32">
        <w:rPr>
          <w:b/>
          <w:lang w:val="de-CH"/>
        </w:rPr>
        <w:t>die angegebenen</w:t>
      </w:r>
      <w:r w:rsidR="00910F32" w:rsidRPr="00A81F08">
        <w:rPr>
          <w:b/>
          <w:lang w:val="de-CH"/>
        </w:rPr>
        <w:t xml:space="preserve"> </w:t>
      </w:r>
      <w:r w:rsidRPr="00A81F08">
        <w:rPr>
          <w:b/>
          <w:lang w:val="de-CH"/>
        </w:rPr>
        <w:t xml:space="preserve">Prüfungshandlungen </w:t>
      </w:r>
      <w:r w:rsidR="0043788F">
        <w:rPr>
          <w:b/>
          <w:lang w:val="de-CH"/>
        </w:rPr>
        <w:t xml:space="preserve">nicht </w:t>
      </w:r>
      <w:r w:rsidR="003D5E2C">
        <w:rPr>
          <w:b/>
          <w:lang w:val="de-CH"/>
        </w:rPr>
        <w:t xml:space="preserve">vollständig </w:t>
      </w:r>
      <w:r w:rsidRPr="00A81F08">
        <w:rPr>
          <w:b/>
          <w:lang w:val="de-CH"/>
        </w:rPr>
        <w:t xml:space="preserve">durchgeführt, ist in den Arbeitspapieren eine aussagekräftige Erläuterung </w:t>
      </w:r>
      <w:r w:rsidR="000F4F77">
        <w:rPr>
          <w:b/>
          <w:lang w:val="de-CH"/>
        </w:rPr>
        <w:t xml:space="preserve">dazu </w:t>
      </w:r>
      <w:r w:rsidRPr="00A81F08">
        <w:rPr>
          <w:b/>
          <w:lang w:val="de-CH"/>
        </w:rPr>
        <w:t>anzubringen.</w:t>
      </w:r>
      <w:r w:rsidR="00910F32">
        <w:rPr>
          <w:b/>
          <w:lang w:val="de-CH"/>
        </w:rPr>
        <w:t xml:space="preserve"> Die mit </w:t>
      </w:r>
      <w:r w:rsidR="003225B0">
        <w:rPr>
          <w:b/>
          <w:lang w:val="de-CH"/>
        </w:rPr>
        <w:t xml:space="preserve">einem </w:t>
      </w:r>
      <w:r w:rsidR="00F170A8">
        <w:rPr>
          <w:b/>
          <w:lang w:val="de-CH"/>
        </w:rPr>
        <w:t>Stern (</w:t>
      </w:r>
      <w:r w:rsidR="00910F32">
        <w:rPr>
          <w:b/>
          <w:lang w:val="de-CH"/>
        </w:rPr>
        <w:t>*</w:t>
      </w:r>
      <w:r w:rsidR="00F170A8">
        <w:rPr>
          <w:b/>
          <w:lang w:val="de-CH"/>
        </w:rPr>
        <w:t>)</w:t>
      </w:r>
      <w:r w:rsidR="00910F32">
        <w:rPr>
          <w:b/>
          <w:lang w:val="de-CH"/>
        </w:rPr>
        <w:t xml:space="preserve"> markierten Prüfpunkte sind bei allen Banken der Aufsichtskategorien 4 und 5 nicht anwendbar</w:t>
      </w:r>
      <w:r w:rsidR="00F170A8">
        <w:rPr>
          <w:b/>
          <w:lang w:val="de-CH"/>
        </w:rPr>
        <w:t>.</w:t>
      </w:r>
    </w:p>
    <w:p w14:paraId="44BDC176" w14:textId="77777777" w:rsidR="003E1DA2" w:rsidRPr="00A81F08" w:rsidRDefault="003E1DA2" w:rsidP="00DB3C01">
      <w:pPr>
        <w:rPr>
          <w:rFonts w:cs="Arial"/>
          <w:szCs w:val="20"/>
          <w:lang w:val="de-CH"/>
        </w:rPr>
      </w:pPr>
    </w:p>
    <w:p w14:paraId="3EB3A51B" w14:textId="77777777" w:rsidR="00594CFF" w:rsidRPr="00A81F08" w:rsidRDefault="00594CFF">
      <w:pPr>
        <w:rPr>
          <w:rFonts w:cs="Arial"/>
          <w:szCs w:val="20"/>
          <w:lang w:val="de-CH"/>
        </w:rPr>
      </w:pPr>
      <w:r w:rsidRPr="00A81F08">
        <w:rPr>
          <w:lang w:val="de-CH"/>
        </w:rPr>
        <w:br w:type="page"/>
      </w:r>
    </w:p>
    <w:p w14:paraId="0CD1E377" w14:textId="77777777" w:rsidR="00352874" w:rsidRPr="00A81F08" w:rsidRDefault="00003E26" w:rsidP="00352874">
      <w:pPr>
        <w:spacing w:line="240" w:lineRule="auto"/>
        <w:rPr>
          <w:rFonts w:cs="Arial"/>
          <w:b/>
          <w:lang w:val="de-CH"/>
        </w:rPr>
      </w:pPr>
      <w:r w:rsidRPr="00A81F08">
        <w:rPr>
          <w:b/>
          <w:lang w:val="de-CH"/>
        </w:rPr>
        <w:lastRenderedPageBreak/>
        <w:t>Abschliessende Zusammenfassung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10"/>
        <w:gridCol w:w="11359"/>
      </w:tblGrid>
      <w:tr w:rsidR="0045532C" w:rsidRPr="00A81F08" w14:paraId="6CC3AF83" w14:textId="77777777" w:rsidTr="0045532C">
        <w:trPr>
          <w:trHeight w:val="552"/>
          <w:tblHeader/>
        </w:trPr>
        <w:tc>
          <w:tcPr>
            <w:tcW w:w="2835" w:type="dxa"/>
            <w:shd w:val="pct15" w:color="auto" w:fill="auto"/>
          </w:tcPr>
          <w:p w14:paraId="6B0FF9DC" w14:textId="77777777" w:rsidR="0045532C" w:rsidRPr="00A81F08" w:rsidRDefault="0045532C" w:rsidP="000624A4">
            <w:pPr>
              <w:tabs>
                <w:tab w:val="left" w:pos="1418"/>
              </w:tabs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Thema:</w:t>
            </w:r>
          </w:p>
        </w:tc>
        <w:tc>
          <w:tcPr>
            <w:tcW w:w="11482" w:type="dxa"/>
            <w:shd w:val="pct15" w:color="auto" w:fill="auto"/>
          </w:tcPr>
          <w:p w14:paraId="5EF15E83" w14:textId="77777777" w:rsidR="0045532C" w:rsidRPr="00A81F08" w:rsidRDefault="0045532C" w:rsidP="000624A4">
            <w:pPr>
              <w:tabs>
                <w:tab w:val="left" w:pos="1859"/>
              </w:tabs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Information / Beschreibung:</w:t>
            </w:r>
          </w:p>
        </w:tc>
      </w:tr>
      <w:tr w:rsidR="0045532C" w:rsidRPr="00A81F08" w14:paraId="6941569C" w14:textId="77777777" w:rsidTr="00516970">
        <w:trPr>
          <w:trHeight w:val="1792"/>
        </w:trPr>
        <w:tc>
          <w:tcPr>
            <w:tcW w:w="2835" w:type="dxa"/>
          </w:tcPr>
          <w:p w14:paraId="2A313252" w14:textId="77777777" w:rsidR="0045532C" w:rsidRPr="00A81F08" w:rsidRDefault="0045532C" w:rsidP="000624A4">
            <w:pPr>
              <w:tabs>
                <w:tab w:val="left" w:pos="1418"/>
              </w:tabs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Zusammenfass</w:t>
            </w:r>
            <w:r w:rsidR="0043788F">
              <w:rPr>
                <w:sz w:val="16"/>
                <w:lang w:val="de-CH"/>
              </w:rPr>
              <w:t>ende Gesamtbeurteilung</w:t>
            </w:r>
          </w:p>
        </w:tc>
        <w:tc>
          <w:tcPr>
            <w:tcW w:w="11482" w:type="dxa"/>
          </w:tcPr>
          <w:p w14:paraId="3C6445D6" w14:textId="77777777" w:rsidR="00FA041D" w:rsidRPr="00A81F08" w:rsidRDefault="00FA041D" w:rsidP="00FA041D">
            <w:pPr>
              <w:rPr>
                <w:rFonts w:cs="Arial"/>
                <w:sz w:val="6"/>
                <w:szCs w:val="6"/>
                <w:highlight w:val="yellow"/>
                <w:lang w:val="de-CH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20"/>
              <w:gridCol w:w="5513"/>
            </w:tblGrid>
            <w:tr w:rsidR="00FA041D" w:rsidRPr="00A81F08" w14:paraId="117AF2BC" w14:textId="77777777" w:rsidTr="0023011F">
              <w:tc>
                <w:tcPr>
                  <w:tcW w:w="5620" w:type="dxa"/>
                  <w:shd w:val="clear" w:color="auto" w:fill="D9D9D9" w:themeFill="background1" w:themeFillShade="D9"/>
                  <w:tcMar>
                    <w:left w:w="0" w:type="dxa"/>
                  </w:tcMar>
                </w:tcPr>
                <w:p w14:paraId="6DD7F89C" w14:textId="77777777" w:rsidR="00FA041D" w:rsidRPr="00A81F08" w:rsidRDefault="00FA041D" w:rsidP="002B52B1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b/>
                      <w:sz w:val="16"/>
                      <w:szCs w:val="16"/>
                      <w:lang w:val="de-CH"/>
                    </w:rPr>
                  </w:pPr>
                  <w:r w:rsidRPr="00A81F08">
                    <w:rPr>
                      <w:b/>
                      <w:sz w:val="16"/>
                      <w:lang w:val="de-CH"/>
                    </w:rPr>
                    <w:t>Bestätigung im Prüfbericht:</w:t>
                  </w:r>
                </w:p>
              </w:tc>
              <w:tc>
                <w:tcPr>
                  <w:tcW w:w="5514" w:type="dxa"/>
                  <w:shd w:val="clear" w:color="auto" w:fill="D9D9D9" w:themeFill="background1" w:themeFillShade="D9"/>
                </w:tcPr>
                <w:p w14:paraId="116958A8" w14:textId="77777777" w:rsidR="00FA041D" w:rsidRPr="00A81F08" w:rsidRDefault="00FA041D" w:rsidP="002B52B1">
                  <w:pPr>
                    <w:tabs>
                      <w:tab w:val="left" w:pos="1859"/>
                    </w:tabs>
                    <w:rPr>
                      <w:rFonts w:cs="Arial"/>
                      <w:b/>
                      <w:sz w:val="16"/>
                      <w:szCs w:val="16"/>
                      <w:lang w:val="de-CH"/>
                    </w:rPr>
                  </w:pPr>
                  <w:r w:rsidRPr="00A81F08">
                    <w:rPr>
                      <w:b/>
                      <w:sz w:val="16"/>
                      <w:lang w:val="de-CH"/>
                    </w:rPr>
                    <w:t>Zusammenfassung:</w:t>
                  </w:r>
                </w:p>
              </w:tc>
            </w:tr>
            <w:tr w:rsidR="00FA041D" w:rsidRPr="00A81F08" w14:paraId="3434AD1C" w14:textId="77777777" w:rsidTr="0023011F">
              <w:tc>
                <w:tcPr>
                  <w:tcW w:w="5620" w:type="dxa"/>
                  <w:tcMar>
                    <w:left w:w="0" w:type="dxa"/>
                  </w:tcMar>
                </w:tcPr>
                <w:p w14:paraId="34BED7A3" w14:textId="38DAF044" w:rsidR="00B70350" w:rsidRPr="00A81F08" w:rsidRDefault="00C03FC8" w:rsidP="001944C0">
                  <w:pPr>
                    <w:ind w:left="34"/>
                    <w:rPr>
                      <w:rFonts w:cs="Arial"/>
                      <w:sz w:val="18"/>
                      <w:szCs w:val="18"/>
                      <w:lang w:val="de-CH"/>
                    </w:rPr>
                  </w:pPr>
                  <w:r w:rsidRPr="00A81F08">
                    <w:rPr>
                      <w:sz w:val="18"/>
                      <w:lang w:val="de-CH"/>
                    </w:rPr>
                    <w:t xml:space="preserve">Bestätigung, dass die Methoden / Prozesse zur Identifikation, Messung, Bewirtschaftung und Überwachung </w:t>
                  </w:r>
                  <w:r w:rsidR="001944C0">
                    <w:rPr>
                      <w:sz w:val="18"/>
                      <w:lang w:val="de-CH"/>
                    </w:rPr>
                    <w:t xml:space="preserve">von </w:t>
                  </w:r>
                  <w:r w:rsidR="0035535C">
                    <w:rPr>
                      <w:sz w:val="18"/>
                      <w:lang w:val="de-CH"/>
                    </w:rPr>
                    <w:t>anderen</w:t>
                  </w:r>
                  <w:r w:rsidRPr="00A81F08">
                    <w:rPr>
                      <w:sz w:val="18"/>
                      <w:lang w:val="de-CH"/>
                    </w:rPr>
                    <w:t xml:space="preserve"> Risiken </w:t>
                  </w:r>
                  <w:r w:rsidR="0035535C">
                    <w:rPr>
                      <w:sz w:val="18"/>
                      <w:lang w:val="de-CH"/>
                    </w:rPr>
                    <w:t>aus Rechts-</w:t>
                  </w:r>
                  <w:r w:rsidR="00545D72">
                    <w:rPr>
                      <w:sz w:val="18"/>
                      <w:lang w:val="de-CH"/>
                    </w:rPr>
                    <w:t xml:space="preserve"> </w:t>
                  </w:r>
                  <w:r w:rsidR="0035535C">
                    <w:rPr>
                      <w:sz w:val="18"/>
                      <w:lang w:val="de-CH"/>
                    </w:rPr>
                    <w:t xml:space="preserve">und Prozessrisiken </w:t>
                  </w:r>
                  <w:r w:rsidRPr="00A81F08">
                    <w:rPr>
                      <w:sz w:val="18"/>
                      <w:lang w:val="de-CH"/>
                    </w:rPr>
                    <w:t xml:space="preserve">angemessen waren und im Falle der Prüftiefe „Prüfung“ </w:t>
                  </w:r>
                  <w:r w:rsidR="00F358BF">
                    <w:rPr>
                      <w:sz w:val="18"/>
                      <w:lang w:val="de-CH"/>
                    </w:rPr>
                    <w:t xml:space="preserve">zusätzlich </w:t>
                  </w:r>
                  <w:r w:rsidRPr="00A81F08">
                    <w:rPr>
                      <w:sz w:val="18"/>
                      <w:lang w:val="de-CH"/>
                    </w:rPr>
                    <w:t>effektiv angewendet wurden.</w:t>
                  </w:r>
                </w:p>
              </w:tc>
              <w:tc>
                <w:tcPr>
                  <w:tcW w:w="5514" w:type="dxa"/>
                </w:tcPr>
                <w:p w14:paraId="18634AAE" w14:textId="77777777" w:rsidR="00FA041D" w:rsidRPr="00A81F08" w:rsidRDefault="00FA041D" w:rsidP="002B52B1">
                  <w:pPr>
                    <w:tabs>
                      <w:tab w:val="left" w:pos="1859"/>
                    </w:tabs>
                    <w:rPr>
                      <w:rFonts w:cs="Arial"/>
                      <w:i/>
                      <w:sz w:val="16"/>
                      <w:szCs w:val="16"/>
                      <w:lang w:val="de-CH"/>
                    </w:rPr>
                  </w:pPr>
                  <w:r w:rsidRPr="00A81F08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Ja</w:t>
                  </w:r>
                  <w:r w:rsidRPr="00A81F08">
                    <w:rPr>
                      <w:i/>
                      <w:sz w:val="16"/>
                      <w:highlight w:val="yellow"/>
                      <w:lang w:val="de-CH"/>
                    </w:rPr>
                    <w:t xml:space="preserve"> (Prüfung / kritische Beurteilung) / </w:t>
                  </w:r>
                  <w:r w:rsidRPr="00A81F08">
                    <w:rPr>
                      <w:b/>
                      <w:i/>
                      <w:sz w:val="16"/>
                      <w:highlight w:val="yellow"/>
                      <w:lang w:val="de-CH"/>
                    </w:rPr>
                    <w:t>Nein</w:t>
                  </w:r>
                </w:p>
              </w:tc>
            </w:tr>
          </w:tbl>
          <w:p w14:paraId="63E1D1FA" w14:textId="77777777" w:rsidR="00FA041D" w:rsidRPr="00A81F08" w:rsidRDefault="00FA041D" w:rsidP="000624A4">
            <w:pPr>
              <w:tabs>
                <w:tab w:val="left" w:pos="1859"/>
              </w:tabs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5532C" w:rsidRPr="00A81F08" w14:paraId="652ECB6C" w14:textId="77777777" w:rsidTr="0045532C">
        <w:trPr>
          <w:trHeight w:val="561"/>
        </w:trPr>
        <w:tc>
          <w:tcPr>
            <w:tcW w:w="2835" w:type="dxa"/>
          </w:tcPr>
          <w:p w14:paraId="0AA48301" w14:textId="7DBBD2A8" w:rsidR="0045532C" w:rsidRPr="00A81F08" w:rsidRDefault="0045532C" w:rsidP="00A81F08">
            <w:pPr>
              <w:tabs>
                <w:tab w:val="left" w:pos="1418"/>
              </w:tabs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Zusammenfassung der </w:t>
            </w:r>
            <w:r w:rsidR="00C30D25" w:rsidRPr="00A81F08">
              <w:rPr>
                <w:sz w:val="16"/>
                <w:lang w:val="de-CH"/>
              </w:rPr>
              <w:t>Prüfresultate</w:t>
            </w:r>
            <w:r w:rsidR="00C30D25">
              <w:rPr>
                <w:sz w:val="16"/>
                <w:lang w:val="de-CH"/>
              </w:rPr>
              <w:t> </w:t>
            </w:r>
            <w:r w:rsidRPr="00A81F08">
              <w:rPr>
                <w:sz w:val="16"/>
                <w:lang w:val="de-CH"/>
              </w:rPr>
              <w:t>/ Beanstandungen und Empfehlungen</w:t>
            </w:r>
            <w:r w:rsidR="00A81F08" w:rsidRPr="00A81F08">
              <w:rPr>
                <w:sz w:val="16"/>
                <w:lang w:val="de-CH"/>
              </w:rPr>
              <w:t xml:space="preserve"> </w:t>
            </w:r>
            <w:r w:rsidRPr="00A81F08">
              <w:rPr>
                <w:sz w:val="12"/>
                <w:lang w:val="de-CH"/>
              </w:rPr>
              <w:t>(ausführliche Informationen nachstehend)</w:t>
            </w:r>
          </w:p>
        </w:tc>
        <w:tc>
          <w:tcPr>
            <w:tcW w:w="11482" w:type="dxa"/>
          </w:tcPr>
          <w:p w14:paraId="64427927" w14:textId="77777777" w:rsidR="0045532C" w:rsidRPr="00A81F08" w:rsidRDefault="0045532C" w:rsidP="000624A4">
            <w:pPr>
              <w:tabs>
                <w:tab w:val="left" w:pos="1859"/>
              </w:tabs>
              <w:rPr>
                <w:rFonts w:cs="Arial"/>
                <w:sz w:val="16"/>
                <w:szCs w:val="16"/>
                <w:highlight w:val="yellow"/>
                <w:lang w:val="de-CH"/>
              </w:rPr>
            </w:pPr>
            <w:r w:rsidRPr="00A81F08">
              <w:rPr>
                <w:sz w:val="16"/>
                <w:highlight w:val="yellow"/>
                <w:lang w:val="de-CH"/>
              </w:rPr>
              <w:t>[Zusammenfassung der Prüfresultate / Beanstandungen und Empfehlungen]</w:t>
            </w:r>
          </w:p>
        </w:tc>
      </w:tr>
      <w:tr w:rsidR="0045532C" w:rsidRPr="00A81F08" w14:paraId="4416512F" w14:textId="77777777" w:rsidTr="0045532C">
        <w:trPr>
          <w:trHeight w:val="561"/>
        </w:trPr>
        <w:tc>
          <w:tcPr>
            <w:tcW w:w="2835" w:type="dxa"/>
          </w:tcPr>
          <w:p w14:paraId="4F3ECA8C" w14:textId="77777777" w:rsidR="0045532C" w:rsidRPr="00A81F08" w:rsidRDefault="0045532C" w:rsidP="000F4F77">
            <w:pPr>
              <w:tabs>
                <w:tab w:val="left" w:pos="1418"/>
              </w:tabs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Prüffelder, Prüfresultate und Prüfung</w:t>
            </w:r>
            <w:r w:rsidR="000F4F77">
              <w:rPr>
                <w:sz w:val="16"/>
                <w:lang w:val="de-CH"/>
              </w:rPr>
              <w:t>shandlungen der Internen Revision</w:t>
            </w:r>
            <w:r w:rsidRPr="00A81F08">
              <w:rPr>
                <w:sz w:val="16"/>
                <w:lang w:val="de-CH"/>
              </w:rPr>
              <w:t xml:space="preserve">, auf die sich die Prüfgesellschaft gestützt hat (einschliesslich </w:t>
            </w:r>
            <w:r w:rsidR="000F4F77">
              <w:rPr>
                <w:sz w:val="16"/>
                <w:lang w:val="de-CH"/>
              </w:rPr>
              <w:t>Würdigung durch die</w:t>
            </w:r>
            <w:r w:rsidRPr="00A81F08">
              <w:rPr>
                <w:sz w:val="16"/>
                <w:lang w:val="de-CH"/>
              </w:rPr>
              <w:t xml:space="preserve"> Prüfgesellschaft)</w:t>
            </w:r>
          </w:p>
        </w:tc>
        <w:tc>
          <w:tcPr>
            <w:tcW w:w="11482" w:type="dxa"/>
          </w:tcPr>
          <w:p w14:paraId="36ED2E4F" w14:textId="77777777" w:rsidR="0045532C" w:rsidRPr="00A81F08" w:rsidRDefault="0045532C" w:rsidP="009A0D29">
            <w:pPr>
              <w:rPr>
                <w:rFonts w:cs="Arial"/>
                <w:sz w:val="16"/>
                <w:szCs w:val="16"/>
                <w:highlight w:val="yellow"/>
                <w:lang w:val="de-CH"/>
              </w:rPr>
            </w:pPr>
            <w:r w:rsidRPr="00A81F08">
              <w:rPr>
                <w:sz w:val="16"/>
                <w:highlight w:val="yellow"/>
                <w:lang w:val="de-CH"/>
              </w:rPr>
              <w:t>[Beschreibung]</w:t>
            </w:r>
          </w:p>
        </w:tc>
      </w:tr>
    </w:tbl>
    <w:p w14:paraId="273552AA" w14:textId="77777777" w:rsidR="00FC6E90" w:rsidRPr="00A81F08" w:rsidRDefault="00FC6E90">
      <w:pPr>
        <w:rPr>
          <w:rFonts w:cs="Arial"/>
          <w:lang w:val="de-CH"/>
        </w:rPr>
      </w:pPr>
      <w:r w:rsidRPr="00A81F08">
        <w:rPr>
          <w:lang w:val="de-CH"/>
        </w:rPr>
        <w:br w:type="page"/>
      </w:r>
    </w:p>
    <w:p w14:paraId="43B10E63" w14:textId="77777777" w:rsidR="00A21545" w:rsidRPr="00A81F08" w:rsidRDefault="00A21545" w:rsidP="00A21545">
      <w:pPr>
        <w:spacing w:before="0" w:after="200"/>
        <w:rPr>
          <w:rFonts w:cs="Arial"/>
          <w:u w:val="single"/>
          <w:lang w:val="de-CH"/>
        </w:rPr>
      </w:pPr>
      <w:r w:rsidRPr="00A81F08">
        <w:rPr>
          <w:b/>
          <w:lang w:val="de-CH"/>
        </w:rPr>
        <w:lastRenderedPageBreak/>
        <w:t>Prüfprogramm – Andere Risiken aus Rechts- und Prozessrisiken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531"/>
        <w:gridCol w:w="3685"/>
        <w:gridCol w:w="3827"/>
        <w:gridCol w:w="3828"/>
        <w:gridCol w:w="992"/>
      </w:tblGrid>
      <w:tr w:rsidR="00A21545" w:rsidRPr="00A81F08" w14:paraId="417A3516" w14:textId="77777777" w:rsidTr="00BF1E2E">
        <w:trPr>
          <w:tblHeader/>
        </w:trPr>
        <w:tc>
          <w:tcPr>
            <w:tcW w:w="596" w:type="dxa"/>
            <w:tcBorders>
              <w:bottom w:val="single" w:sz="4" w:space="0" w:color="auto"/>
            </w:tcBorders>
            <w:shd w:val="pct20" w:color="auto" w:fill="auto"/>
          </w:tcPr>
          <w:p w14:paraId="7A81C281" w14:textId="77777777" w:rsidR="00A21545" w:rsidRPr="00A81F08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Nr.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pct20" w:color="auto" w:fill="auto"/>
          </w:tcPr>
          <w:p w14:paraId="5F0FC732" w14:textId="77777777" w:rsidR="00A21545" w:rsidRPr="00A81F08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Thema: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pct20" w:color="auto" w:fill="auto"/>
          </w:tcPr>
          <w:p w14:paraId="7B59BE93" w14:textId="5AA619C3" w:rsidR="00A21545" w:rsidRPr="00A81F08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Prüfungshandlungen für Prüftiefe „kritische Beurteilung“: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pct20" w:color="auto" w:fill="auto"/>
          </w:tcPr>
          <w:p w14:paraId="3CF0FF72" w14:textId="31372AD4" w:rsidR="00A21545" w:rsidRPr="00A81F08" w:rsidRDefault="00A21545" w:rsidP="00E62F76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u w:val="single"/>
                <w:lang w:val="de-CH"/>
              </w:rPr>
              <w:t>Zusätzliche</w:t>
            </w:r>
            <w:r w:rsidRPr="00A81F08">
              <w:rPr>
                <w:b/>
                <w:sz w:val="16"/>
                <w:lang w:val="de-CH"/>
              </w:rPr>
              <w:t xml:space="preserve"> Prüfungshandlungen für Prüftiefe „Prüfung“: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pct20" w:color="auto" w:fill="auto"/>
          </w:tcPr>
          <w:p w14:paraId="04847D94" w14:textId="77777777" w:rsidR="00A21545" w:rsidRPr="00A81F08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Durchgeführte Prüfungshandlungen / Feststellungen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0" w:color="auto" w:fill="auto"/>
          </w:tcPr>
          <w:p w14:paraId="69D23CFA" w14:textId="77777777" w:rsidR="00A21545" w:rsidRPr="00A81F08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 xml:space="preserve">Arbeitspapiere </w:t>
            </w:r>
            <w:proofErr w:type="spellStart"/>
            <w:r w:rsidRPr="00A81F08">
              <w:rPr>
                <w:b/>
                <w:sz w:val="16"/>
                <w:lang w:val="de-CH"/>
              </w:rPr>
              <w:t>Ref</w:t>
            </w:r>
            <w:proofErr w:type="spellEnd"/>
            <w:r w:rsidRPr="00A81F08">
              <w:rPr>
                <w:b/>
                <w:sz w:val="16"/>
                <w:lang w:val="de-CH"/>
              </w:rPr>
              <w:t>.:</w:t>
            </w:r>
          </w:p>
        </w:tc>
      </w:tr>
      <w:tr w:rsidR="00A21545" w:rsidRPr="00FA059B" w14:paraId="68FFF5F7" w14:textId="77777777" w:rsidTr="00000B42">
        <w:tc>
          <w:tcPr>
            <w:tcW w:w="14459" w:type="dxa"/>
            <w:gridSpan w:val="6"/>
            <w:shd w:val="pct10" w:color="auto" w:fill="auto"/>
          </w:tcPr>
          <w:p w14:paraId="085366E9" w14:textId="77777777" w:rsidR="000C6812" w:rsidRPr="003D5E2C" w:rsidRDefault="000803F2" w:rsidP="000C6812">
            <w:pPr>
              <w:spacing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3D5E2C">
              <w:rPr>
                <w:i/>
                <w:sz w:val="16"/>
                <w:lang w:val="en-US"/>
              </w:rPr>
              <w:t>“</w:t>
            </w:r>
            <w:r w:rsidR="005957CC" w:rsidRPr="003D5E2C">
              <w:rPr>
                <w:i/>
                <w:sz w:val="16"/>
                <w:lang w:val="en-US"/>
              </w:rPr>
              <w:t xml:space="preserve">Confirmation that the methods / processes used to identify, measure, manage and </w:t>
            </w:r>
            <w:r w:rsidR="000F4F77" w:rsidRPr="003D5E2C">
              <w:rPr>
                <w:i/>
                <w:sz w:val="16"/>
                <w:lang w:val="en-US"/>
              </w:rPr>
              <w:t xml:space="preserve">monitor </w:t>
            </w:r>
            <w:r w:rsidR="005957CC" w:rsidRPr="003D5E2C">
              <w:rPr>
                <w:i/>
                <w:sz w:val="16"/>
                <w:lang w:val="en-US"/>
              </w:rPr>
              <w:t xml:space="preserve">the </w:t>
            </w:r>
            <w:r w:rsidR="0035535C">
              <w:rPr>
                <w:i/>
                <w:sz w:val="16"/>
                <w:lang w:val="en-US"/>
              </w:rPr>
              <w:t xml:space="preserve">other </w:t>
            </w:r>
            <w:r w:rsidR="005957CC" w:rsidRPr="003D5E2C">
              <w:rPr>
                <w:i/>
                <w:sz w:val="16"/>
                <w:lang w:val="en-US"/>
              </w:rPr>
              <w:t xml:space="preserve">risks </w:t>
            </w:r>
            <w:r w:rsidR="0035535C">
              <w:rPr>
                <w:i/>
                <w:sz w:val="16"/>
                <w:lang w:val="en-US"/>
              </w:rPr>
              <w:t xml:space="preserve">in connection with legal and litigation risks </w:t>
            </w:r>
            <w:r w:rsidR="005957CC" w:rsidRPr="003D5E2C">
              <w:rPr>
                <w:i/>
                <w:sz w:val="16"/>
                <w:lang w:val="en-US"/>
              </w:rPr>
              <w:t>were adequate and, in case of the audit depth “audit”, were applied effectively</w:t>
            </w:r>
            <w:r w:rsidRPr="003D5E2C">
              <w:rPr>
                <w:i/>
                <w:sz w:val="16"/>
                <w:lang w:val="en-US"/>
              </w:rPr>
              <w:t>”</w:t>
            </w:r>
            <w:r w:rsidR="005957CC" w:rsidRPr="003D5E2C">
              <w:rPr>
                <w:i/>
                <w:sz w:val="16"/>
                <w:lang w:val="en-US"/>
              </w:rPr>
              <w:t>.</w:t>
            </w:r>
          </w:p>
          <w:p w14:paraId="029FAAED" w14:textId="77777777" w:rsidR="005957CC" w:rsidRPr="003D5E2C" w:rsidRDefault="000803F2" w:rsidP="003478C0">
            <w:pPr>
              <w:spacing w:line="240" w:lineRule="auto"/>
              <w:rPr>
                <w:rFonts w:cs="Arial"/>
                <w:i/>
                <w:sz w:val="16"/>
                <w:szCs w:val="16"/>
                <w:lang w:val="de-CH"/>
              </w:rPr>
            </w:pPr>
            <w:r w:rsidRPr="003D5E2C">
              <w:rPr>
                <w:i/>
                <w:sz w:val="16"/>
                <w:lang w:val="de-CH"/>
              </w:rPr>
              <w:t>“</w:t>
            </w:r>
            <w:r w:rsidR="005957CC" w:rsidRPr="003D5E2C">
              <w:rPr>
                <w:i/>
                <w:sz w:val="16"/>
                <w:lang w:val="de-CH"/>
              </w:rPr>
              <w:t xml:space="preserve">Bestätigung, dass die Methoden / Prozesse zur Identifikation, Messung, Bewirtschaftung und Überwachung </w:t>
            </w:r>
            <w:r w:rsidR="00000B42">
              <w:rPr>
                <w:i/>
                <w:sz w:val="16"/>
                <w:lang w:val="de-CH"/>
              </w:rPr>
              <w:t>von</w:t>
            </w:r>
            <w:r w:rsidR="00000B42" w:rsidRPr="003D5E2C">
              <w:rPr>
                <w:i/>
                <w:sz w:val="16"/>
                <w:lang w:val="de-CH"/>
              </w:rPr>
              <w:t xml:space="preserve"> </w:t>
            </w:r>
            <w:r w:rsidR="00000B42">
              <w:rPr>
                <w:i/>
                <w:sz w:val="16"/>
                <w:lang w:val="de-CH"/>
              </w:rPr>
              <w:t>anderen</w:t>
            </w:r>
            <w:r w:rsidR="0035535C">
              <w:rPr>
                <w:i/>
                <w:sz w:val="16"/>
                <w:lang w:val="de-CH"/>
              </w:rPr>
              <w:t xml:space="preserve"> </w:t>
            </w:r>
            <w:r w:rsidR="005957CC" w:rsidRPr="003D5E2C">
              <w:rPr>
                <w:i/>
                <w:sz w:val="16"/>
                <w:lang w:val="de-CH"/>
              </w:rPr>
              <w:t xml:space="preserve">Risiken </w:t>
            </w:r>
            <w:r w:rsidR="0035535C">
              <w:rPr>
                <w:i/>
                <w:sz w:val="16"/>
                <w:lang w:val="de-CH"/>
              </w:rPr>
              <w:t xml:space="preserve">aus Rechts- und Prozessrisiken </w:t>
            </w:r>
            <w:r w:rsidR="005957CC" w:rsidRPr="003D5E2C">
              <w:rPr>
                <w:i/>
                <w:sz w:val="16"/>
                <w:lang w:val="de-CH"/>
              </w:rPr>
              <w:t xml:space="preserve">angemessen waren und im Falle der Prüftiefe „Prüfung“ </w:t>
            </w:r>
            <w:r w:rsidR="00F358BF">
              <w:rPr>
                <w:i/>
                <w:sz w:val="16"/>
                <w:lang w:val="de-CH"/>
              </w:rPr>
              <w:t xml:space="preserve">zusätzlich </w:t>
            </w:r>
            <w:r w:rsidR="005957CC" w:rsidRPr="003D5E2C">
              <w:rPr>
                <w:i/>
                <w:sz w:val="16"/>
                <w:lang w:val="de-CH"/>
              </w:rPr>
              <w:t>effektiv angewendet wurden</w:t>
            </w:r>
            <w:r w:rsidRPr="003D5E2C">
              <w:rPr>
                <w:i/>
                <w:sz w:val="16"/>
                <w:lang w:val="de-CH"/>
              </w:rPr>
              <w:t>“</w:t>
            </w:r>
            <w:r w:rsidR="005957CC" w:rsidRPr="003D5E2C">
              <w:rPr>
                <w:i/>
                <w:sz w:val="16"/>
                <w:lang w:val="de-CH"/>
              </w:rPr>
              <w:t>.</w:t>
            </w:r>
          </w:p>
          <w:p w14:paraId="426CF501" w14:textId="77777777" w:rsidR="00A21545" w:rsidRPr="00625865" w:rsidRDefault="000803F2" w:rsidP="007E6863">
            <w:pPr>
              <w:spacing w:line="240" w:lineRule="auto"/>
              <w:rPr>
                <w:rFonts w:cs="Arial"/>
                <w:bCs/>
                <w:i/>
                <w:sz w:val="16"/>
                <w:szCs w:val="16"/>
                <w:lang w:val="fr-CH"/>
              </w:rPr>
            </w:pPr>
            <w:r w:rsidRPr="003D5E2C">
              <w:rPr>
                <w:i/>
                <w:sz w:val="16"/>
                <w:lang w:val="fr-CH"/>
              </w:rPr>
              <w:t>„</w:t>
            </w:r>
            <w:r w:rsidR="005957CC" w:rsidRPr="003D5E2C">
              <w:rPr>
                <w:i/>
                <w:sz w:val="16"/>
                <w:lang w:val="fr-CH"/>
              </w:rPr>
              <w:t xml:space="preserve">Confirmation que les méthodes / processus relatifs à l’identification, la mesure, la gestion et la surveillance des </w:t>
            </w:r>
            <w:r w:rsidR="0035535C">
              <w:rPr>
                <w:i/>
                <w:sz w:val="16"/>
                <w:lang w:val="fr-CH"/>
              </w:rPr>
              <w:t xml:space="preserve">autres </w:t>
            </w:r>
            <w:r w:rsidR="005957CC" w:rsidRPr="003D5E2C">
              <w:rPr>
                <w:i/>
                <w:sz w:val="16"/>
                <w:lang w:val="fr-CH"/>
              </w:rPr>
              <w:t xml:space="preserve">risques </w:t>
            </w:r>
            <w:r w:rsidR="0035535C">
              <w:rPr>
                <w:i/>
                <w:sz w:val="16"/>
                <w:lang w:val="fr-CH"/>
              </w:rPr>
              <w:t xml:space="preserve">provenant des risque juridiques et de procès </w:t>
            </w:r>
            <w:r w:rsidR="005957CC" w:rsidRPr="003D5E2C">
              <w:rPr>
                <w:i/>
                <w:sz w:val="16"/>
                <w:lang w:val="fr-CH"/>
              </w:rPr>
              <w:t>ont été appropriés et</w:t>
            </w:r>
            <w:r w:rsidR="00F358BF">
              <w:rPr>
                <w:i/>
                <w:sz w:val="16"/>
                <w:lang w:val="fr-CH"/>
              </w:rPr>
              <w:t>,</w:t>
            </w:r>
            <w:r w:rsidR="005957CC" w:rsidRPr="003D5E2C">
              <w:rPr>
                <w:i/>
                <w:sz w:val="16"/>
                <w:lang w:val="fr-CH"/>
              </w:rPr>
              <w:t xml:space="preserve"> en cas d’étendue d’audit « audit »</w:t>
            </w:r>
            <w:r w:rsidR="00F358BF">
              <w:rPr>
                <w:i/>
                <w:sz w:val="16"/>
                <w:lang w:val="fr-CH"/>
              </w:rPr>
              <w:t>,</w:t>
            </w:r>
            <w:r w:rsidR="005957CC" w:rsidRPr="003D5E2C">
              <w:rPr>
                <w:i/>
                <w:sz w:val="16"/>
                <w:lang w:val="fr-CH"/>
              </w:rPr>
              <w:t xml:space="preserve"> </w:t>
            </w:r>
            <w:r w:rsidR="000F4F77" w:rsidRPr="003D5E2C">
              <w:rPr>
                <w:i/>
                <w:sz w:val="16"/>
                <w:lang w:val="fr-CH"/>
              </w:rPr>
              <w:t xml:space="preserve">ont été </w:t>
            </w:r>
            <w:r w:rsidR="005957CC" w:rsidRPr="003D5E2C">
              <w:rPr>
                <w:i/>
                <w:sz w:val="16"/>
                <w:lang w:val="fr-CH"/>
              </w:rPr>
              <w:t>effectivement appliqués</w:t>
            </w:r>
            <w:r w:rsidR="008B2E84" w:rsidRPr="0035535C">
              <w:rPr>
                <w:i/>
                <w:sz w:val="16"/>
                <w:lang w:val="fr-CH"/>
              </w:rPr>
              <w:t>“</w:t>
            </w:r>
            <w:r w:rsidR="005957CC" w:rsidRPr="003D5E2C">
              <w:rPr>
                <w:i/>
                <w:sz w:val="16"/>
                <w:lang w:val="fr-CH"/>
              </w:rPr>
              <w:t>.</w:t>
            </w:r>
          </w:p>
        </w:tc>
      </w:tr>
      <w:tr w:rsidR="005F6165" w:rsidRPr="00BE0D68" w14:paraId="6C811FD8" w14:textId="77777777" w:rsidTr="00BF1E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8BE3F7" w14:textId="77777777" w:rsidR="005F6165" w:rsidRPr="00625865" w:rsidRDefault="005F6165" w:rsidP="002021DE">
            <w:pPr>
              <w:spacing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54F67" w14:textId="77777777" w:rsidR="005F6165" w:rsidRPr="00270F67" w:rsidRDefault="005F6165" w:rsidP="007100D9">
            <w:pPr>
              <w:spacing w:line="240" w:lineRule="auto"/>
              <w:rPr>
                <w:b/>
                <w:sz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 xml:space="preserve">Prozess zur Bewirtschaftung von Rechtsrisiken </w:t>
            </w:r>
            <w:r w:rsidR="00270F67">
              <w:rPr>
                <w:b/>
                <w:sz w:val="16"/>
                <w:lang w:val="de-CH"/>
              </w:rPr>
              <w:t>im A</w:t>
            </w:r>
            <w:r w:rsidRPr="00A81F08">
              <w:rPr>
                <w:b/>
                <w:sz w:val="16"/>
                <w:lang w:val="de-CH"/>
              </w:rPr>
              <w:t>llgemein</w:t>
            </w:r>
            <w:r w:rsidR="00270F67">
              <w:rPr>
                <w:b/>
                <w:sz w:val="16"/>
                <w:lang w:val="de-CH"/>
              </w:rPr>
              <w:t>en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21B3DFA3" w14:textId="77777777" w:rsidR="005F6165" w:rsidRPr="00A81F08" w:rsidRDefault="005F6165" w:rsidP="001D6A53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  <w:lang w:val="de-CH"/>
              </w:rPr>
            </w:pPr>
            <w:r w:rsidRPr="00A81F08">
              <w:rPr>
                <w:i/>
                <w:sz w:val="16"/>
                <w:lang w:val="de-CH"/>
              </w:rPr>
              <w:t xml:space="preserve">Beurteilung der Angemessenheit der Methoden / Prozesse zur Identifizierung, </w:t>
            </w:r>
            <w:r w:rsidRPr="00981890">
              <w:rPr>
                <w:i/>
                <w:sz w:val="16"/>
                <w:lang w:val="de-CH"/>
              </w:rPr>
              <w:t xml:space="preserve">Messung, </w:t>
            </w:r>
            <w:r w:rsidR="001D6A53" w:rsidRPr="00981890">
              <w:rPr>
                <w:i/>
                <w:sz w:val="16"/>
                <w:lang w:val="de-CH"/>
              </w:rPr>
              <w:t xml:space="preserve">Bewirtschaftung, </w:t>
            </w:r>
            <w:r w:rsidRPr="00981890">
              <w:rPr>
                <w:i/>
                <w:sz w:val="16"/>
                <w:lang w:val="de-CH"/>
              </w:rPr>
              <w:t xml:space="preserve">Überwachung und Berichterstattung von Rechtsrisiken </w:t>
            </w:r>
            <w:r w:rsidR="00270F67" w:rsidRPr="00981890">
              <w:rPr>
                <w:i/>
                <w:sz w:val="16"/>
                <w:lang w:val="de-CH"/>
              </w:rPr>
              <w:t>im A</w:t>
            </w:r>
            <w:r w:rsidRPr="00981890">
              <w:rPr>
                <w:i/>
                <w:sz w:val="16"/>
                <w:lang w:val="de-CH"/>
              </w:rPr>
              <w:t>l</w:t>
            </w:r>
            <w:r w:rsidR="00EF1355" w:rsidRPr="00981890">
              <w:rPr>
                <w:i/>
                <w:sz w:val="16"/>
                <w:lang w:val="de-CH"/>
              </w:rPr>
              <w:t>l</w:t>
            </w:r>
            <w:r w:rsidRPr="00981890">
              <w:rPr>
                <w:i/>
                <w:sz w:val="16"/>
                <w:lang w:val="de-CH"/>
              </w:rPr>
              <w:t>gemein</w:t>
            </w:r>
            <w:r w:rsidR="00270F67" w:rsidRPr="00981890">
              <w:rPr>
                <w:i/>
                <w:sz w:val="16"/>
                <w:lang w:val="de-CH"/>
              </w:rPr>
              <w:t>en</w:t>
            </w:r>
            <w:r w:rsidRPr="00981890">
              <w:rPr>
                <w:i/>
                <w:sz w:val="16"/>
                <w:lang w:val="de-CH"/>
              </w:rPr>
              <w:t xml:space="preserve"> nach Massgabe der Grösse und der Geschäfts- und Organisationskomplexität des Instituts, nam</w:t>
            </w:r>
            <w:r w:rsidRPr="00A81F08">
              <w:rPr>
                <w:i/>
                <w:sz w:val="16"/>
                <w:lang w:val="de-CH"/>
              </w:rPr>
              <w:t>entlich</w:t>
            </w:r>
          </w:p>
        </w:tc>
        <w:tc>
          <w:tcPr>
            <w:tcW w:w="3827" w:type="dxa"/>
            <w:shd w:val="clear" w:color="auto" w:fill="auto"/>
          </w:tcPr>
          <w:p w14:paraId="0C97330E" w14:textId="77777777" w:rsidR="005F6165" w:rsidRPr="00A81F08" w:rsidRDefault="005F6165" w:rsidP="007234D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  <w:p w14:paraId="1F8E5477" w14:textId="77777777" w:rsidR="005F6165" w:rsidRPr="00A81F08" w:rsidRDefault="005F6165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324B0B6F" w14:textId="77777777" w:rsidR="005F6165" w:rsidRPr="00A81F08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04026FA1" w14:textId="20B015A4" w:rsidR="005F6165" w:rsidRPr="00C77A0F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5F6165" w:rsidRPr="00A81F08" w14:paraId="14FC16CB" w14:textId="77777777" w:rsidTr="00BF1E2E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F8FB1" w14:textId="77777777" w:rsidR="005F6165" w:rsidRPr="00C77A0F" w:rsidRDefault="005F6165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83445" w14:textId="77777777" w:rsidR="005F6165" w:rsidRPr="00C77A0F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536A1308" w14:textId="77777777" w:rsidR="005F6165" w:rsidRPr="00A81F08" w:rsidRDefault="00613F0C" w:rsidP="00F5791C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sz w:val="16"/>
                <w:lang w:val="de-CH"/>
              </w:rPr>
              <w:t xml:space="preserve">Beurteilung der Angemessenheit </w:t>
            </w:r>
            <w:r w:rsidRPr="003D5E2C">
              <w:rPr>
                <w:sz w:val="16"/>
                <w:lang w:val="de-CH"/>
              </w:rPr>
              <w:t>der Ausgestaltung der Prozesse</w:t>
            </w:r>
            <w:r w:rsidR="00BB6936" w:rsidRPr="003D5E2C">
              <w:rPr>
                <w:sz w:val="16"/>
                <w:lang w:val="de-CH"/>
              </w:rPr>
              <w:t xml:space="preserve"> des Instituts</w:t>
            </w:r>
            <w:r w:rsidRPr="003D5E2C">
              <w:rPr>
                <w:sz w:val="16"/>
                <w:lang w:val="de-CH"/>
              </w:rPr>
              <w:t xml:space="preserve"> d</w:t>
            </w:r>
            <w:r w:rsidR="00724B83" w:rsidRPr="003D5E2C">
              <w:rPr>
                <w:sz w:val="16"/>
                <w:lang w:val="de-CH"/>
              </w:rPr>
              <w:t xml:space="preserve">urch </w:t>
            </w:r>
            <w:r w:rsidR="00FE7A9D" w:rsidRPr="003D5E2C">
              <w:rPr>
                <w:sz w:val="16"/>
                <w:lang w:val="de-CH"/>
              </w:rPr>
              <w:t xml:space="preserve">Befragung </w:t>
            </w:r>
            <w:r w:rsidRPr="003D5E2C">
              <w:rPr>
                <w:sz w:val="16"/>
                <w:lang w:val="de-CH"/>
              </w:rPr>
              <w:t>und Durchsicht</w:t>
            </w:r>
            <w:r w:rsidR="00724B83" w:rsidRPr="003D5E2C">
              <w:rPr>
                <w:sz w:val="16"/>
                <w:lang w:val="de-CH"/>
              </w:rPr>
              <w:t xml:space="preserve"> der r</w:t>
            </w:r>
            <w:r w:rsidR="00724B83" w:rsidRPr="00A81F08">
              <w:rPr>
                <w:sz w:val="16"/>
                <w:lang w:val="de-CH"/>
              </w:rPr>
              <w:t>elevanten Dokumente (Richtlinien, interne Weisungen und Verfahren)</w:t>
            </w:r>
            <w:r w:rsidR="00270F67">
              <w:rPr>
                <w:sz w:val="16"/>
                <w:lang w:val="de-CH"/>
              </w:rPr>
              <w:t xml:space="preserve"> bezüglich</w:t>
            </w:r>
            <w:r w:rsidR="00724B83" w:rsidRPr="00A81F08">
              <w:rPr>
                <w:sz w:val="16"/>
                <w:lang w:val="de-CH"/>
              </w:rPr>
              <w:t>:</w:t>
            </w:r>
          </w:p>
          <w:p w14:paraId="2768FD30" w14:textId="77777777" w:rsidR="005F6165" w:rsidRPr="00A81F08" w:rsidRDefault="005F6165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Erstellung, laufende Überwachung und Anpassung</w:t>
            </w:r>
            <w:r w:rsidR="00270F67">
              <w:rPr>
                <w:sz w:val="16"/>
                <w:lang w:val="de-CH"/>
              </w:rPr>
              <w:t xml:space="preserve"> </w:t>
            </w:r>
            <w:r w:rsidRPr="00A81F08">
              <w:rPr>
                <w:sz w:val="16"/>
                <w:lang w:val="de-CH"/>
              </w:rPr>
              <w:t>von Standard-Verträgen sowie allgemeinen Geschäftsbedingungen</w:t>
            </w:r>
          </w:p>
          <w:p w14:paraId="01C5E7C5" w14:textId="77777777" w:rsidR="00724B83" w:rsidRPr="00A81F08" w:rsidRDefault="00CA48BE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sz w:val="16"/>
                <w:lang w:val="de-CH"/>
              </w:rPr>
              <w:t>Sicherstellung</w:t>
            </w:r>
            <w:r w:rsidR="00C4126E" w:rsidRPr="00A81F08">
              <w:rPr>
                <w:sz w:val="16"/>
                <w:lang w:val="de-CH"/>
              </w:rPr>
              <w:t>, dass rechtliche und regulatorische Änderungen angemessen und zeitnah in den Standard-Verträgen des Instituts berücksichtigt werden</w:t>
            </w:r>
          </w:p>
          <w:p w14:paraId="20590F11" w14:textId="77777777" w:rsidR="00C4126E" w:rsidRPr="00A81F08" w:rsidRDefault="007B1246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Anpassung von Standard-Verträgen (u. a. aufgrund rechtlicher und regulatorischer Änderungen)</w:t>
            </w:r>
          </w:p>
          <w:p w14:paraId="13A3AFE2" w14:textId="77777777" w:rsidR="005F6165" w:rsidRPr="00A81F08" w:rsidRDefault="005F6165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Abweichungen von und Änderungen in Standard-Verträgen</w:t>
            </w:r>
          </w:p>
          <w:p w14:paraId="099F3E22" w14:textId="77777777" w:rsidR="00C4126E" w:rsidRPr="00A81F08" w:rsidRDefault="009C28F9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sz w:val="16"/>
                <w:lang w:val="de-CH"/>
              </w:rPr>
              <w:t>Einbezug</w:t>
            </w:r>
            <w:r w:rsidRPr="00A81F08">
              <w:rPr>
                <w:sz w:val="16"/>
                <w:lang w:val="de-CH"/>
              </w:rPr>
              <w:t xml:space="preserve"> </w:t>
            </w:r>
            <w:r w:rsidR="00C4126E" w:rsidRPr="00A81F08">
              <w:rPr>
                <w:sz w:val="16"/>
                <w:lang w:val="de-CH"/>
              </w:rPr>
              <w:t xml:space="preserve">angemessener </w:t>
            </w:r>
            <w:r>
              <w:rPr>
                <w:sz w:val="16"/>
                <w:lang w:val="de-CH"/>
              </w:rPr>
              <w:t>Kompetenzen</w:t>
            </w:r>
            <w:r w:rsidR="00C4126E" w:rsidRPr="00A81F08">
              <w:rPr>
                <w:sz w:val="16"/>
                <w:lang w:val="de-CH"/>
              </w:rPr>
              <w:t xml:space="preserve"> und Kontrollfunktionen bei der Ausarbeitung von Standard-Verträgen (und Abweichungen davon)</w:t>
            </w:r>
          </w:p>
          <w:p w14:paraId="3D1F4756" w14:textId="77777777" w:rsidR="005F6165" w:rsidRPr="00A81F08" w:rsidRDefault="005F6165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Festlegung und Überwachung von Fristen.</w:t>
            </w:r>
          </w:p>
        </w:tc>
        <w:tc>
          <w:tcPr>
            <w:tcW w:w="3827" w:type="dxa"/>
            <w:shd w:val="clear" w:color="auto" w:fill="auto"/>
          </w:tcPr>
          <w:p w14:paraId="3D758087" w14:textId="32760B40" w:rsidR="005F6165" w:rsidRPr="00A81F08" w:rsidRDefault="00645149" w:rsidP="003E1FA3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Prüfung</w:t>
            </w:r>
            <w:r w:rsidR="00AF590C" w:rsidRPr="00A81F08">
              <w:rPr>
                <w:sz w:val="16"/>
                <w:lang w:val="de-CH"/>
              </w:rPr>
              <w:t xml:space="preserve"> anhand einer </w:t>
            </w:r>
            <w:r w:rsidR="004426B1">
              <w:rPr>
                <w:sz w:val="16"/>
                <w:lang w:val="de-CH"/>
              </w:rPr>
              <w:t>risikobasierten</w:t>
            </w:r>
            <w:r w:rsidR="004426B1" w:rsidRPr="00A81F08">
              <w:rPr>
                <w:sz w:val="16"/>
                <w:lang w:val="de-CH"/>
              </w:rPr>
              <w:t xml:space="preserve"> </w:t>
            </w:r>
            <w:r w:rsidR="00AF590C" w:rsidRPr="00A81F08">
              <w:rPr>
                <w:sz w:val="16"/>
                <w:lang w:val="de-CH"/>
              </w:rPr>
              <w:t>Stichprobe</w:t>
            </w:r>
            <w:r w:rsidRPr="00A81F08">
              <w:rPr>
                <w:sz w:val="16"/>
                <w:lang w:val="de-CH"/>
              </w:rPr>
              <w:t>, ob die internen Vorgaben für Änderungen in oder Abweichungen von Standard-Verträgen eingehalten wurden.</w:t>
            </w:r>
            <w:r w:rsidR="005F6165" w:rsidRPr="00A81F08">
              <w:rPr>
                <w:sz w:val="16"/>
                <w:lang w:val="de-CH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FD095EE" w14:textId="77777777" w:rsidR="005F6165" w:rsidRPr="00A81F08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014B1F6" w14:textId="3CD719E9" w:rsidR="005F6165" w:rsidRPr="00981890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5F6165" w:rsidRPr="00A81F08" w14:paraId="269865AF" w14:textId="77777777" w:rsidTr="00BF1E2E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316DB" w14:textId="77777777" w:rsidR="005F6165" w:rsidRPr="00A81F08" w:rsidRDefault="005F6165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90905F" w14:textId="77777777" w:rsidR="005F6165" w:rsidRPr="00A81F08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7FF6AEC" w14:textId="4140CEBA" w:rsidR="005F6165" w:rsidRPr="00A81F08" w:rsidRDefault="005F6165" w:rsidP="00DB512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Beurteilung, ob </w:t>
            </w:r>
            <w:r w:rsidR="007A1F17">
              <w:rPr>
                <w:sz w:val="16"/>
                <w:lang w:val="de-CH"/>
              </w:rPr>
              <w:t xml:space="preserve">die Anwendung der aktuellen </w:t>
            </w:r>
            <w:r w:rsidR="00D37D1F">
              <w:rPr>
                <w:sz w:val="16"/>
                <w:lang w:val="de-CH"/>
              </w:rPr>
              <w:t>Standard-</w:t>
            </w:r>
            <w:r w:rsidRPr="00A81F08">
              <w:rPr>
                <w:sz w:val="16"/>
                <w:lang w:val="de-CH"/>
              </w:rPr>
              <w:t xml:space="preserve">Verträge </w:t>
            </w:r>
            <w:r w:rsidR="007A1F17">
              <w:rPr>
                <w:sz w:val="16"/>
                <w:lang w:val="de-CH"/>
              </w:rPr>
              <w:t>sicherstellt</w:t>
            </w:r>
            <w:r w:rsidR="00DB512E">
              <w:rPr>
                <w:sz w:val="16"/>
                <w:lang w:val="de-CH"/>
              </w:rPr>
              <w:t xml:space="preserve"> ist</w:t>
            </w:r>
            <w:r w:rsidR="007A1F17">
              <w:rPr>
                <w:sz w:val="16"/>
                <w:lang w:val="de-CH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2CB5B47B" w14:textId="47F41C3C" w:rsidR="005F6165" w:rsidRPr="00A81F08" w:rsidRDefault="00CA47D6" w:rsidP="009E314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Prüfung </w:t>
            </w:r>
            <w:r w:rsidR="00D37D1F">
              <w:rPr>
                <w:sz w:val="16"/>
                <w:lang w:val="de-CH"/>
              </w:rPr>
              <w:t xml:space="preserve">anhand einer risikoorientierten Stichprobe, ob die </w:t>
            </w:r>
            <w:r w:rsidRPr="00A81F08">
              <w:rPr>
                <w:sz w:val="16"/>
                <w:lang w:val="de-CH"/>
              </w:rPr>
              <w:t>aktuelle</w:t>
            </w:r>
            <w:r w:rsidR="00D37D1F">
              <w:rPr>
                <w:sz w:val="16"/>
                <w:lang w:val="de-CH"/>
              </w:rPr>
              <w:t>n</w:t>
            </w:r>
            <w:r w:rsidRPr="00A81F08">
              <w:rPr>
                <w:sz w:val="16"/>
                <w:lang w:val="de-CH"/>
              </w:rPr>
              <w:t xml:space="preserve"> Standard-Verträge </w:t>
            </w:r>
            <w:r w:rsidR="00D37D1F">
              <w:rPr>
                <w:sz w:val="16"/>
                <w:lang w:val="de-CH"/>
              </w:rPr>
              <w:t>angewendet werden.</w:t>
            </w:r>
            <w:r w:rsidRPr="00A81F08">
              <w:rPr>
                <w:sz w:val="16"/>
                <w:lang w:val="de-CH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1D996DE" w14:textId="77777777" w:rsidR="005F6165" w:rsidRPr="00A81F08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237DA7BB" w14:textId="1056D481" w:rsidR="005F6165" w:rsidRPr="00981890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5F6165" w:rsidRPr="00A81F08" w14:paraId="2C678AEF" w14:textId="77777777" w:rsidTr="00BF1E2E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1BF9E" w14:textId="77777777" w:rsidR="005F6165" w:rsidRPr="00A81F08" w:rsidRDefault="005F6165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F074" w14:textId="77777777" w:rsidR="005F6165" w:rsidRPr="00A81F08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D72D4C4" w14:textId="298D701E" w:rsidR="005F6165" w:rsidRPr="00A81F08" w:rsidRDefault="005F6165" w:rsidP="00240E6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Beurteilung der Angemessenheit der Berichterstattung </w:t>
            </w:r>
            <w:r w:rsidR="00C31A85">
              <w:rPr>
                <w:sz w:val="16"/>
                <w:lang w:val="de-CH"/>
              </w:rPr>
              <w:t xml:space="preserve">über die </w:t>
            </w:r>
            <w:r w:rsidR="00320497">
              <w:rPr>
                <w:sz w:val="16"/>
                <w:lang w:val="de-CH"/>
              </w:rPr>
              <w:t xml:space="preserve">generelle </w:t>
            </w:r>
            <w:r w:rsidR="00C31A85">
              <w:rPr>
                <w:sz w:val="16"/>
                <w:lang w:val="de-CH"/>
              </w:rPr>
              <w:t xml:space="preserve">Bewirtschaftung von Rechtsrisiken </w:t>
            </w:r>
            <w:r w:rsidRPr="00A81F08">
              <w:rPr>
                <w:sz w:val="16"/>
                <w:lang w:val="de-CH"/>
              </w:rPr>
              <w:t xml:space="preserve">an </w:t>
            </w:r>
            <w:r w:rsidR="00270F67">
              <w:rPr>
                <w:sz w:val="16"/>
                <w:lang w:val="de-CH"/>
              </w:rPr>
              <w:t>d</w:t>
            </w:r>
            <w:r w:rsidR="00FE39D3">
              <w:rPr>
                <w:sz w:val="16"/>
                <w:lang w:val="de-CH"/>
              </w:rPr>
              <w:t>as Oberleitungsorgan</w:t>
            </w:r>
            <w:r w:rsidR="00C31A85">
              <w:rPr>
                <w:sz w:val="16"/>
                <w:lang w:val="de-CH"/>
              </w:rPr>
              <w:t xml:space="preserve"> </w:t>
            </w:r>
            <w:r w:rsidRPr="00A81F08">
              <w:rPr>
                <w:sz w:val="16"/>
                <w:lang w:val="de-CH"/>
              </w:rPr>
              <w:t>und die Geschäfts</w:t>
            </w:r>
            <w:r w:rsidR="00C31A85">
              <w:rPr>
                <w:sz w:val="16"/>
                <w:lang w:val="de-CH"/>
              </w:rPr>
              <w:t>leitung sowie d</w:t>
            </w:r>
            <w:r w:rsidR="00270F67">
              <w:rPr>
                <w:sz w:val="16"/>
                <w:lang w:val="de-CH"/>
              </w:rPr>
              <w:t xml:space="preserve">eren </w:t>
            </w:r>
            <w:r w:rsidR="00C31A85">
              <w:rPr>
                <w:sz w:val="16"/>
                <w:lang w:val="de-CH"/>
              </w:rPr>
              <w:t>Überwachung</w:t>
            </w:r>
            <w:r w:rsidR="00320497">
              <w:rPr>
                <w:sz w:val="16"/>
                <w:lang w:val="de-CH"/>
              </w:rPr>
              <w:t xml:space="preserve"> </w:t>
            </w:r>
            <w:r w:rsidR="00270F67">
              <w:rPr>
                <w:sz w:val="16"/>
                <w:lang w:val="de-CH"/>
              </w:rPr>
              <w:t>durch die genannten Organe</w:t>
            </w:r>
            <w:r w:rsidR="00320497">
              <w:rPr>
                <w:sz w:val="16"/>
                <w:lang w:val="de-CH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37E5304" w14:textId="77777777" w:rsidR="00924FCB" w:rsidRPr="00A81F08" w:rsidRDefault="00924FCB" w:rsidP="003E1FA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10439CEB" w14:textId="77777777" w:rsidR="005F6165" w:rsidRPr="00A81F08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0CE79C65" w14:textId="3F6D50EA" w:rsidR="005F6165" w:rsidRPr="00981890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6272D" w:rsidRPr="00A81F08" w14:paraId="5003A70D" w14:textId="77777777" w:rsidTr="00BF1E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9CE2A" w14:textId="77777777" w:rsidR="0046272D" w:rsidRPr="00A81F08" w:rsidRDefault="0046272D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76E4D7" w14:textId="77777777" w:rsidR="0046272D" w:rsidRPr="00A81F08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Organisation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70974F0C" w14:textId="709505AE" w:rsidR="007B1246" w:rsidRPr="00A81F08" w:rsidRDefault="0046272D" w:rsidP="003E1FA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i/>
                <w:sz w:val="16"/>
                <w:szCs w:val="16"/>
                <w:lang w:val="de-CH"/>
              </w:rPr>
            </w:pPr>
            <w:r w:rsidRPr="00A81F08">
              <w:rPr>
                <w:i/>
                <w:sz w:val="16"/>
                <w:lang w:val="de-CH"/>
              </w:rPr>
              <w:t xml:space="preserve">Beurteilung der Angemessenheit der internen Organisation zur Handhabung von Kundenbeschwerden, Rechtsstreitigkeiten und Rechtsrisiken durch </w:t>
            </w:r>
            <w:r w:rsidR="00F973C5" w:rsidRPr="00E95C65">
              <w:rPr>
                <w:i/>
                <w:sz w:val="16"/>
                <w:lang w:val="de-CH"/>
              </w:rPr>
              <w:t>Befragung</w:t>
            </w:r>
            <w:r w:rsidR="00F973C5">
              <w:rPr>
                <w:i/>
                <w:sz w:val="16"/>
                <w:lang w:val="de-CH"/>
              </w:rPr>
              <w:t xml:space="preserve"> </w:t>
            </w:r>
            <w:r w:rsidR="00AF590C">
              <w:rPr>
                <w:i/>
                <w:sz w:val="16"/>
                <w:lang w:val="de-CH"/>
              </w:rPr>
              <w:t>und Durchsicht</w:t>
            </w:r>
            <w:r w:rsidRPr="00A81F08">
              <w:rPr>
                <w:i/>
                <w:sz w:val="16"/>
                <w:lang w:val="de-CH"/>
              </w:rPr>
              <w:t xml:space="preserve"> der relevanten Dokumente, namentlich </w:t>
            </w:r>
          </w:p>
        </w:tc>
        <w:tc>
          <w:tcPr>
            <w:tcW w:w="3827" w:type="dxa"/>
            <w:shd w:val="clear" w:color="auto" w:fill="auto"/>
          </w:tcPr>
          <w:p w14:paraId="77C07EBC" w14:textId="77777777" w:rsidR="0046272D" w:rsidRPr="00A81F08" w:rsidRDefault="0046272D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2ECAEA69" w14:textId="77777777" w:rsidR="0046272D" w:rsidRPr="00A81F08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398F7837" w14:textId="5FC60077" w:rsidR="0046272D" w:rsidRPr="00981890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71DF9" w:rsidRPr="00A81F08" w14:paraId="4A583F80" w14:textId="77777777" w:rsidTr="00BF1E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2C8C18" w14:textId="77777777" w:rsidR="00771DF9" w:rsidRPr="00A81F08" w:rsidRDefault="00771DF9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073D8D" w14:textId="77777777" w:rsidR="00771DF9" w:rsidRPr="00A81F08" w:rsidRDefault="00771DF9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07D112FB" w14:textId="49FB6568" w:rsidR="00771DF9" w:rsidRPr="00A81F08" w:rsidRDefault="00771DF9" w:rsidP="00DB512E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Beurteilung, ob die Handhabung von Kundenbeschwerden, Rec</w:t>
            </w:r>
            <w:r w:rsidRPr="00196D69">
              <w:rPr>
                <w:sz w:val="16"/>
                <w:lang w:val="de-CH"/>
              </w:rPr>
              <w:t xml:space="preserve">htsstreitigkeiten und Rechtsrisiken in der Risikopolitik, in internen Regelungen, Vorgaben, Handbüchern </w:t>
            </w:r>
            <w:r w:rsidR="00DB512E" w:rsidRPr="00196D69">
              <w:rPr>
                <w:sz w:val="16"/>
                <w:lang w:val="de-CH"/>
              </w:rPr>
              <w:t xml:space="preserve">oder </w:t>
            </w:r>
            <w:r w:rsidRPr="00196D69">
              <w:rPr>
                <w:sz w:val="16"/>
                <w:lang w:val="de-CH"/>
              </w:rPr>
              <w:t>Stellenbeschreibungen angemessen abgedeckt wird.</w:t>
            </w:r>
          </w:p>
        </w:tc>
        <w:tc>
          <w:tcPr>
            <w:tcW w:w="3827" w:type="dxa"/>
            <w:shd w:val="clear" w:color="auto" w:fill="auto"/>
          </w:tcPr>
          <w:p w14:paraId="7AD1E8F8" w14:textId="77777777" w:rsidR="00771DF9" w:rsidRPr="00A81F08" w:rsidRDefault="00771DF9" w:rsidP="00240E66">
            <w:pPr>
              <w:autoSpaceDE w:val="0"/>
              <w:autoSpaceDN w:val="0"/>
              <w:adjustRightInd w:val="0"/>
              <w:spacing w:before="40" w:after="40"/>
              <w:rPr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61E35E5D" w14:textId="77777777" w:rsidR="00771DF9" w:rsidRPr="00A81F08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AA801C1" w14:textId="4A0CBECE" w:rsidR="00771DF9" w:rsidRPr="00981890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71DF9" w:rsidRPr="00910F32" w14:paraId="58810EF4" w14:textId="77777777" w:rsidTr="00BF1E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88EB0A" w14:textId="77777777" w:rsidR="00771DF9" w:rsidRPr="00A81F08" w:rsidRDefault="00771DF9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ADBACC" w14:textId="77777777" w:rsidR="00771DF9" w:rsidRPr="00A81F08" w:rsidRDefault="00771DF9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4CE3E79F" w14:textId="3A7A818C" w:rsidR="00771DF9" w:rsidRPr="00A81F08" w:rsidRDefault="00E62F76" w:rsidP="007234DF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sz w:val="16"/>
                <w:lang w:val="de-CH"/>
              </w:rPr>
              <w:t xml:space="preserve"> </w:t>
            </w:r>
            <w:r w:rsidR="00771DF9" w:rsidRPr="00A81F08">
              <w:rPr>
                <w:sz w:val="16"/>
                <w:lang w:val="de-CH"/>
              </w:rPr>
              <w:t xml:space="preserve">Beurteilung der Angemessenheit </w:t>
            </w:r>
            <w:r w:rsidR="000C1100">
              <w:rPr>
                <w:sz w:val="16"/>
                <w:lang w:val="de-CH"/>
              </w:rPr>
              <w:t>von</w:t>
            </w:r>
          </w:p>
          <w:p w14:paraId="5E398B7D" w14:textId="77777777" w:rsidR="00771DF9" w:rsidRPr="00A81F08" w:rsidRDefault="00726BE3" w:rsidP="00771DF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Fähigkeiten, Know-how und Fachwissen</w:t>
            </w:r>
          </w:p>
          <w:p w14:paraId="60A9143F" w14:textId="77777777" w:rsidR="00771DF9" w:rsidRPr="00A81F08" w:rsidRDefault="00771DF9" w:rsidP="00771DF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Kompetenzen</w:t>
            </w:r>
          </w:p>
          <w:p w14:paraId="517AACEC" w14:textId="77777777" w:rsidR="00771DF9" w:rsidRPr="00A81F08" w:rsidRDefault="00771DF9" w:rsidP="00726BE3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Zuweisung von Verantwortlichkeiten</w:t>
            </w:r>
          </w:p>
          <w:p w14:paraId="6A48B31F" w14:textId="77777777" w:rsidR="00771DF9" w:rsidRPr="00A81F08" w:rsidRDefault="00771DF9" w:rsidP="00771DF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Überwachung von Fristen</w:t>
            </w:r>
          </w:p>
          <w:p w14:paraId="020CA0DB" w14:textId="77777777" w:rsidR="00771DF9" w:rsidRPr="00A81F08" w:rsidRDefault="00F5791C" w:rsidP="00771DF9">
            <w:pPr>
              <w:rPr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zur Handhabung von Kundenbeschwerden, Rechtsstreitigkeiten und Rechtsrisiken.</w:t>
            </w:r>
          </w:p>
        </w:tc>
        <w:tc>
          <w:tcPr>
            <w:tcW w:w="3827" w:type="dxa"/>
            <w:shd w:val="clear" w:color="auto" w:fill="auto"/>
          </w:tcPr>
          <w:p w14:paraId="398396F3" w14:textId="77777777" w:rsidR="00771DF9" w:rsidRPr="00A81F08" w:rsidRDefault="00771DF9" w:rsidP="00240E66">
            <w:pPr>
              <w:autoSpaceDE w:val="0"/>
              <w:autoSpaceDN w:val="0"/>
              <w:adjustRightInd w:val="0"/>
              <w:spacing w:before="40" w:after="40"/>
              <w:rPr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0842B443" w14:textId="77777777" w:rsidR="00771DF9" w:rsidRPr="00A81F08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020A1981" w14:textId="6600BC0D" w:rsidR="00771DF9" w:rsidRPr="00981890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6272D" w:rsidRPr="00A81F08" w14:paraId="15F5F996" w14:textId="77777777" w:rsidTr="00BF1E2E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77D1C" w14:textId="77777777" w:rsidR="0046272D" w:rsidRPr="002731F2" w:rsidRDefault="0046272D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F77D2F" w14:textId="77777777" w:rsidR="0046272D" w:rsidRPr="002731F2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3C8A17AA" w14:textId="77777777" w:rsidR="0046272D" w:rsidRPr="00A81F08" w:rsidRDefault="00F5791C" w:rsidP="001D6A5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Beurteilung </w:t>
            </w:r>
            <w:r w:rsidR="00504045">
              <w:rPr>
                <w:sz w:val="16"/>
                <w:lang w:val="de-CH"/>
              </w:rPr>
              <w:t>anhand der Durchsicht von Protokollen und Berichten</w:t>
            </w:r>
            <w:r w:rsidR="006545F1">
              <w:rPr>
                <w:sz w:val="16"/>
                <w:lang w:val="de-CH"/>
              </w:rPr>
              <w:t>,</w:t>
            </w:r>
            <w:r w:rsidR="00504045">
              <w:rPr>
                <w:sz w:val="16"/>
                <w:lang w:val="de-CH"/>
              </w:rPr>
              <w:t xml:space="preserve"> ob </w:t>
            </w:r>
            <w:r w:rsidR="001D6A53">
              <w:rPr>
                <w:sz w:val="16"/>
                <w:lang w:val="de-CH"/>
              </w:rPr>
              <w:t>das Oberleitungsorgan</w:t>
            </w:r>
            <w:r w:rsidRPr="00A81F08">
              <w:rPr>
                <w:sz w:val="16"/>
                <w:lang w:val="de-CH"/>
              </w:rPr>
              <w:t xml:space="preserve"> </w:t>
            </w:r>
            <w:r w:rsidR="00504045">
              <w:rPr>
                <w:sz w:val="16"/>
                <w:lang w:val="de-CH"/>
              </w:rPr>
              <w:t xml:space="preserve">sowie die </w:t>
            </w:r>
            <w:r w:rsidRPr="00A81F08">
              <w:rPr>
                <w:sz w:val="16"/>
                <w:lang w:val="de-CH"/>
              </w:rPr>
              <w:t>Geschäfts</w:t>
            </w:r>
            <w:r w:rsidR="00504045">
              <w:rPr>
                <w:sz w:val="16"/>
                <w:lang w:val="de-CH"/>
              </w:rPr>
              <w:t xml:space="preserve">leitung angemessen in die </w:t>
            </w:r>
            <w:r w:rsidRPr="00A81F08">
              <w:rPr>
                <w:sz w:val="16"/>
                <w:lang w:val="de-CH"/>
              </w:rPr>
              <w:t xml:space="preserve">Handhabung von Kundenbeschwerden, Rechtsstreitigkeiten und Rechtsrisiken </w:t>
            </w:r>
            <w:r w:rsidR="00504045">
              <w:rPr>
                <w:sz w:val="16"/>
                <w:lang w:val="de-CH"/>
              </w:rPr>
              <w:t>miteinbezogen werden</w:t>
            </w:r>
            <w:r w:rsidRPr="00A81F08">
              <w:rPr>
                <w:sz w:val="16"/>
                <w:lang w:val="de-CH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18BAB950" w14:textId="77777777" w:rsidR="0046272D" w:rsidRPr="00A81F08" w:rsidRDefault="0046272D" w:rsidP="008818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4E6402C2" w14:textId="77777777" w:rsidR="0046272D" w:rsidRPr="00A81F08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DCABE5D" w14:textId="453B290C" w:rsidR="0046272D" w:rsidRPr="00A81F08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46272D" w:rsidRPr="00910F32" w14:paraId="277AC5B3" w14:textId="77777777" w:rsidTr="00BF1E2E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674" w14:textId="77777777" w:rsidR="0046272D" w:rsidRPr="00A81F08" w:rsidRDefault="0046272D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3424" w14:textId="77777777" w:rsidR="0046272D" w:rsidRPr="00A81F08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auto"/>
          </w:tcPr>
          <w:p w14:paraId="1445252B" w14:textId="6D921FD8" w:rsidR="0046272D" w:rsidRPr="00A81F08" w:rsidRDefault="0046272D" w:rsidP="006C26A7">
            <w:pPr>
              <w:pStyle w:val="Bullet"/>
              <w:numPr>
                <w:ilvl w:val="0"/>
                <w:numId w:val="0"/>
              </w:numPr>
              <w:spacing w:before="40" w:after="40"/>
              <w:rPr>
                <w:lang w:val="de-CH"/>
              </w:rPr>
            </w:pPr>
            <w:r w:rsidRPr="00A81F08">
              <w:rPr>
                <w:lang w:val="de-CH"/>
              </w:rPr>
              <w:t xml:space="preserve">Beurteilung der Angemessenheit </w:t>
            </w:r>
            <w:r w:rsidR="00775FC0">
              <w:rPr>
                <w:lang w:val="de-CH"/>
              </w:rPr>
              <w:t>der Vorgehensweise</w:t>
            </w:r>
            <w:r w:rsidRPr="00A81F08">
              <w:rPr>
                <w:lang w:val="de-CH"/>
              </w:rPr>
              <w:t xml:space="preserve"> des Instituts </w:t>
            </w:r>
            <w:r w:rsidR="00BB6936">
              <w:rPr>
                <w:lang w:val="de-CH"/>
              </w:rPr>
              <w:t>betreffend die Zusammenarbeit mit</w:t>
            </w:r>
            <w:r w:rsidR="00BB6936" w:rsidRPr="00A81F08">
              <w:rPr>
                <w:lang w:val="de-CH"/>
              </w:rPr>
              <w:t xml:space="preserve"> </w:t>
            </w:r>
            <w:r w:rsidRPr="00A81F08">
              <w:rPr>
                <w:lang w:val="de-CH"/>
              </w:rPr>
              <w:t>externe</w:t>
            </w:r>
            <w:r w:rsidR="00BB6936">
              <w:rPr>
                <w:lang w:val="de-CH"/>
              </w:rPr>
              <w:t>n</w:t>
            </w:r>
            <w:r w:rsidRPr="00A81F08">
              <w:rPr>
                <w:lang w:val="de-CH"/>
              </w:rPr>
              <w:t xml:space="preserve"> </w:t>
            </w:r>
            <w:r w:rsidR="00C30D25" w:rsidRPr="00C30D25">
              <w:rPr>
                <w:lang w:val="de-CH"/>
              </w:rPr>
              <w:t>Rechtsberaterin</w:t>
            </w:r>
            <w:r w:rsidR="00C30D25">
              <w:rPr>
                <w:lang w:val="de-CH"/>
              </w:rPr>
              <w:t xml:space="preserve">nen bzw. </w:t>
            </w:r>
            <w:r w:rsidRPr="00A81F08">
              <w:rPr>
                <w:lang w:val="de-CH"/>
              </w:rPr>
              <w:t>Rechtsberater</w:t>
            </w:r>
            <w:r w:rsidR="00BB6936">
              <w:rPr>
                <w:lang w:val="de-CH"/>
              </w:rPr>
              <w:t>n</w:t>
            </w:r>
            <w:r w:rsidRPr="002731F2">
              <w:rPr>
                <w:lang w:val="de-CH"/>
              </w:rPr>
              <w:t>,</w:t>
            </w:r>
            <w:r w:rsidRPr="00A81F08">
              <w:rPr>
                <w:lang w:val="de-CH"/>
              </w:rPr>
              <w:t xml:space="preserve"> darunter:</w:t>
            </w:r>
          </w:p>
          <w:p w14:paraId="3BAF9F2A" w14:textId="5B087D1C" w:rsidR="0046272D" w:rsidRPr="00A81F08" w:rsidRDefault="00D863D5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Auswahl</w:t>
            </w:r>
            <w:r>
              <w:rPr>
                <w:sz w:val="16"/>
                <w:lang w:val="de-CH"/>
              </w:rPr>
              <w:t>, Beauftragung</w:t>
            </w:r>
            <w:r w:rsidR="0046272D" w:rsidRPr="00A81F08">
              <w:rPr>
                <w:sz w:val="16"/>
                <w:lang w:val="de-CH"/>
              </w:rPr>
              <w:t xml:space="preserve"> und Zusammenarbeit mit externen </w:t>
            </w:r>
            <w:r w:rsidR="00C30D25" w:rsidRPr="00FA059B">
              <w:rPr>
                <w:sz w:val="16"/>
                <w:lang w:val="de-CH"/>
              </w:rPr>
              <w:t>Beraterinnen bzw.</w:t>
            </w:r>
            <w:r w:rsidR="00C30D25">
              <w:rPr>
                <w:sz w:val="16"/>
                <w:lang w:val="de-CH"/>
              </w:rPr>
              <w:t xml:space="preserve"> </w:t>
            </w:r>
            <w:r w:rsidR="0046272D" w:rsidRPr="00A81F08">
              <w:rPr>
                <w:sz w:val="16"/>
                <w:lang w:val="de-CH"/>
              </w:rPr>
              <w:t>Beratern</w:t>
            </w:r>
          </w:p>
          <w:p w14:paraId="5B79DF1B" w14:textId="2D6AD146" w:rsidR="0046272D" w:rsidRPr="00A81F08" w:rsidRDefault="00775FC0" w:rsidP="007234DF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sz w:val="16"/>
                <w:szCs w:val="16"/>
                <w:lang w:val="de-CH"/>
              </w:rPr>
            </w:pPr>
            <w:r w:rsidRPr="00196D69">
              <w:rPr>
                <w:b/>
                <w:sz w:val="28"/>
                <w:lang w:val="de-CH"/>
              </w:rPr>
              <w:t>*</w:t>
            </w:r>
            <w:r>
              <w:rPr>
                <w:sz w:val="16"/>
                <w:lang w:val="de-CH"/>
              </w:rPr>
              <w:t xml:space="preserve"> </w:t>
            </w:r>
            <w:r w:rsidR="007203E1" w:rsidRPr="00A81F08">
              <w:rPr>
                <w:sz w:val="16"/>
                <w:lang w:val="de-CH"/>
              </w:rPr>
              <w:t>Vorhandensein einer Liste mit bewilligten Gegenparteien.</w:t>
            </w:r>
          </w:p>
        </w:tc>
        <w:tc>
          <w:tcPr>
            <w:tcW w:w="3827" w:type="dxa"/>
            <w:shd w:val="clear" w:color="auto" w:fill="auto"/>
          </w:tcPr>
          <w:p w14:paraId="6D70E845" w14:textId="77777777" w:rsidR="0046272D" w:rsidRPr="00A81F08" w:rsidRDefault="0046272D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1F8B9AA0" w14:textId="77777777" w:rsidR="0046272D" w:rsidRPr="00A81F08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49B7B3D5" w14:textId="2BAFD0B6" w:rsidR="0046272D" w:rsidRPr="002731F2" w:rsidRDefault="0046272D" w:rsidP="00910F32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411F5" w:rsidRPr="00A81F08" w14:paraId="651B3299" w14:textId="77777777" w:rsidTr="00BF1E2E"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FF3D45" w14:textId="77777777" w:rsidR="007411F5" w:rsidRPr="000D6FE1" w:rsidRDefault="007411F5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DE405A" w14:textId="77777777" w:rsidR="00EE1526" w:rsidRPr="00A81F08" w:rsidRDefault="00EE1526" w:rsidP="007100D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A81F08">
              <w:rPr>
                <w:b/>
                <w:sz w:val="16"/>
                <w:lang w:val="de-CH"/>
              </w:rPr>
              <w:t>Identifikation, Beurteilung und Überwachung von Kundenbeschwerden, Rechtsfällen und Rechtsstreitigkeiten</w:t>
            </w:r>
          </w:p>
          <w:p w14:paraId="5E57B70D" w14:textId="77777777" w:rsidR="007411F5" w:rsidRPr="00A81F08" w:rsidRDefault="007411F5" w:rsidP="007100D9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66165F63" w14:textId="77777777" w:rsidR="007411F5" w:rsidRPr="00A81F08" w:rsidRDefault="007100D9" w:rsidP="000435E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  <w:lang w:val="de-CH"/>
              </w:rPr>
            </w:pPr>
            <w:r w:rsidRPr="00A81F08">
              <w:rPr>
                <w:i/>
                <w:sz w:val="16"/>
                <w:lang w:val="de-CH"/>
              </w:rPr>
              <w:t>Beurteilung der Angemessenheit der Methoden / Prozesse zur Identifikation, Mes</w:t>
            </w:r>
            <w:r w:rsidRPr="00981890">
              <w:rPr>
                <w:i/>
                <w:sz w:val="16"/>
                <w:lang w:val="de-CH"/>
              </w:rPr>
              <w:t xml:space="preserve">sung, Steuerung, Überwachung und Berichterstattung von Kundenbeschwerden, Rechts- und Prozessfällen nach Massgabe der Grösse und </w:t>
            </w:r>
            <w:r w:rsidR="000435E6" w:rsidRPr="00981890">
              <w:rPr>
                <w:i/>
                <w:sz w:val="16"/>
                <w:lang w:val="de-CH"/>
              </w:rPr>
              <w:t xml:space="preserve">Komplexität </w:t>
            </w:r>
            <w:r w:rsidRPr="00981890">
              <w:rPr>
                <w:i/>
                <w:sz w:val="16"/>
                <w:lang w:val="de-CH"/>
              </w:rPr>
              <w:t>der Geschäft</w:t>
            </w:r>
            <w:r w:rsidR="000435E6" w:rsidRPr="00981890">
              <w:rPr>
                <w:i/>
                <w:sz w:val="16"/>
                <w:lang w:val="de-CH"/>
              </w:rPr>
              <w:t>stätigkeit</w:t>
            </w:r>
            <w:r w:rsidRPr="00981890">
              <w:rPr>
                <w:i/>
                <w:sz w:val="16"/>
                <w:lang w:val="de-CH"/>
              </w:rPr>
              <w:t xml:space="preserve"> und Organisation des Institu</w:t>
            </w:r>
            <w:r w:rsidRPr="00A81F08">
              <w:rPr>
                <w:i/>
                <w:sz w:val="16"/>
                <w:lang w:val="de-CH"/>
              </w:rPr>
              <w:t>ts, namentlich</w:t>
            </w:r>
          </w:p>
        </w:tc>
        <w:tc>
          <w:tcPr>
            <w:tcW w:w="3827" w:type="dxa"/>
            <w:shd w:val="clear" w:color="auto" w:fill="auto"/>
          </w:tcPr>
          <w:p w14:paraId="035647DD" w14:textId="77777777" w:rsidR="007411F5" w:rsidRPr="00A81F08" w:rsidRDefault="007411F5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200F962B" w14:textId="77777777" w:rsidR="007411F5" w:rsidRPr="00A81F08" w:rsidRDefault="007411F5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1100C1E5" w14:textId="77777777" w:rsidR="007411F5" w:rsidRPr="00A81F08" w:rsidRDefault="007411F5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7100D9" w:rsidRPr="00910F32" w14:paraId="2A008FE4" w14:textId="77777777" w:rsidTr="00BF1E2E">
        <w:tc>
          <w:tcPr>
            <w:tcW w:w="596" w:type="dxa"/>
            <w:vMerge/>
            <w:shd w:val="clear" w:color="auto" w:fill="auto"/>
          </w:tcPr>
          <w:p w14:paraId="5F711190" w14:textId="77777777" w:rsidR="007100D9" w:rsidRPr="00A81F08" w:rsidRDefault="007100D9" w:rsidP="002021DE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FBBB66E" w14:textId="77777777" w:rsidR="007100D9" w:rsidRPr="00A81F08" w:rsidDel="007411F5" w:rsidRDefault="007100D9" w:rsidP="002021DE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2F5249C4" w14:textId="77777777" w:rsidR="007100D9" w:rsidRPr="000D6FE1" w:rsidRDefault="007100D9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sz w:val="16"/>
                <w:lang w:val="de-CH"/>
              </w:rPr>
            </w:pPr>
            <w:r w:rsidRPr="000D6FE1">
              <w:rPr>
                <w:sz w:val="16"/>
                <w:lang w:val="de-CH"/>
              </w:rPr>
              <w:t xml:space="preserve">Beurteilung der Angemessenheit der </w:t>
            </w:r>
            <w:r w:rsidR="00BB6936" w:rsidRPr="000D6FE1">
              <w:rPr>
                <w:sz w:val="16"/>
                <w:lang w:val="de-CH"/>
              </w:rPr>
              <w:t xml:space="preserve">Ausgestaltung der </w:t>
            </w:r>
            <w:r w:rsidRPr="000D6FE1">
              <w:rPr>
                <w:sz w:val="16"/>
                <w:lang w:val="de-CH"/>
              </w:rPr>
              <w:t>Prozesse des Instituts zur Handhabung von Kundenbeschwerden, Rechts- und Prozessfällen, unter anderem:</w:t>
            </w:r>
          </w:p>
          <w:p w14:paraId="02E4B9B3" w14:textId="1D6DC154" w:rsidR="001E49F0" w:rsidRPr="000D6FE1" w:rsidRDefault="00E62F76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 w:rsidRPr="000D6FE1">
              <w:rPr>
                <w:sz w:val="24"/>
                <w:szCs w:val="24"/>
                <w:lang w:val="de-CH"/>
              </w:rPr>
              <w:t xml:space="preserve"> </w:t>
            </w:r>
            <w:r w:rsidR="002C1698" w:rsidRPr="000D6FE1">
              <w:rPr>
                <w:sz w:val="16"/>
                <w:lang w:val="de-CH"/>
              </w:rPr>
              <w:t xml:space="preserve">Angemessene Trennung und Zuweisung von </w:t>
            </w:r>
            <w:r w:rsidR="00BB6936" w:rsidRPr="000D6FE1">
              <w:rPr>
                <w:sz w:val="16"/>
                <w:lang w:val="de-CH"/>
              </w:rPr>
              <w:t>Funktionen</w:t>
            </w:r>
          </w:p>
          <w:p w14:paraId="1BB4C52C" w14:textId="67880F32" w:rsidR="001E49F0" w:rsidRPr="000D6FE1" w:rsidRDefault="00E62F76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 w:rsidRPr="000D6FE1">
              <w:rPr>
                <w:sz w:val="24"/>
                <w:szCs w:val="24"/>
                <w:lang w:val="de-CH"/>
              </w:rPr>
              <w:t xml:space="preserve"> </w:t>
            </w:r>
            <w:r w:rsidR="0006419D" w:rsidRPr="000D6FE1">
              <w:rPr>
                <w:sz w:val="16"/>
                <w:lang w:val="de-CH"/>
              </w:rPr>
              <w:t>Angemessenheit von Kompetenzen und Fähigkeiten</w:t>
            </w:r>
          </w:p>
          <w:p w14:paraId="00FCE4DC" w14:textId="77777777" w:rsidR="007100D9" w:rsidRPr="000D6FE1" w:rsidRDefault="0065035C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0D6FE1">
              <w:rPr>
                <w:sz w:val="16"/>
                <w:lang w:val="de-CH"/>
              </w:rPr>
              <w:t xml:space="preserve">Identifikation, </w:t>
            </w:r>
            <w:r w:rsidR="0026531F" w:rsidRPr="000D6FE1">
              <w:rPr>
                <w:sz w:val="16"/>
                <w:lang w:val="de-CH"/>
              </w:rPr>
              <w:t xml:space="preserve">Beurteilung </w:t>
            </w:r>
            <w:r w:rsidRPr="000D6FE1">
              <w:rPr>
                <w:sz w:val="16"/>
                <w:lang w:val="de-CH"/>
              </w:rPr>
              <w:t>und Überwachung von Kundenbeschwerden, Rechts- und Prozessfällen</w:t>
            </w:r>
          </w:p>
          <w:p w14:paraId="00E47510" w14:textId="78DA22AA" w:rsidR="0065035C" w:rsidRPr="000D6FE1" w:rsidRDefault="00E62F76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 w:rsidRPr="000D6FE1">
              <w:rPr>
                <w:sz w:val="24"/>
                <w:szCs w:val="24"/>
                <w:lang w:val="de-CH"/>
              </w:rPr>
              <w:t xml:space="preserve"> </w:t>
            </w:r>
            <w:r w:rsidR="00A4411F" w:rsidRPr="000D6FE1">
              <w:rPr>
                <w:sz w:val="16"/>
                <w:lang w:val="de-CH"/>
              </w:rPr>
              <w:t>Prozess zur Handhabung von Beschwerden, Rechtsfällen und Rechtsstreitigkeiten (zentral / dezentral, Zuweisung von Verantwortlichkeiten)</w:t>
            </w:r>
          </w:p>
          <w:p w14:paraId="576B8F93" w14:textId="77777777" w:rsidR="00D417D7" w:rsidRPr="000D6FE1" w:rsidRDefault="0065035C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0D6FE1">
              <w:rPr>
                <w:sz w:val="16"/>
                <w:lang w:val="de-CH"/>
              </w:rPr>
              <w:t>Festlegung und Überwachung von Fristen</w:t>
            </w:r>
          </w:p>
          <w:p w14:paraId="546FD88C" w14:textId="77777777" w:rsidR="008017EA" w:rsidRPr="000D6FE1" w:rsidRDefault="006D78F6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0D6FE1">
              <w:rPr>
                <w:sz w:val="16"/>
                <w:lang w:val="de-CH"/>
              </w:rPr>
              <w:t>Gewährleistung, dass sämtliche Beschwerden, Rechtsfälle und Rechtsstreitigkeiten überwacht werden</w:t>
            </w:r>
          </w:p>
          <w:p w14:paraId="61D351CB" w14:textId="18480FC0" w:rsidR="006F2B22" w:rsidRPr="00F527D4" w:rsidRDefault="00E62F76" w:rsidP="00E62F76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D322C0">
              <w:rPr>
                <w:b/>
                <w:sz w:val="28"/>
                <w:szCs w:val="24"/>
                <w:lang w:val="de-CH"/>
              </w:rPr>
              <w:t>*</w:t>
            </w:r>
            <w:r w:rsidRPr="000D6FE1">
              <w:rPr>
                <w:sz w:val="24"/>
                <w:szCs w:val="24"/>
                <w:lang w:val="de-CH"/>
              </w:rPr>
              <w:t xml:space="preserve"> </w:t>
            </w:r>
            <w:r w:rsidR="008017EA" w:rsidRPr="000D6FE1">
              <w:rPr>
                <w:sz w:val="16"/>
                <w:lang w:val="de-CH"/>
              </w:rPr>
              <w:t>Prozess zur Ermittlung von Rückstellungen</w:t>
            </w:r>
          </w:p>
          <w:p w14:paraId="02F5B7E9" w14:textId="6317F2D0" w:rsidR="00A200FE" w:rsidRPr="000D6FE1" w:rsidRDefault="00E62F76" w:rsidP="00E62F76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 w:rsidRPr="000D6FE1">
              <w:rPr>
                <w:sz w:val="24"/>
                <w:szCs w:val="24"/>
                <w:lang w:val="de-CH"/>
              </w:rPr>
              <w:t xml:space="preserve"> </w:t>
            </w:r>
            <w:r w:rsidR="00A200FE" w:rsidRPr="000D6FE1">
              <w:rPr>
                <w:sz w:val="16"/>
                <w:lang w:val="de-CH"/>
              </w:rPr>
              <w:t>Prozess zur Auswahl</w:t>
            </w:r>
            <w:r w:rsidR="0026531F" w:rsidRPr="000D6FE1">
              <w:rPr>
                <w:sz w:val="16"/>
                <w:lang w:val="de-CH"/>
              </w:rPr>
              <w:t>,</w:t>
            </w:r>
            <w:r w:rsidR="00A200FE" w:rsidRPr="000D6FE1">
              <w:rPr>
                <w:sz w:val="16"/>
                <w:lang w:val="de-CH"/>
              </w:rPr>
              <w:t xml:space="preserve"> </w:t>
            </w:r>
            <w:r w:rsidR="0026531F" w:rsidRPr="000D6FE1">
              <w:rPr>
                <w:sz w:val="16"/>
                <w:lang w:val="de-CH"/>
              </w:rPr>
              <w:t>Beauftragung</w:t>
            </w:r>
            <w:r w:rsidR="00A200FE" w:rsidRPr="000D6FE1">
              <w:rPr>
                <w:sz w:val="16"/>
                <w:lang w:val="de-CH"/>
              </w:rPr>
              <w:t xml:space="preserve"> und Zusammenarbeit mit externen </w:t>
            </w:r>
            <w:r w:rsidR="00C30D25">
              <w:rPr>
                <w:sz w:val="16"/>
                <w:lang w:val="de-CH"/>
              </w:rPr>
              <w:t xml:space="preserve">Anwältinnen bzw. </w:t>
            </w:r>
            <w:r w:rsidR="00BB6936" w:rsidRPr="000D6FE1">
              <w:rPr>
                <w:sz w:val="16"/>
                <w:lang w:val="de-CH"/>
              </w:rPr>
              <w:t xml:space="preserve">Anwälten / </w:t>
            </w:r>
            <w:r w:rsidR="00C30D25">
              <w:rPr>
                <w:sz w:val="16"/>
                <w:lang w:val="de-CH"/>
              </w:rPr>
              <w:t xml:space="preserve">Spezialistinnen bzw. </w:t>
            </w:r>
            <w:r w:rsidR="00BB6936" w:rsidRPr="000D6FE1">
              <w:rPr>
                <w:sz w:val="16"/>
                <w:lang w:val="de-CH"/>
              </w:rPr>
              <w:t>Spezialisten</w:t>
            </w:r>
          </w:p>
          <w:p w14:paraId="279D0CFC" w14:textId="77777777" w:rsidR="00383FD6" w:rsidRPr="000D6FE1" w:rsidRDefault="0065035C" w:rsidP="00E95C65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sz w:val="16"/>
                <w:lang w:val="de-CH"/>
              </w:rPr>
            </w:pPr>
            <w:r w:rsidRPr="000D6FE1">
              <w:rPr>
                <w:sz w:val="16"/>
                <w:lang w:val="de-CH"/>
              </w:rPr>
              <w:t>Interne Berichterstattungs- und Eskalationsverfahren.</w:t>
            </w:r>
          </w:p>
          <w:p w14:paraId="4F07E0E3" w14:textId="77777777" w:rsidR="002C1698" w:rsidRPr="000D6FE1" w:rsidRDefault="00BB6936" w:rsidP="00B4358B">
            <w:pPr>
              <w:autoSpaceDE w:val="0"/>
              <w:autoSpaceDN w:val="0"/>
              <w:adjustRightInd w:val="0"/>
              <w:spacing w:before="0" w:after="40"/>
              <w:jc w:val="both"/>
              <w:rPr>
                <w:rFonts w:cs="Arial"/>
                <w:caps/>
                <w:sz w:val="16"/>
                <w:szCs w:val="16"/>
                <w:lang w:val="de-CH"/>
              </w:rPr>
            </w:pPr>
            <w:r w:rsidRPr="000D6FE1">
              <w:rPr>
                <w:sz w:val="16"/>
                <w:lang w:val="de-CH"/>
              </w:rPr>
              <w:t>Kenntnis erlangen betreffend</w:t>
            </w:r>
            <w:r w:rsidR="002C1698" w:rsidRPr="000D6FE1">
              <w:rPr>
                <w:sz w:val="16"/>
                <w:lang w:val="de-CH"/>
              </w:rPr>
              <w:t xml:space="preserve"> Richtlinien, interne Weisungen und </w:t>
            </w:r>
            <w:r w:rsidRPr="000D6FE1">
              <w:rPr>
                <w:sz w:val="16"/>
                <w:lang w:val="de-CH"/>
              </w:rPr>
              <w:t>Vorgehensweisen</w:t>
            </w:r>
            <w:r w:rsidR="002C1698" w:rsidRPr="000D6FE1">
              <w:rPr>
                <w:sz w:val="16"/>
                <w:lang w:val="de-CH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C4B3DED" w14:textId="77777777" w:rsidR="006D78F6" w:rsidRPr="00A81F08" w:rsidRDefault="006D78F6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Prüfung der operativen Wirksamkeit von identifizierten Kontrollen auf Stichprobenbasis.</w:t>
            </w:r>
          </w:p>
          <w:p w14:paraId="6D93A8A7" w14:textId="77777777" w:rsidR="006D78F6" w:rsidRPr="00A81F08" w:rsidRDefault="006D78F6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  <w:p w14:paraId="54B9FCBD" w14:textId="6AD63E60" w:rsidR="00BF62F9" w:rsidRPr="00A81F08" w:rsidRDefault="00BF62F9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105F3A">
              <w:rPr>
                <w:sz w:val="16"/>
                <w:lang w:val="de-CH"/>
              </w:rPr>
              <w:t>Beurteilung</w:t>
            </w:r>
            <w:r w:rsidRPr="00A81F08">
              <w:rPr>
                <w:sz w:val="16"/>
                <w:lang w:val="de-CH"/>
              </w:rPr>
              <w:t xml:space="preserve"> der Angemessenheit </w:t>
            </w:r>
            <w:r w:rsidR="00233983">
              <w:rPr>
                <w:sz w:val="16"/>
                <w:lang w:val="de-CH"/>
              </w:rPr>
              <w:t>der Vorgehensweise</w:t>
            </w:r>
            <w:r w:rsidRPr="00A81F08">
              <w:rPr>
                <w:sz w:val="16"/>
                <w:lang w:val="de-CH"/>
              </w:rPr>
              <w:t xml:space="preserve"> und de</w:t>
            </w:r>
            <w:r w:rsidR="004426B1">
              <w:rPr>
                <w:sz w:val="16"/>
                <w:lang w:val="de-CH"/>
              </w:rPr>
              <w:t>r</w:t>
            </w:r>
            <w:r w:rsidRPr="00A81F08">
              <w:rPr>
                <w:sz w:val="16"/>
                <w:lang w:val="de-CH"/>
              </w:rPr>
              <w:t xml:space="preserve"> Plausibilität der von den verantwortlichen Organen getroffenen Entscheidungen anhand einer risikoorientierten Auswahl von Kundenbeschwerden, Rechtsfällen und Rechtsstreitigkeiten.</w:t>
            </w:r>
          </w:p>
          <w:p w14:paraId="7E21B20D" w14:textId="77777777" w:rsidR="00DD2B13" w:rsidRPr="00A81F08" w:rsidRDefault="00DD2B13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  <w:lang w:val="de-CH"/>
              </w:rPr>
            </w:pPr>
          </w:p>
          <w:p w14:paraId="6DB8A34B" w14:textId="77777777" w:rsidR="00DD2B13" w:rsidRPr="00A81F08" w:rsidRDefault="006042E3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E95C65">
              <w:rPr>
                <w:sz w:val="16"/>
                <w:lang w:val="de-CH"/>
              </w:rPr>
              <w:t xml:space="preserve">Aussagebezogene </w:t>
            </w:r>
            <w:r w:rsidR="00DD2B13" w:rsidRPr="00E95C65">
              <w:rPr>
                <w:sz w:val="16"/>
                <w:lang w:val="de-CH"/>
              </w:rPr>
              <w:t>Prüfung</w:t>
            </w:r>
            <w:r w:rsidR="00DD2B13" w:rsidRPr="00A81F08">
              <w:rPr>
                <w:sz w:val="16"/>
                <w:lang w:val="de-CH"/>
              </w:rPr>
              <w:t xml:space="preserve"> spezifischer Rechtsstreitigkeiten, darunter:</w:t>
            </w:r>
          </w:p>
          <w:p w14:paraId="5F5D56C6" w14:textId="1BC9642E" w:rsidR="00DD2B13" w:rsidRPr="00E95C65" w:rsidRDefault="004426B1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E95C65">
              <w:rPr>
                <w:sz w:val="16"/>
                <w:lang w:val="de-CH"/>
              </w:rPr>
              <w:t xml:space="preserve">Durchsicht </w:t>
            </w:r>
            <w:r w:rsidR="00DD2B13" w:rsidRPr="00E95C65">
              <w:rPr>
                <w:sz w:val="16"/>
                <w:lang w:val="de-CH"/>
              </w:rPr>
              <w:t>des Schriftwechsels zu ausgewählten Fällen (mit Anwält</w:t>
            </w:r>
            <w:r w:rsidR="00422294">
              <w:rPr>
                <w:sz w:val="16"/>
                <w:lang w:val="de-CH"/>
              </w:rPr>
              <w:t>inn</w:t>
            </w:r>
            <w:r w:rsidR="00DD2B13" w:rsidRPr="00E95C65">
              <w:rPr>
                <w:sz w:val="16"/>
                <w:lang w:val="de-CH"/>
              </w:rPr>
              <w:t>en</w:t>
            </w:r>
            <w:r w:rsidR="00422294">
              <w:rPr>
                <w:sz w:val="16"/>
                <w:lang w:val="de-CH"/>
              </w:rPr>
              <w:t xml:space="preserve"> und Anwälten</w:t>
            </w:r>
            <w:r w:rsidR="00DD2B13" w:rsidRPr="00E95C65">
              <w:rPr>
                <w:sz w:val="16"/>
                <w:lang w:val="de-CH"/>
              </w:rPr>
              <w:t>, Kund</w:t>
            </w:r>
            <w:r w:rsidR="00422294">
              <w:rPr>
                <w:sz w:val="16"/>
                <w:lang w:val="de-CH"/>
              </w:rPr>
              <w:t>inn</w:t>
            </w:r>
            <w:r w:rsidR="00DD2B13" w:rsidRPr="00E95C65">
              <w:rPr>
                <w:sz w:val="16"/>
                <w:lang w:val="de-CH"/>
              </w:rPr>
              <w:t>en</w:t>
            </w:r>
            <w:r w:rsidR="00422294">
              <w:rPr>
                <w:sz w:val="16"/>
                <w:lang w:val="de-CH"/>
              </w:rPr>
              <w:t xml:space="preserve"> und Kunden</w:t>
            </w:r>
            <w:r w:rsidR="00DD2B13" w:rsidRPr="00E95C65">
              <w:rPr>
                <w:sz w:val="16"/>
                <w:lang w:val="de-CH"/>
              </w:rPr>
              <w:t>, Gerichten usw.)</w:t>
            </w:r>
          </w:p>
          <w:p w14:paraId="4111F556" w14:textId="5FCCCB55" w:rsidR="00DD2B13" w:rsidRPr="00A81F08" w:rsidDel="007411F5" w:rsidRDefault="004426B1" w:rsidP="003E1FA3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  <w:lang w:val="de-CH"/>
              </w:rPr>
            </w:pPr>
            <w:r w:rsidRPr="00E95C65">
              <w:rPr>
                <w:sz w:val="16"/>
                <w:lang w:val="de-CH"/>
              </w:rPr>
              <w:t>Durchsicht</w:t>
            </w:r>
            <w:r w:rsidRPr="00A81F08">
              <w:rPr>
                <w:sz w:val="16"/>
                <w:lang w:val="de-CH"/>
              </w:rPr>
              <w:t xml:space="preserve"> </w:t>
            </w:r>
            <w:r w:rsidR="00DD2B13" w:rsidRPr="00A81F08">
              <w:rPr>
                <w:sz w:val="16"/>
                <w:lang w:val="de-CH"/>
              </w:rPr>
              <w:t>der Rechtsanwalt</w:t>
            </w:r>
            <w:r w:rsidR="00625865">
              <w:rPr>
                <w:sz w:val="16"/>
                <w:lang w:val="de-CH"/>
              </w:rPr>
              <w:t>s</w:t>
            </w:r>
            <w:r w:rsidR="00DD2B13" w:rsidRPr="00A81F08">
              <w:rPr>
                <w:sz w:val="16"/>
                <w:lang w:val="de-CH"/>
              </w:rPr>
              <w:t xml:space="preserve">bestätigung </w:t>
            </w:r>
            <w:r w:rsidR="00422294" w:rsidRPr="00A81F08">
              <w:rPr>
                <w:sz w:val="16"/>
                <w:lang w:val="de-CH"/>
              </w:rPr>
              <w:t>de</w:t>
            </w:r>
            <w:r w:rsidR="00422294">
              <w:rPr>
                <w:sz w:val="16"/>
                <w:lang w:val="de-CH"/>
              </w:rPr>
              <w:t>r</w:t>
            </w:r>
            <w:r w:rsidR="00422294" w:rsidRPr="00A81F08">
              <w:rPr>
                <w:sz w:val="16"/>
                <w:lang w:val="de-CH"/>
              </w:rPr>
              <w:t xml:space="preserve"> externen Rechtsberater</w:t>
            </w:r>
            <w:r w:rsidR="00422294">
              <w:rPr>
                <w:sz w:val="16"/>
                <w:lang w:val="de-CH"/>
              </w:rPr>
              <w:t>in bzw.</w:t>
            </w:r>
            <w:r w:rsidR="00422294" w:rsidRPr="00A81F08">
              <w:rPr>
                <w:sz w:val="16"/>
                <w:lang w:val="de-CH"/>
              </w:rPr>
              <w:t xml:space="preserve"> </w:t>
            </w:r>
            <w:r w:rsidR="00DD2B13" w:rsidRPr="00A81F08">
              <w:rPr>
                <w:sz w:val="16"/>
                <w:lang w:val="de-CH"/>
              </w:rPr>
              <w:t xml:space="preserve">des externen Rechtsberaters und/oder </w:t>
            </w:r>
            <w:r w:rsidR="00422294">
              <w:rPr>
                <w:sz w:val="16"/>
                <w:lang w:val="de-CH"/>
              </w:rPr>
              <w:t xml:space="preserve">der Rechtsanwältin bzw. </w:t>
            </w:r>
            <w:r w:rsidR="00DD2B13" w:rsidRPr="00A81F08">
              <w:rPr>
                <w:sz w:val="16"/>
                <w:lang w:val="de-CH"/>
              </w:rPr>
              <w:t xml:space="preserve">des Rechtsanwalts. </w:t>
            </w:r>
          </w:p>
        </w:tc>
        <w:tc>
          <w:tcPr>
            <w:tcW w:w="3828" w:type="dxa"/>
            <w:shd w:val="clear" w:color="auto" w:fill="auto"/>
          </w:tcPr>
          <w:p w14:paraId="68FDB370" w14:textId="77777777" w:rsidR="007100D9" w:rsidRPr="00A81F08" w:rsidRDefault="007100D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67D9CFAA" w14:textId="2B571EC9" w:rsidR="007100D9" w:rsidRPr="000D6FE1" w:rsidRDefault="007100D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361A89" w:rsidRPr="00A81F08" w14:paraId="02B68446" w14:textId="77777777" w:rsidTr="00BF1E2E">
        <w:trPr>
          <w:trHeight w:val="489"/>
        </w:trPr>
        <w:tc>
          <w:tcPr>
            <w:tcW w:w="596" w:type="dxa"/>
            <w:vMerge/>
            <w:shd w:val="clear" w:color="auto" w:fill="auto"/>
          </w:tcPr>
          <w:p w14:paraId="729CDD37" w14:textId="77777777" w:rsidR="00361A89" w:rsidRPr="006C5FB9" w:rsidRDefault="00361A89" w:rsidP="00361A89">
            <w:pPr>
              <w:spacing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6DF7A73" w14:textId="77777777" w:rsidR="00361A89" w:rsidRPr="006C5FB9" w:rsidDel="007411F5" w:rsidRDefault="00361A89" w:rsidP="00361A89">
            <w:pPr>
              <w:spacing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46693DCE" w14:textId="77777777" w:rsidR="00546F76" w:rsidRPr="00A81F08" w:rsidDel="007411F5" w:rsidRDefault="00361A89" w:rsidP="00783D6B">
            <w:pPr>
              <w:autoSpaceDE w:val="0"/>
              <w:autoSpaceDN w:val="0"/>
              <w:adjustRightInd w:val="0"/>
              <w:spacing w:before="40" w:after="40"/>
              <w:jc w:val="both"/>
              <w:rPr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Beurteilung der Angemessenheit der Berichterstattung </w:t>
            </w:r>
            <w:r w:rsidR="006042E3">
              <w:rPr>
                <w:sz w:val="16"/>
                <w:lang w:val="de-CH"/>
              </w:rPr>
              <w:t>über</w:t>
            </w:r>
            <w:r w:rsidR="006042E3" w:rsidRPr="00A81F08">
              <w:rPr>
                <w:sz w:val="16"/>
                <w:lang w:val="de-CH"/>
              </w:rPr>
              <w:t xml:space="preserve"> Kundenbeschwerden, Rechtsfälle und Rechtsstreitigkeiten </w:t>
            </w:r>
            <w:r w:rsidRPr="00A81F08">
              <w:rPr>
                <w:sz w:val="16"/>
                <w:lang w:val="de-CH"/>
              </w:rPr>
              <w:t xml:space="preserve">an die Geschäftsführung und </w:t>
            </w:r>
            <w:r w:rsidR="00783D6B">
              <w:rPr>
                <w:sz w:val="16"/>
                <w:lang w:val="de-CH"/>
              </w:rPr>
              <w:t>das Oberleitungsorgan</w:t>
            </w:r>
            <w:r w:rsidR="006042E3">
              <w:rPr>
                <w:sz w:val="16"/>
                <w:lang w:val="de-CH"/>
              </w:rPr>
              <w:t xml:space="preserve"> sowie deren Überwachung durch die genannten Organe.</w:t>
            </w:r>
          </w:p>
        </w:tc>
        <w:tc>
          <w:tcPr>
            <w:tcW w:w="3827" w:type="dxa"/>
            <w:shd w:val="clear" w:color="auto" w:fill="auto"/>
          </w:tcPr>
          <w:p w14:paraId="4E74F23C" w14:textId="77777777" w:rsidR="006D78F6" w:rsidRPr="00A81F08" w:rsidRDefault="00361A89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 xml:space="preserve">Beurteilung anhand einer risikoorientierten Auswahl von Kundenbeschwerden, Rechtsfällen und Rechtsstreitigkeiten, ob diese in der Berichterstattung an die Geschäftsführung und </w:t>
            </w:r>
            <w:r w:rsidR="00783D6B">
              <w:rPr>
                <w:sz w:val="16"/>
                <w:lang w:val="de-CH"/>
              </w:rPr>
              <w:t>das Oberleitungsorgan</w:t>
            </w:r>
            <w:r w:rsidR="008F3855" w:rsidRPr="00A81F08">
              <w:rPr>
                <w:sz w:val="16"/>
                <w:lang w:val="de-CH"/>
              </w:rPr>
              <w:t xml:space="preserve"> </w:t>
            </w:r>
            <w:r w:rsidR="00546F76" w:rsidRPr="00E95C65">
              <w:rPr>
                <w:sz w:val="16"/>
                <w:lang w:val="de-CH"/>
              </w:rPr>
              <w:t>angemessen</w:t>
            </w:r>
            <w:r w:rsidR="00546F76" w:rsidRPr="00A81F08">
              <w:rPr>
                <w:sz w:val="16"/>
                <w:lang w:val="de-CH"/>
              </w:rPr>
              <w:t xml:space="preserve"> </w:t>
            </w:r>
            <w:r w:rsidRPr="00A81F08">
              <w:rPr>
                <w:sz w:val="16"/>
                <w:lang w:val="de-CH"/>
              </w:rPr>
              <w:t>berücksichtigt werden.</w:t>
            </w:r>
          </w:p>
          <w:p w14:paraId="777DBEEF" w14:textId="77777777" w:rsidR="006D78F6" w:rsidRPr="00A81F08" w:rsidRDefault="006D78F6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</w:p>
          <w:p w14:paraId="2E12E08B" w14:textId="3823CDF4" w:rsidR="006D78F6" w:rsidRPr="00A81F08" w:rsidDel="007411F5" w:rsidRDefault="006042E3" w:rsidP="00FE39D3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sz w:val="16"/>
                <w:lang w:val="de-CH"/>
              </w:rPr>
              <w:t xml:space="preserve">Einsichtnahme in die </w:t>
            </w:r>
            <w:r w:rsidR="006D78F6" w:rsidRPr="00A81F08">
              <w:rPr>
                <w:sz w:val="16"/>
                <w:lang w:val="de-CH"/>
              </w:rPr>
              <w:t xml:space="preserve">Protokolle des </w:t>
            </w:r>
            <w:r w:rsidR="00FE39D3">
              <w:rPr>
                <w:sz w:val="16"/>
                <w:lang w:val="de-CH"/>
              </w:rPr>
              <w:t>Oberleitungsorgans</w:t>
            </w:r>
            <w:r w:rsidR="006D78F6" w:rsidRPr="00A81F08">
              <w:rPr>
                <w:sz w:val="16"/>
                <w:lang w:val="de-CH"/>
              </w:rPr>
              <w:t xml:space="preserve"> / der Geschäfts</w:t>
            </w:r>
            <w:r w:rsidR="00546F76">
              <w:rPr>
                <w:sz w:val="16"/>
                <w:lang w:val="de-CH"/>
              </w:rPr>
              <w:t>leitung</w:t>
            </w:r>
            <w:r w:rsidR="00CA316E">
              <w:rPr>
                <w:sz w:val="16"/>
                <w:lang w:val="de-CH"/>
              </w:rPr>
              <w:t xml:space="preserve"> </w:t>
            </w:r>
            <w:r w:rsidR="00546F76">
              <w:rPr>
                <w:sz w:val="16"/>
                <w:lang w:val="de-CH"/>
              </w:rPr>
              <w:t xml:space="preserve">und Beurteilung der </w:t>
            </w:r>
            <w:r w:rsidR="008F3855">
              <w:rPr>
                <w:sz w:val="16"/>
                <w:lang w:val="de-CH"/>
              </w:rPr>
              <w:t>angemessene</w:t>
            </w:r>
            <w:r w:rsidR="00546F76">
              <w:rPr>
                <w:sz w:val="16"/>
                <w:lang w:val="de-CH"/>
              </w:rPr>
              <w:t>n</w:t>
            </w:r>
            <w:r w:rsidR="008F3855">
              <w:rPr>
                <w:sz w:val="16"/>
                <w:lang w:val="de-CH"/>
              </w:rPr>
              <w:t xml:space="preserve"> </w:t>
            </w:r>
            <w:r w:rsidR="008F3855" w:rsidRPr="00F527D4">
              <w:rPr>
                <w:sz w:val="16"/>
                <w:lang w:val="de-CH"/>
              </w:rPr>
              <w:t>Überwachung</w:t>
            </w:r>
            <w:r>
              <w:rPr>
                <w:sz w:val="16"/>
                <w:lang w:val="de-CH"/>
              </w:rPr>
              <w:t xml:space="preserve"> auf der Basis von Stichproben</w:t>
            </w:r>
            <w:r w:rsidR="007B765A">
              <w:rPr>
                <w:sz w:val="16"/>
                <w:lang w:val="de-CH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253D08F1" w14:textId="77777777" w:rsidR="00361A89" w:rsidRPr="00A81F08" w:rsidRDefault="00361A8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318CD43A" w14:textId="5898A9F0" w:rsidR="00361A89" w:rsidRPr="00A81F08" w:rsidRDefault="00361A8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166719" w:rsidRPr="00A81F08" w14:paraId="7EB428B7" w14:textId="77777777" w:rsidTr="00414620">
        <w:trPr>
          <w:cantSplit/>
        </w:trPr>
        <w:tc>
          <w:tcPr>
            <w:tcW w:w="596" w:type="dxa"/>
            <w:shd w:val="clear" w:color="auto" w:fill="auto"/>
          </w:tcPr>
          <w:p w14:paraId="2EFD24AF" w14:textId="77777777" w:rsidR="00166719" w:rsidRPr="00A81F08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i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shd w:val="clear" w:color="auto" w:fill="auto"/>
          </w:tcPr>
          <w:p w14:paraId="40750A58" w14:textId="10212024" w:rsidR="00166719" w:rsidRPr="00A81F08" w:rsidRDefault="00E62F76" w:rsidP="000D6FE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i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b/>
                <w:sz w:val="16"/>
                <w:lang w:val="de-CH"/>
              </w:rPr>
              <w:t xml:space="preserve"> </w:t>
            </w:r>
            <w:r w:rsidR="0010744B">
              <w:rPr>
                <w:b/>
                <w:sz w:val="16"/>
                <w:lang w:val="de-CH"/>
              </w:rPr>
              <w:t xml:space="preserve">Einhaltung </w:t>
            </w:r>
            <w:r w:rsidR="00166719" w:rsidRPr="00A81F08">
              <w:rPr>
                <w:b/>
                <w:sz w:val="16"/>
                <w:lang w:val="de-CH"/>
              </w:rPr>
              <w:t>bestehender Richtlinien</w:t>
            </w:r>
            <w:r w:rsidR="00625865">
              <w:rPr>
                <w:b/>
                <w:sz w:val="16"/>
                <w:lang w:val="de-CH"/>
              </w:rPr>
              <w:t xml:space="preserve"> </w:t>
            </w:r>
            <w:r w:rsidR="00166719" w:rsidRPr="00A81F08">
              <w:rPr>
                <w:b/>
                <w:sz w:val="16"/>
                <w:lang w:val="de-CH"/>
              </w:rPr>
              <w:t>und V</w:t>
            </w:r>
            <w:r w:rsidR="00E963EA">
              <w:rPr>
                <w:b/>
                <w:sz w:val="16"/>
                <w:lang w:val="de-CH"/>
              </w:rPr>
              <w:t>orgehensweisen</w:t>
            </w:r>
          </w:p>
        </w:tc>
        <w:tc>
          <w:tcPr>
            <w:tcW w:w="3685" w:type="dxa"/>
            <w:shd w:val="clear" w:color="auto" w:fill="auto"/>
          </w:tcPr>
          <w:p w14:paraId="651AA85C" w14:textId="47777507" w:rsidR="00166719" w:rsidRPr="00A81F08" w:rsidRDefault="00E62F76" w:rsidP="00E62F76">
            <w:pPr>
              <w:pStyle w:val="Bullet"/>
              <w:numPr>
                <w:ilvl w:val="0"/>
                <w:numId w:val="0"/>
              </w:numPr>
              <w:spacing w:before="40" w:after="40"/>
              <w:ind w:left="63"/>
              <w:rPr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i/>
                <w:lang w:val="de-CH"/>
              </w:rPr>
              <w:t xml:space="preserve"> </w:t>
            </w:r>
            <w:r w:rsidR="00A614B3" w:rsidRPr="00A81F08">
              <w:rPr>
                <w:i/>
                <w:lang w:val="de-CH"/>
              </w:rPr>
              <w:t xml:space="preserve">Beurteilung, ob mithilfe </w:t>
            </w:r>
            <w:r w:rsidR="00A614B3" w:rsidRPr="00981890">
              <w:rPr>
                <w:i/>
                <w:lang w:val="de-CH"/>
              </w:rPr>
              <w:t>eines angemessenen Prozesses sichergestellt ist, dass die Risikopolitik</w:t>
            </w:r>
            <w:r w:rsidR="00FE39D3" w:rsidRPr="00981890">
              <w:rPr>
                <w:i/>
                <w:lang w:val="de-CH"/>
              </w:rPr>
              <w:t xml:space="preserve"> und -</w:t>
            </w:r>
            <w:r w:rsidR="009C7C9D" w:rsidRPr="00981890">
              <w:rPr>
                <w:i/>
                <w:lang w:val="de-CH"/>
              </w:rPr>
              <w:t>Vorga</w:t>
            </w:r>
            <w:r w:rsidRPr="00981890">
              <w:rPr>
                <w:i/>
                <w:lang w:val="de-CH"/>
              </w:rPr>
              <w:t>b</w:t>
            </w:r>
            <w:r w:rsidR="009C7C9D" w:rsidRPr="00981890">
              <w:rPr>
                <w:i/>
                <w:lang w:val="de-CH"/>
              </w:rPr>
              <w:t>en</w:t>
            </w:r>
            <w:r w:rsidR="00A614B3" w:rsidRPr="00981890">
              <w:rPr>
                <w:i/>
                <w:lang w:val="de-CH"/>
              </w:rPr>
              <w:t xml:space="preserve"> / die</w:t>
            </w:r>
            <w:r w:rsidR="00A614B3" w:rsidRPr="00A81F08">
              <w:rPr>
                <w:i/>
                <w:lang w:val="de-CH"/>
              </w:rPr>
              <w:t xml:space="preserve"> </w:t>
            </w:r>
            <w:r w:rsidR="00E963EA">
              <w:rPr>
                <w:i/>
                <w:lang w:val="de-CH"/>
              </w:rPr>
              <w:t>Vorgehensweise</w:t>
            </w:r>
            <w:r w:rsidR="00E963EA" w:rsidRPr="00A81F08">
              <w:rPr>
                <w:i/>
                <w:lang w:val="de-CH"/>
              </w:rPr>
              <w:t xml:space="preserve"> </w:t>
            </w:r>
            <w:r w:rsidR="00A614B3" w:rsidRPr="00A81F08">
              <w:rPr>
                <w:i/>
                <w:lang w:val="de-CH"/>
              </w:rPr>
              <w:t>zur Handhabung von Kundenbeschwerden, Rechtsstreitigkeiten und Rechtsrisiken effektiv angewendet und eingehalten wurden, namentlich</w:t>
            </w:r>
          </w:p>
        </w:tc>
        <w:tc>
          <w:tcPr>
            <w:tcW w:w="3827" w:type="dxa"/>
            <w:shd w:val="clear" w:color="auto" w:fill="auto"/>
          </w:tcPr>
          <w:p w14:paraId="4AB9BBD2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28" w:type="dxa"/>
            <w:shd w:val="clear" w:color="auto" w:fill="auto"/>
          </w:tcPr>
          <w:p w14:paraId="52673E6E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5DD2E550" w14:textId="73BC4FF3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166719" w:rsidRPr="00A81F08" w14:paraId="6B7223E0" w14:textId="77777777" w:rsidTr="00414620">
        <w:trPr>
          <w:cantSplit/>
        </w:trPr>
        <w:tc>
          <w:tcPr>
            <w:tcW w:w="596" w:type="dxa"/>
            <w:shd w:val="clear" w:color="auto" w:fill="auto"/>
          </w:tcPr>
          <w:p w14:paraId="608B01F2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shd w:val="clear" w:color="auto" w:fill="auto"/>
          </w:tcPr>
          <w:p w14:paraId="4FD6785B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71D413EC" w14:textId="196988A4" w:rsidR="00166719" w:rsidRPr="00741D72" w:rsidRDefault="00E62F76" w:rsidP="00166719">
            <w:pPr>
              <w:pStyle w:val="Bullet"/>
              <w:numPr>
                <w:ilvl w:val="0"/>
                <w:numId w:val="0"/>
              </w:numPr>
              <w:spacing w:before="40" w:after="40"/>
              <w:rPr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lang w:val="de-CH"/>
              </w:rPr>
              <w:t xml:space="preserve"> </w:t>
            </w:r>
            <w:r w:rsidR="00607526">
              <w:rPr>
                <w:lang w:val="de-CH"/>
              </w:rPr>
              <w:t>Auf der Grundlage von</w:t>
            </w:r>
            <w:r w:rsidR="00166719" w:rsidRPr="00A81F08">
              <w:rPr>
                <w:lang w:val="de-CH"/>
              </w:rPr>
              <w:t xml:space="preserve"> Gespräche</w:t>
            </w:r>
            <w:r w:rsidR="00607526">
              <w:rPr>
                <w:lang w:val="de-CH"/>
              </w:rPr>
              <w:t>n</w:t>
            </w:r>
            <w:r w:rsidR="00166719" w:rsidRPr="00A81F08">
              <w:rPr>
                <w:lang w:val="de-CH"/>
              </w:rPr>
              <w:t xml:space="preserve"> mit der </w:t>
            </w:r>
            <w:r w:rsidR="00166719" w:rsidRPr="00741D72">
              <w:rPr>
                <w:lang w:val="de-CH"/>
              </w:rPr>
              <w:t>Geschäfts</w:t>
            </w:r>
            <w:r w:rsidR="003A02B4" w:rsidRPr="00741D72">
              <w:rPr>
                <w:lang w:val="de-CH"/>
              </w:rPr>
              <w:t>leitung</w:t>
            </w:r>
            <w:r w:rsidR="00166719" w:rsidRPr="00741D72">
              <w:rPr>
                <w:lang w:val="de-CH"/>
              </w:rPr>
              <w:t xml:space="preserve"> und </w:t>
            </w:r>
            <w:r w:rsidR="00607526" w:rsidRPr="00741D72">
              <w:rPr>
                <w:lang w:val="de-CH"/>
              </w:rPr>
              <w:t xml:space="preserve">der </w:t>
            </w:r>
            <w:r w:rsidR="003A02B4" w:rsidRPr="00741D72">
              <w:rPr>
                <w:lang w:val="de-CH"/>
              </w:rPr>
              <w:t xml:space="preserve">Durchsicht </w:t>
            </w:r>
            <w:r w:rsidR="00166719" w:rsidRPr="00741D72">
              <w:rPr>
                <w:lang w:val="de-CH"/>
              </w:rPr>
              <w:t xml:space="preserve">interner Berichte </w:t>
            </w:r>
            <w:r w:rsidR="00607526" w:rsidRPr="00741D72">
              <w:rPr>
                <w:lang w:val="de-CH"/>
              </w:rPr>
              <w:t xml:space="preserve">ein </w:t>
            </w:r>
            <w:r w:rsidR="003A02B4" w:rsidRPr="00741D72">
              <w:rPr>
                <w:lang w:val="de-CH"/>
              </w:rPr>
              <w:t xml:space="preserve">Verständnis </w:t>
            </w:r>
            <w:r w:rsidR="00607526" w:rsidRPr="00741D72">
              <w:rPr>
                <w:lang w:val="de-CH"/>
              </w:rPr>
              <w:t>für</w:t>
            </w:r>
            <w:r w:rsidR="003A02B4" w:rsidRPr="00741D72">
              <w:rPr>
                <w:lang w:val="de-CH"/>
              </w:rPr>
              <w:t xml:space="preserve"> Kontrollen zu </w:t>
            </w:r>
            <w:r w:rsidR="00166719" w:rsidRPr="00741D72">
              <w:rPr>
                <w:lang w:val="de-CH"/>
              </w:rPr>
              <w:t xml:space="preserve"> </w:t>
            </w:r>
          </w:p>
          <w:p w14:paraId="700D2EE8" w14:textId="77777777" w:rsidR="00166719" w:rsidRPr="00741D72" w:rsidRDefault="00166719" w:rsidP="0016671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  <w:lang w:val="de-CH"/>
              </w:rPr>
            </w:pPr>
            <w:r w:rsidRPr="00741D72">
              <w:rPr>
                <w:sz w:val="16"/>
                <w:lang w:val="de-CH"/>
              </w:rPr>
              <w:t>Kundenbeschwerden</w:t>
            </w:r>
          </w:p>
          <w:p w14:paraId="44CD62F5" w14:textId="77777777" w:rsidR="00166719" w:rsidRPr="00741D72" w:rsidRDefault="00166719" w:rsidP="0016671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  <w:lang w:val="de-CH"/>
              </w:rPr>
            </w:pPr>
            <w:r w:rsidRPr="00741D72">
              <w:rPr>
                <w:sz w:val="16"/>
                <w:lang w:val="de-CH"/>
              </w:rPr>
              <w:t>Prozessrisiken</w:t>
            </w:r>
          </w:p>
          <w:p w14:paraId="165A2168" w14:textId="77777777" w:rsidR="00166719" w:rsidRPr="00741D72" w:rsidRDefault="00166719" w:rsidP="0016671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  <w:lang w:val="de-CH"/>
              </w:rPr>
            </w:pPr>
            <w:r w:rsidRPr="00741D72">
              <w:rPr>
                <w:sz w:val="16"/>
                <w:lang w:val="de-CH"/>
              </w:rPr>
              <w:t>Rechtsrisiken</w:t>
            </w:r>
          </w:p>
          <w:p w14:paraId="1AC04270" w14:textId="77777777" w:rsidR="00166719" w:rsidRPr="00A81F08" w:rsidRDefault="00607526">
            <w:pPr>
              <w:spacing w:before="40" w:after="40"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741D72">
              <w:rPr>
                <w:sz w:val="16"/>
                <w:lang w:val="de-CH"/>
              </w:rPr>
              <w:t>erlangen. I</w:t>
            </w:r>
            <w:r w:rsidR="003A02B4" w:rsidRPr="00741D72">
              <w:rPr>
                <w:sz w:val="16"/>
                <w:lang w:val="de-CH"/>
              </w:rPr>
              <w:t>dentifizier</w:t>
            </w:r>
            <w:r w:rsidRPr="00741D72">
              <w:rPr>
                <w:sz w:val="16"/>
                <w:lang w:val="de-CH"/>
              </w:rPr>
              <w:t>ung</w:t>
            </w:r>
            <w:r w:rsidR="003A02B4" w:rsidRPr="00741D72">
              <w:rPr>
                <w:sz w:val="16"/>
                <w:lang w:val="de-CH"/>
              </w:rPr>
              <w:t xml:space="preserve">, </w:t>
            </w:r>
            <w:r w:rsidRPr="00741D72">
              <w:rPr>
                <w:sz w:val="16"/>
                <w:lang w:val="de-CH"/>
              </w:rPr>
              <w:t>D</w:t>
            </w:r>
            <w:r w:rsidR="003A02B4" w:rsidRPr="00741D72">
              <w:rPr>
                <w:sz w:val="16"/>
                <w:lang w:val="de-CH"/>
              </w:rPr>
              <w:t>okument</w:t>
            </w:r>
            <w:r w:rsidRPr="00741D72">
              <w:rPr>
                <w:sz w:val="16"/>
                <w:lang w:val="de-CH"/>
              </w:rPr>
              <w:t>ation</w:t>
            </w:r>
            <w:r w:rsidR="003A02B4" w:rsidRPr="00741D72">
              <w:rPr>
                <w:sz w:val="16"/>
                <w:lang w:val="de-CH"/>
              </w:rPr>
              <w:t xml:space="preserve"> und </w:t>
            </w:r>
            <w:r w:rsidRPr="00741D72">
              <w:rPr>
                <w:sz w:val="16"/>
                <w:lang w:val="de-CH"/>
              </w:rPr>
              <w:t xml:space="preserve">Beurteilung </w:t>
            </w:r>
            <w:r w:rsidR="003A02B4" w:rsidRPr="00741D72">
              <w:rPr>
                <w:sz w:val="16"/>
                <w:lang w:val="de-CH"/>
              </w:rPr>
              <w:t xml:space="preserve">deren </w:t>
            </w:r>
            <w:r w:rsidR="00E42A89" w:rsidRPr="00741D72">
              <w:rPr>
                <w:sz w:val="16"/>
                <w:lang w:val="de-CH"/>
              </w:rPr>
              <w:t>Ausgestaltung</w:t>
            </w:r>
            <w:r w:rsidRPr="00741D72">
              <w:rPr>
                <w:sz w:val="16"/>
                <w:lang w:val="de-CH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CC18A3E" w14:textId="03AC4FE9" w:rsidR="00166719" w:rsidRPr="00A81F08" w:rsidRDefault="00E62F76" w:rsidP="0016671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sz w:val="24"/>
                <w:szCs w:val="24"/>
                <w:lang w:val="de-CH"/>
              </w:rPr>
              <w:t xml:space="preserve"> </w:t>
            </w:r>
            <w:r w:rsidR="00166719" w:rsidRPr="00A81F08">
              <w:rPr>
                <w:sz w:val="16"/>
                <w:lang w:val="de-CH"/>
              </w:rPr>
              <w:t xml:space="preserve">Durchführung von </w:t>
            </w:r>
            <w:r w:rsidR="008B41CE">
              <w:rPr>
                <w:sz w:val="16"/>
                <w:lang w:val="de-CH"/>
              </w:rPr>
              <w:t>Funktion</w:t>
            </w:r>
            <w:r w:rsidR="00E963EA">
              <w:rPr>
                <w:sz w:val="16"/>
                <w:lang w:val="de-CH"/>
              </w:rPr>
              <w:t xml:space="preserve">sprüfungen </w:t>
            </w:r>
            <w:r w:rsidR="00166719" w:rsidRPr="00A81F08">
              <w:rPr>
                <w:sz w:val="16"/>
                <w:lang w:val="de-CH"/>
              </w:rPr>
              <w:t xml:space="preserve">zur </w:t>
            </w:r>
            <w:r w:rsidR="007536FF">
              <w:rPr>
                <w:sz w:val="16"/>
                <w:lang w:val="de-CH"/>
              </w:rPr>
              <w:t>Prüfung</w:t>
            </w:r>
            <w:r w:rsidR="007536FF" w:rsidRPr="00A81F08">
              <w:rPr>
                <w:sz w:val="16"/>
                <w:lang w:val="de-CH"/>
              </w:rPr>
              <w:t xml:space="preserve"> </w:t>
            </w:r>
            <w:r w:rsidR="00166719" w:rsidRPr="00A81F08">
              <w:rPr>
                <w:sz w:val="16"/>
                <w:lang w:val="de-CH"/>
              </w:rPr>
              <w:t>der operativen Wirksamkeit der internen Kontrollen bei der Handhabung von Kundenbeschwerden, Prozessrisiken und Rechtsrisiken</w:t>
            </w:r>
            <w:r w:rsidR="00FE39D3">
              <w:rPr>
                <w:sz w:val="16"/>
                <w:lang w:val="de-CH"/>
              </w:rPr>
              <w:t xml:space="preserve"> gemäss internen Weisungen und Abläufen</w:t>
            </w:r>
            <w:r w:rsidR="00166719" w:rsidRPr="00A81F08">
              <w:rPr>
                <w:sz w:val="16"/>
                <w:lang w:val="de-CH"/>
              </w:rPr>
              <w:t xml:space="preserve">. </w:t>
            </w:r>
          </w:p>
          <w:p w14:paraId="07E15846" w14:textId="77777777" w:rsidR="00166719" w:rsidRPr="00A81F08" w:rsidRDefault="00166719" w:rsidP="00E963EA">
            <w:pPr>
              <w:pStyle w:val="Bullet"/>
              <w:numPr>
                <w:ilvl w:val="0"/>
                <w:numId w:val="0"/>
              </w:numPr>
              <w:spacing w:before="40" w:after="40"/>
              <w:rPr>
                <w:lang w:val="de-CH"/>
              </w:rPr>
            </w:pPr>
            <w:r w:rsidRPr="00A81F08">
              <w:rPr>
                <w:lang w:val="de-CH"/>
              </w:rPr>
              <w:t xml:space="preserve">Auswahl von mindestens einer grösseren Kundenbeschwerde / Rechtsstreitigkeit zur Durchführung </w:t>
            </w:r>
            <w:r w:rsidR="00E963EA">
              <w:rPr>
                <w:lang w:val="de-CH"/>
              </w:rPr>
              <w:t xml:space="preserve">einer </w:t>
            </w:r>
            <w:r w:rsidR="00607526">
              <w:rPr>
                <w:lang w:val="de-CH"/>
              </w:rPr>
              <w:t>aussagebezogenen P</w:t>
            </w:r>
            <w:r w:rsidR="00E963EA">
              <w:rPr>
                <w:lang w:val="de-CH"/>
              </w:rPr>
              <w:t>rüfung</w:t>
            </w:r>
            <w:r w:rsidRPr="00A81F08">
              <w:rPr>
                <w:lang w:val="de-CH"/>
              </w:rPr>
              <w:t>, ob interne Vorschriften eingehalten werden</w:t>
            </w:r>
            <w:r w:rsidR="007234DF">
              <w:rPr>
                <w:lang w:val="de-CH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B04308C" w14:textId="77777777" w:rsidR="00166719" w:rsidRPr="00A81F08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  <w:r w:rsidRPr="00A81F08">
              <w:rPr>
                <w:sz w:val="16"/>
                <w:lang w:val="de-CH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C750C4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  <w:tr w:rsidR="00166719" w:rsidRPr="00A81F08" w14:paraId="59C80C56" w14:textId="77777777" w:rsidTr="00414620">
        <w:trPr>
          <w:cantSplit/>
        </w:trPr>
        <w:tc>
          <w:tcPr>
            <w:tcW w:w="596" w:type="dxa"/>
            <w:shd w:val="clear" w:color="auto" w:fill="auto"/>
          </w:tcPr>
          <w:p w14:paraId="14D73CD1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1531" w:type="dxa"/>
            <w:shd w:val="clear" w:color="auto" w:fill="auto"/>
          </w:tcPr>
          <w:p w14:paraId="2044DBE5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685" w:type="dxa"/>
            <w:shd w:val="clear" w:color="auto" w:fill="auto"/>
          </w:tcPr>
          <w:p w14:paraId="0CB49BFD" w14:textId="17AD5249" w:rsidR="00166719" w:rsidRPr="00A81F08" w:rsidRDefault="00E62F76" w:rsidP="00783D6B">
            <w:pPr>
              <w:spacing w:before="40" w:after="40" w:line="240" w:lineRule="auto"/>
              <w:rPr>
                <w:rFonts w:cs="Arial"/>
                <w:b/>
                <w:sz w:val="16"/>
                <w:szCs w:val="16"/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sz w:val="16"/>
                <w:lang w:val="de-CH"/>
              </w:rPr>
              <w:t xml:space="preserve"> </w:t>
            </w:r>
            <w:r w:rsidR="00E42A89" w:rsidRPr="00A81F08">
              <w:rPr>
                <w:sz w:val="16"/>
                <w:lang w:val="de-CH"/>
              </w:rPr>
              <w:t xml:space="preserve">Beurteilung </w:t>
            </w:r>
            <w:r w:rsidR="00E42A89">
              <w:rPr>
                <w:sz w:val="16"/>
                <w:lang w:val="de-CH"/>
              </w:rPr>
              <w:t>anhand der Durchsicht von Protokollen und Berichten</w:t>
            </w:r>
            <w:r w:rsidR="00C868D3">
              <w:rPr>
                <w:sz w:val="16"/>
                <w:lang w:val="de-CH"/>
              </w:rPr>
              <w:t xml:space="preserve">, </w:t>
            </w:r>
            <w:r w:rsidR="00166719" w:rsidRPr="00A81F08">
              <w:rPr>
                <w:sz w:val="16"/>
                <w:lang w:val="de-CH"/>
              </w:rPr>
              <w:t xml:space="preserve">ob die Überwachung durch die Geschäftsführung und </w:t>
            </w:r>
            <w:r w:rsidR="00783D6B">
              <w:rPr>
                <w:sz w:val="16"/>
                <w:lang w:val="de-CH"/>
              </w:rPr>
              <w:t>das Oberleitungsorgan</w:t>
            </w:r>
            <w:r w:rsidR="00166719" w:rsidRPr="00A81F08">
              <w:rPr>
                <w:sz w:val="16"/>
                <w:lang w:val="de-CH"/>
              </w:rPr>
              <w:t xml:space="preserve"> und die daraus resultierenden Geschäftsentscheidungen angemessen waren.</w:t>
            </w:r>
          </w:p>
        </w:tc>
        <w:tc>
          <w:tcPr>
            <w:tcW w:w="3827" w:type="dxa"/>
            <w:shd w:val="clear" w:color="auto" w:fill="auto"/>
          </w:tcPr>
          <w:p w14:paraId="07D0EA71" w14:textId="49F62F7C" w:rsidR="00166719" w:rsidRPr="00A81F08" w:rsidRDefault="00E62F76" w:rsidP="006C26A7">
            <w:pPr>
              <w:pStyle w:val="Bullet"/>
              <w:numPr>
                <w:ilvl w:val="0"/>
                <w:numId w:val="0"/>
              </w:numPr>
              <w:spacing w:before="40" w:after="40"/>
              <w:rPr>
                <w:lang w:val="de-CH"/>
              </w:rPr>
            </w:pPr>
            <w:r w:rsidRPr="00F527D4">
              <w:rPr>
                <w:b/>
                <w:sz w:val="28"/>
                <w:szCs w:val="24"/>
                <w:lang w:val="de-CH"/>
              </w:rPr>
              <w:t>*</w:t>
            </w:r>
            <w:r>
              <w:rPr>
                <w:lang w:val="de-CH"/>
              </w:rPr>
              <w:t xml:space="preserve"> </w:t>
            </w:r>
            <w:r w:rsidR="00C868D3" w:rsidRPr="00741D72">
              <w:rPr>
                <w:lang w:val="de-CH"/>
              </w:rPr>
              <w:t>Aussagebezogene Prüfung</w:t>
            </w:r>
            <w:r w:rsidR="00923CB7" w:rsidRPr="00741D72">
              <w:rPr>
                <w:lang w:val="de-CH"/>
              </w:rPr>
              <w:t xml:space="preserve"> anhand einer Stichprobe, ob die Entscheidungen</w:t>
            </w:r>
            <w:r w:rsidR="00923CB7" w:rsidRPr="00A81F08">
              <w:rPr>
                <w:lang w:val="de-CH"/>
              </w:rPr>
              <w:t xml:space="preserve"> der Leitungsorgane effektiv umgesetzt wurden.</w:t>
            </w:r>
          </w:p>
        </w:tc>
        <w:tc>
          <w:tcPr>
            <w:tcW w:w="3828" w:type="dxa"/>
            <w:shd w:val="clear" w:color="auto" w:fill="auto"/>
          </w:tcPr>
          <w:p w14:paraId="74BEA6FF" w14:textId="77777777" w:rsidR="00166719" w:rsidRPr="00A81F08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992" w:type="dxa"/>
            <w:shd w:val="clear" w:color="auto" w:fill="auto"/>
          </w:tcPr>
          <w:p w14:paraId="51197C72" w14:textId="77777777" w:rsidR="00166719" w:rsidRPr="00A81F08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  <w:lang w:val="de-CH"/>
              </w:rPr>
            </w:pPr>
          </w:p>
        </w:tc>
      </w:tr>
    </w:tbl>
    <w:p w14:paraId="6A8E20CC" w14:textId="77777777" w:rsidR="004672A5" w:rsidRPr="00A81F08" w:rsidRDefault="004672A5" w:rsidP="00E14765">
      <w:pPr>
        <w:spacing w:before="0" w:after="200"/>
        <w:jc w:val="center"/>
        <w:rPr>
          <w:rFonts w:cs="Arial"/>
          <w:sz w:val="16"/>
          <w:szCs w:val="16"/>
          <w:lang w:val="de-CH"/>
        </w:rPr>
      </w:pPr>
    </w:p>
    <w:p w14:paraId="698D1EFA" w14:textId="77777777" w:rsidR="00003E26" w:rsidRPr="00A81F08" w:rsidRDefault="00513348" w:rsidP="006C26A7">
      <w:pPr>
        <w:spacing w:before="0" w:after="200"/>
        <w:jc w:val="center"/>
        <w:rPr>
          <w:rFonts w:cs="Arial"/>
          <w:sz w:val="16"/>
          <w:szCs w:val="16"/>
          <w:lang w:val="de-CH"/>
        </w:rPr>
      </w:pPr>
      <w:r w:rsidRPr="00A81F08">
        <w:rPr>
          <w:sz w:val="16"/>
          <w:lang w:val="de-CH"/>
        </w:rPr>
        <w:t>********************************</w:t>
      </w:r>
    </w:p>
    <w:sectPr w:rsidR="00003E26" w:rsidRPr="00A81F08" w:rsidSect="00000B42">
      <w:headerReference w:type="default" r:id="rId12"/>
      <w:footerReference w:type="default" r:id="rId13"/>
      <w:pgSz w:w="16838" w:h="11906" w:orient="landscape"/>
      <w:pgMar w:top="1702" w:right="1417" w:bottom="1135" w:left="1134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9B429" w14:textId="77777777" w:rsidR="00907F37" w:rsidRDefault="00907F37" w:rsidP="0073176F">
      <w:pPr>
        <w:spacing w:after="0" w:line="240" w:lineRule="auto"/>
      </w:pPr>
      <w:r>
        <w:separator/>
      </w:r>
    </w:p>
  </w:endnote>
  <w:endnote w:type="continuationSeparator" w:id="0">
    <w:p w14:paraId="426353C2" w14:textId="77777777" w:rsidR="00907F37" w:rsidRDefault="00907F37" w:rsidP="0073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F634" w14:textId="3212F6C1" w:rsidR="003D22FB" w:rsidRPr="003D22FB" w:rsidRDefault="007234DF" w:rsidP="00BF1E2E">
    <w:pPr>
      <w:pStyle w:val="Pieddepage"/>
      <w:tabs>
        <w:tab w:val="clear" w:pos="9072"/>
        <w:tab w:val="right" w:pos="13750"/>
      </w:tabs>
      <w:rPr>
        <w:sz w:val="16"/>
        <w:szCs w:val="16"/>
      </w:rPr>
    </w:pPr>
    <w:r w:rsidRPr="003D22FB">
      <w:rPr>
        <w:sz w:val="16"/>
        <w:szCs w:val="16"/>
      </w:rPr>
      <w:t>Für das Prüf</w:t>
    </w:r>
    <w:r w:rsidR="00145A77">
      <w:rPr>
        <w:sz w:val="16"/>
        <w:szCs w:val="16"/>
      </w:rPr>
      <w:t>feld</w:t>
    </w:r>
    <w:r w:rsidRPr="003D22FB">
      <w:rPr>
        <w:sz w:val="16"/>
        <w:szCs w:val="16"/>
      </w:rPr>
      <w:t xml:space="preserve"> „Geschäftsrisiken – Risikomanagement / Andere Risiken aus Rechts- und Prozessrisiken“ anwendbare Prüfungshandlungen</w:t>
    </w:r>
  </w:p>
  <w:p w14:paraId="12D80E32" w14:textId="1A001A5E" w:rsidR="007234DF" w:rsidRPr="00BF1E2E" w:rsidRDefault="00475D69" w:rsidP="00BF1E2E">
    <w:pPr>
      <w:pStyle w:val="Pieddepage"/>
      <w:tabs>
        <w:tab w:val="clear" w:pos="9072"/>
        <w:tab w:val="right" w:pos="14287"/>
      </w:tabs>
      <w:rPr>
        <w:sz w:val="16"/>
        <w:szCs w:val="16"/>
      </w:rPr>
    </w:pPr>
    <w:r w:rsidRPr="003D22FB">
      <w:rPr>
        <w:sz w:val="16"/>
        <w:szCs w:val="16"/>
      </w:rPr>
      <w:t xml:space="preserve">Version </w:t>
    </w:r>
    <w:r w:rsidR="00DB3D8C">
      <w:rPr>
        <w:sz w:val="16"/>
        <w:szCs w:val="16"/>
      </w:rPr>
      <w:t xml:space="preserve">vom </w:t>
    </w:r>
    <w:r w:rsidR="00422294">
      <w:rPr>
        <w:sz w:val="16"/>
        <w:szCs w:val="16"/>
      </w:rPr>
      <w:t xml:space="preserve">15. März </w:t>
    </w:r>
    <w:r w:rsidR="00145A77">
      <w:rPr>
        <w:sz w:val="16"/>
        <w:szCs w:val="16"/>
      </w:rPr>
      <w:t>2025</w:t>
    </w:r>
    <w:r w:rsidR="00DB3D8C">
      <w:rPr>
        <w:sz w:val="16"/>
        <w:szCs w:val="16"/>
      </w:rPr>
      <w:t xml:space="preserve">, </w:t>
    </w:r>
    <w:r w:rsidRPr="003D22FB">
      <w:rPr>
        <w:sz w:val="16"/>
        <w:szCs w:val="16"/>
      </w:rPr>
      <w:t xml:space="preserve">gültig ab </w:t>
    </w:r>
    <w:r w:rsidR="00204571">
      <w:rPr>
        <w:sz w:val="16"/>
        <w:szCs w:val="16"/>
      </w:rPr>
      <w:t>Prüfperiode 202</w:t>
    </w:r>
    <w:r w:rsidR="00145A77">
      <w:rPr>
        <w:sz w:val="16"/>
        <w:szCs w:val="16"/>
      </w:rPr>
      <w:t>5</w:t>
    </w:r>
    <w:r w:rsidR="00204571">
      <w:rPr>
        <w:sz w:val="16"/>
        <w:szCs w:val="16"/>
      </w:rPr>
      <w:t xml:space="preserve"> (Prüfjahre beginnend am </w:t>
    </w:r>
    <w:r w:rsidR="00422294">
      <w:rPr>
        <w:sz w:val="16"/>
        <w:szCs w:val="16"/>
      </w:rPr>
      <w:t>1</w:t>
    </w:r>
    <w:r w:rsidR="00204571">
      <w:rPr>
        <w:sz w:val="16"/>
        <w:szCs w:val="16"/>
      </w:rPr>
      <w:t>.</w:t>
    </w:r>
    <w:r w:rsidR="00145A77">
      <w:rPr>
        <w:sz w:val="16"/>
        <w:szCs w:val="16"/>
      </w:rPr>
      <w:t xml:space="preserve"> Januar 2025</w:t>
    </w:r>
    <w:r w:rsidR="00204571">
      <w:rPr>
        <w:sz w:val="16"/>
        <w:szCs w:val="16"/>
      </w:rPr>
      <w:t xml:space="preserve"> oder später)</w:t>
    </w:r>
    <w:r w:rsidR="007234DF" w:rsidRPr="00BF1E2E">
      <w:rPr>
        <w:sz w:val="16"/>
        <w:szCs w:val="16"/>
      </w:rPr>
      <w:tab/>
    </w:r>
    <w:r w:rsidR="007234DF" w:rsidRPr="00A55349">
      <w:rPr>
        <w:sz w:val="16"/>
        <w:szCs w:val="16"/>
      </w:rPr>
      <w:t xml:space="preserve">Seite </w:t>
    </w:r>
    <w:r w:rsidR="007234DF" w:rsidRPr="00A55349">
      <w:rPr>
        <w:sz w:val="16"/>
        <w:szCs w:val="16"/>
      </w:rPr>
      <w:fldChar w:fldCharType="begin"/>
    </w:r>
    <w:r w:rsidR="007234DF" w:rsidRPr="003D22FB">
      <w:rPr>
        <w:sz w:val="16"/>
        <w:szCs w:val="16"/>
      </w:rPr>
      <w:instrText>PAGE   \* MERGEFORMAT</w:instrText>
    </w:r>
    <w:r w:rsidR="007234DF" w:rsidRPr="00A55349">
      <w:rPr>
        <w:sz w:val="16"/>
        <w:szCs w:val="16"/>
      </w:rPr>
      <w:fldChar w:fldCharType="separate"/>
    </w:r>
    <w:r w:rsidR="00241F63">
      <w:rPr>
        <w:noProof/>
        <w:sz w:val="16"/>
        <w:szCs w:val="16"/>
      </w:rPr>
      <w:t>2</w:t>
    </w:r>
    <w:r w:rsidR="007234DF" w:rsidRPr="00A5534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3D9B" w14:textId="77777777" w:rsidR="00907F37" w:rsidRDefault="00907F37" w:rsidP="0073176F">
      <w:pPr>
        <w:spacing w:after="0" w:line="240" w:lineRule="auto"/>
      </w:pPr>
      <w:r>
        <w:separator/>
      </w:r>
    </w:p>
  </w:footnote>
  <w:footnote w:type="continuationSeparator" w:id="0">
    <w:p w14:paraId="7AFDC98E" w14:textId="77777777" w:rsidR="00907F37" w:rsidRDefault="00907F37" w:rsidP="0073176F">
      <w:pPr>
        <w:spacing w:after="0" w:line="240" w:lineRule="auto"/>
      </w:pPr>
      <w:r>
        <w:continuationSeparator/>
      </w:r>
    </w:p>
  </w:footnote>
  <w:footnote w:id="1">
    <w:p w14:paraId="0447B834" w14:textId="55093539" w:rsidR="007601AD" w:rsidRPr="007601AD" w:rsidRDefault="007601AD">
      <w:pPr>
        <w:pStyle w:val="Notedebasdepage"/>
        <w:rPr>
          <w:lang w:val="de-CH"/>
        </w:rPr>
      </w:pPr>
      <w:r>
        <w:rPr>
          <w:rStyle w:val="Appelnotedebasdep"/>
        </w:rPr>
        <w:footnoteRef/>
      </w:r>
      <w:r>
        <w:t xml:space="preserve"> </w:t>
      </w:r>
      <w:bookmarkStart w:id="0" w:name="_Hlk191391812"/>
      <w:r w:rsidR="00145A77">
        <w:t xml:space="preserve">Art. 10 Abs. 2 und 3 </w:t>
      </w:r>
      <w:r w:rsidR="00145A77" w:rsidRPr="00341473">
        <w:t>Aufsichtsprüfverordnung FINMA</w:t>
      </w:r>
      <w:bookmarkEnd w:id="0"/>
      <w:r w:rsidR="00422294">
        <w:t xml:space="preserve"> </w:t>
      </w:r>
      <w:r w:rsidR="00422294" w:rsidRPr="00422294">
        <w:t>vom 31. Oktober 2024</w:t>
      </w:r>
      <w:r w:rsidR="00422294">
        <w:t xml:space="preserve"> </w:t>
      </w:r>
      <w:bookmarkStart w:id="1" w:name="_Hlk193102299"/>
      <w:r w:rsidR="00422294">
        <w:t>(SR</w:t>
      </w:r>
      <w:r w:rsidR="00422294" w:rsidRPr="00FA059B">
        <w:rPr>
          <w:i/>
          <w:iCs/>
        </w:rPr>
        <w:t> 956.161.1</w:t>
      </w:r>
      <w:r w:rsidR="00422294">
        <w:t>)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DE3A" w14:textId="77777777" w:rsidR="007234DF" w:rsidRPr="0029735F" w:rsidRDefault="007234DF" w:rsidP="00BF1E2E">
    <w:pPr>
      <w:tabs>
        <w:tab w:val="left" w:pos="3969"/>
        <w:tab w:val="right" w:pos="14317"/>
      </w:tabs>
      <w:spacing w:after="0" w:line="240" w:lineRule="auto"/>
      <w:rPr>
        <w:rFonts w:cs="Arial"/>
        <w:sz w:val="14"/>
        <w:szCs w:val="16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9264" behindDoc="1" locked="0" layoutInCell="1" allowOverlap="1" wp14:anchorId="73445046" wp14:editId="1EC87DD3">
          <wp:simplePos x="0" y="0"/>
          <wp:positionH relativeFrom="column">
            <wp:posOffset>7343140</wp:posOffset>
          </wp:positionH>
          <wp:positionV relativeFrom="paragraph">
            <wp:posOffset>-44450</wp:posOffset>
          </wp:positionV>
          <wp:extent cx="1778372" cy="720000"/>
          <wp:effectExtent l="0" t="0" r="0" b="4445"/>
          <wp:wrapTight wrapText="bothSides">
            <wp:wrapPolygon edited="0">
              <wp:start x="0" y="0"/>
              <wp:lineTo x="0" y="21162"/>
              <wp:lineTo x="21291" y="21162"/>
              <wp:lineTo x="21291" y="0"/>
              <wp:lineTo x="0" y="0"/>
            </wp:wrapPolygon>
          </wp:wrapTight>
          <wp:docPr id="3" name="Image 1" descr="Logo_FIN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Logo_FIN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7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highlight w:val="yellow"/>
      </w:rPr>
      <w:t>[Institut XY]</w:t>
    </w:r>
    <w:r>
      <w:tab/>
    </w:r>
    <w:r>
      <w:rPr>
        <w:sz w:val="16"/>
      </w:rPr>
      <w:t xml:space="preserve">Referenz: </w:t>
    </w:r>
    <w:r>
      <w:rPr>
        <w:sz w:val="16"/>
        <w:highlight w:val="yellow"/>
      </w:rPr>
      <w:t>[Referenz hinzufügen]</w:t>
    </w:r>
  </w:p>
  <w:p w14:paraId="51F8114A" w14:textId="77777777" w:rsidR="007234DF" w:rsidRPr="0029735F" w:rsidRDefault="007234DF" w:rsidP="00BF1E2E">
    <w:pPr>
      <w:tabs>
        <w:tab w:val="left" w:pos="3969"/>
        <w:tab w:val="right" w:pos="14317"/>
      </w:tabs>
      <w:spacing w:after="0" w:line="240" w:lineRule="auto"/>
      <w:rPr>
        <w:rFonts w:cs="Arial"/>
        <w:sz w:val="16"/>
        <w:szCs w:val="16"/>
      </w:rPr>
    </w:pPr>
    <w:r w:rsidRPr="00A81F08">
      <w:rPr>
        <w:sz w:val="16"/>
      </w:rPr>
      <w:t>Prüf</w:t>
    </w:r>
    <w:r>
      <w:rPr>
        <w:sz w:val="16"/>
      </w:rPr>
      <w:t xml:space="preserve">periode </w:t>
    </w:r>
    <w:r>
      <w:rPr>
        <w:sz w:val="16"/>
        <w:highlight w:val="yellow"/>
      </w:rPr>
      <w:t>20XX</w:t>
    </w:r>
    <w:r>
      <w:tab/>
    </w:r>
    <w:r>
      <w:rPr>
        <w:b/>
        <w:sz w:val="16"/>
      </w:rPr>
      <w:t xml:space="preserve">Andere Risiken aus Rechts- und Prozessrisiken </w:t>
    </w:r>
  </w:p>
  <w:p w14:paraId="34BC22E5" w14:textId="77777777" w:rsidR="007234DF" w:rsidRDefault="007234DF" w:rsidP="00BF1E2E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</w:p>
  <w:p w14:paraId="30936AF5" w14:textId="77777777" w:rsidR="007234DF" w:rsidRPr="0029735F" w:rsidRDefault="007234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67E"/>
    <w:multiLevelType w:val="hybridMultilevel"/>
    <w:tmpl w:val="6CE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ACF"/>
    <w:multiLevelType w:val="hybridMultilevel"/>
    <w:tmpl w:val="A1606C3E"/>
    <w:lvl w:ilvl="0" w:tplc="FCC4893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8680276"/>
    <w:multiLevelType w:val="multilevel"/>
    <w:tmpl w:val="545A961C"/>
    <w:styleLink w:val="ListePP"/>
    <w:lvl w:ilvl="0">
      <w:start w:val="1"/>
      <w:numFmt w:val="upperLett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87A464A"/>
    <w:multiLevelType w:val="hybridMultilevel"/>
    <w:tmpl w:val="971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20BD"/>
    <w:multiLevelType w:val="multilevel"/>
    <w:tmpl w:val="545A961C"/>
    <w:numStyleLink w:val="ListePP"/>
  </w:abstractNum>
  <w:abstractNum w:abstractNumId="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CC3091"/>
    <w:multiLevelType w:val="hybridMultilevel"/>
    <w:tmpl w:val="BFA8245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5A022E3"/>
    <w:multiLevelType w:val="hybridMultilevel"/>
    <w:tmpl w:val="2D822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682E"/>
    <w:multiLevelType w:val="hybridMultilevel"/>
    <w:tmpl w:val="DA3CB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0CD6"/>
    <w:multiLevelType w:val="hybridMultilevel"/>
    <w:tmpl w:val="5B8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68B1"/>
    <w:multiLevelType w:val="hybridMultilevel"/>
    <w:tmpl w:val="198E9BD8"/>
    <w:lvl w:ilvl="0" w:tplc="FCC4893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1932"/>
    <w:multiLevelType w:val="hybridMultilevel"/>
    <w:tmpl w:val="A3580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E95"/>
    <w:multiLevelType w:val="hybridMultilevel"/>
    <w:tmpl w:val="DDC219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43FB"/>
    <w:multiLevelType w:val="hybridMultilevel"/>
    <w:tmpl w:val="6CD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6A6A"/>
    <w:multiLevelType w:val="hybridMultilevel"/>
    <w:tmpl w:val="4174738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E223B"/>
    <w:multiLevelType w:val="hybridMultilevel"/>
    <w:tmpl w:val="F4169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5D4"/>
    <w:multiLevelType w:val="hybridMultilevel"/>
    <w:tmpl w:val="8E3C1D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4283"/>
    <w:multiLevelType w:val="hybridMultilevel"/>
    <w:tmpl w:val="DDF83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18E4"/>
    <w:multiLevelType w:val="hybridMultilevel"/>
    <w:tmpl w:val="4E301B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3600"/>
    <w:multiLevelType w:val="hybridMultilevel"/>
    <w:tmpl w:val="BFB6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51FCF"/>
    <w:multiLevelType w:val="hybridMultilevel"/>
    <w:tmpl w:val="4F7A9226"/>
    <w:lvl w:ilvl="0" w:tplc="570E1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109EC"/>
    <w:multiLevelType w:val="hybridMultilevel"/>
    <w:tmpl w:val="CA46856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7C65345"/>
    <w:multiLevelType w:val="hybridMultilevel"/>
    <w:tmpl w:val="4D3A03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806B3"/>
    <w:multiLevelType w:val="hybridMultilevel"/>
    <w:tmpl w:val="CD1435E6"/>
    <w:lvl w:ilvl="0" w:tplc="AC4EA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367457"/>
    <w:multiLevelType w:val="hybridMultilevel"/>
    <w:tmpl w:val="C666CB00"/>
    <w:lvl w:ilvl="0" w:tplc="3F5AAEA6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9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C3FCB"/>
    <w:multiLevelType w:val="hybridMultilevel"/>
    <w:tmpl w:val="6C661F1A"/>
    <w:lvl w:ilvl="0" w:tplc="8ABE2DFE">
      <w:numFmt w:val="bullet"/>
      <w:pStyle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B4924"/>
    <w:multiLevelType w:val="hybridMultilevel"/>
    <w:tmpl w:val="7618E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D382B"/>
    <w:multiLevelType w:val="hybridMultilevel"/>
    <w:tmpl w:val="2516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17E40"/>
    <w:multiLevelType w:val="hybridMultilevel"/>
    <w:tmpl w:val="670A40EA"/>
    <w:lvl w:ilvl="0" w:tplc="DE08847E">
      <w:start w:val="1"/>
      <w:numFmt w:val="decimal"/>
      <w:pStyle w:val="EGANumbered"/>
      <w:lvlText w:val="%1."/>
      <w:lvlJc w:val="left"/>
      <w:pPr>
        <w:ind w:left="360" w:hanging="360"/>
      </w:pPr>
      <w:rPr>
        <w:rFonts w:hint="default"/>
      </w:rPr>
    </w:lvl>
    <w:lvl w:ilvl="1" w:tplc="73CE114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3215">
    <w:abstractNumId w:val="2"/>
  </w:num>
  <w:num w:numId="2" w16cid:durableId="228924721">
    <w:abstractNumId w:val="4"/>
    <w:lvlOverride w:ilvl="0">
      <w:lvl w:ilvl="0">
        <w:start w:val="1"/>
        <w:numFmt w:val="upperLetter"/>
        <w:lvlText w:val="%1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357" w:hanging="357"/>
        </w:pPr>
        <w:rPr>
          <w:rFonts w:ascii="EYInterstate" w:hAnsi="EYInterstat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3" w16cid:durableId="1222982974">
    <w:abstractNumId w:val="25"/>
  </w:num>
  <w:num w:numId="4" w16cid:durableId="1763791932">
    <w:abstractNumId w:val="5"/>
  </w:num>
  <w:num w:numId="5" w16cid:durableId="824207546">
    <w:abstractNumId w:val="8"/>
  </w:num>
  <w:num w:numId="6" w16cid:durableId="122235043">
    <w:abstractNumId w:val="3"/>
  </w:num>
  <w:num w:numId="7" w16cid:durableId="848372851">
    <w:abstractNumId w:val="28"/>
  </w:num>
  <w:num w:numId="8" w16cid:durableId="1411195396">
    <w:abstractNumId w:val="9"/>
  </w:num>
  <w:num w:numId="9" w16cid:durableId="838041171">
    <w:abstractNumId w:val="27"/>
  </w:num>
  <w:num w:numId="10" w16cid:durableId="139424791">
    <w:abstractNumId w:val="21"/>
  </w:num>
  <w:num w:numId="11" w16cid:durableId="798106882">
    <w:abstractNumId w:val="6"/>
  </w:num>
  <w:num w:numId="12" w16cid:durableId="1915235489">
    <w:abstractNumId w:val="1"/>
  </w:num>
  <w:num w:numId="13" w16cid:durableId="1164051189">
    <w:abstractNumId w:val="10"/>
  </w:num>
  <w:num w:numId="14" w16cid:durableId="1528561805">
    <w:abstractNumId w:val="24"/>
  </w:num>
  <w:num w:numId="15" w16cid:durableId="1618609357">
    <w:abstractNumId w:val="19"/>
  </w:num>
  <w:num w:numId="16" w16cid:durableId="925260127">
    <w:abstractNumId w:val="26"/>
  </w:num>
  <w:num w:numId="17" w16cid:durableId="316998373">
    <w:abstractNumId w:val="16"/>
  </w:num>
  <w:num w:numId="18" w16cid:durableId="129519655">
    <w:abstractNumId w:val="18"/>
  </w:num>
  <w:num w:numId="19" w16cid:durableId="2090694016">
    <w:abstractNumId w:val="15"/>
  </w:num>
  <w:num w:numId="20" w16cid:durableId="1224562934">
    <w:abstractNumId w:val="17"/>
  </w:num>
  <w:num w:numId="21" w16cid:durableId="489561404">
    <w:abstractNumId w:val="23"/>
  </w:num>
  <w:num w:numId="22" w16cid:durableId="553931774">
    <w:abstractNumId w:val="22"/>
  </w:num>
  <w:num w:numId="23" w16cid:durableId="210776667">
    <w:abstractNumId w:val="11"/>
  </w:num>
  <w:num w:numId="24" w16cid:durableId="1630625337">
    <w:abstractNumId w:val="5"/>
  </w:num>
  <w:num w:numId="25" w16cid:durableId="1629626965">
    <w:abstractNumId w:val="13"/>
  </w:num>
  <w:num w:numId="26" w16cid:durableId="1519004197">
    <w:abstractNumId w:val="5"/>
  </w:num>
  <w:num w:numId="27" w16cid:durableId="55400567">
    <w:abstractNumId w:val="0"/>
  </w:num>
  <w:num w:numId="28" w16cid:durableId="320743543">
    <w:abstractNumId w:val="7"/>
  </w:num>
  <w:num w:numId="29" w16cid:durableId="742487192">
    <w:abstractNumId w:val="12"/>
  </w:num>
  <w:num w:numId="30" w16cid:durableId="829061704">
    <w:abstractNumId w:val="14"/>
  </w:num>
  <w:num w:numId="31" w16cid:durableId="1302341372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autoHyphenation/>
  <w:hyphenationZone w:val="567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F"/>
    <w:rsid w:val="00000B42"/>
    <w:rsid w:val="000014C5"/>
    <w:rsid w:val="000038B7"/>
    <w:rsid w:val="00003E26"/>
    <w:rsid w:val="00004411"/>
    <w:rsid w:val="000067CF"/>
    <w:rsid w:val="00006BC9"/>
    <w:rsid w:val="00007639"/>
    <w:rsid w:val="00012AEB"/>
    <w:rsid w:val="00012CCD"/>
    <w:rsid w:val="00013CC5"/>
    <w:rsid w:val="00014CAD"/>
    <w:rsid w:val="0001506A"/>
    <w:rsid w:val="00016202"/>
    <w:rsid w:val="00016B0E"/>
    <w:rsid w:val="00016C72"/>
    <w:rsid w:val="00017CCE"/>
    <w:rsid w:val="00020474"/>
    <w:rsid w:val="000209A9"/>
    <w:rsid w:val="0002133D"/>
    <w:rsid w:val="00022135"/>
    <w:rsid w:val="00022671"/>
    <w:rsid w:val="0002429A"/>
    <w:rsid w:val="0002624A"/>
    <w:rsid w:val="000262F9"/>
    <w:rsid w:val="00030F77"/>
    <w:rsid w:val="00032978"/>
    <w:rsid w:val="000338F4"/>
    <w:rsid w:val="0003546F"/>
    <w:rsid w:val="000363B1"/>
    <w:rsid w:val="0003658A"/>
    <w:rsid w:val="000366CA"/>
    <w:rsid w:val="00036D65"/>
    <w:rsid w:val="00040A28"/>
    <w:rsid w:val="00040ABF"/>
    <w:rsid w:val="00041172"/>
    <w:rsid w:val="00041BB7"/>
    <w:rsid w:val="00041CB2"/>
    <w:rsid w:val="000424C9"/>
    <w:rsid w:val="0004253A"/>
    <w:rsid w:val="00042EEF"/>
    <w:rsid w:val="000435E6"/>
    <w:rsid w:val="00046A66"/>
    <w:rsid w:val="00047096"/>
    <w:rsid w:val="00047792"/>
    <w:rsid w:val="00047C8C"/>
    <w:rsid w:val="00051655"/>
    <w:rsid w:val="0005189D"/>
    <w:rsid w:val="00051CD5"/>
    <w:rsid w:val="00060579"/>
    <w:rsid w:val="000608A8"/>
    <w:rsid w:val="000616F9"/>
    <w:rsid w:val="00061BA4"/>
    <w:rsid w:val="000624A4"/>
    <w:rsid w:val="000634CA"/>
    <w:rsid w:val="0006419D"/>
    <w:rsid w:val="000652CA"/>
    <w:rsid w:val="00065D05"/>
    <w:rsid w:val="000661B3"/>
    <w:rsid w:val="00071D3A"/>
    <w:rsid w:val="000735D6"/>
    <w:rsid w:val="000803F2"/>
    <w:rsid w:val="00081256"/>
    <w:rsid w:val="00082C26"/>
    <w:rsid w:val="00082D9B"/>
    <w:rsid w:val="00083FB0"/>
    <w:rsid w:val="000843F8"/>
    <w:rsid w:val="00085B58"/>
    <w:rsid w:val="0009063E"/>
    <w:rsid w:val="00090ADF"/>
    <w:rsid w:val="00090FAF"/>
    <w:rsid w:val="0009150B"/>
    <w:rsid w:val="000926CB"/>
    <w:rsid w:val="00093407"/>
    <w:rsid w:val="00095183"/>
    <w:rsid w:val="00095592"/>
    <w:rsid w:val="000A0B0F"/>
    <w:rsid w:val="000A1BD5"/>
    <w:rsid w:val="000A42AC"/>
    <w:rsid w:val="000A581D"/>
    <w:rsid w:val="000A6E44"/>
    <w:rsid w:val="000B0AEC"/>
    <w:rsid w:val="000B38CC"/>
    <w:rsid w:val="000B3D37"/>
    <w:rsid w:val="000B5B37"/>
    <w:rsid w:val="000B6A11"/>
    <w:rsid w:val="000B7398"/>
    <w:rsid w:val="000B7C09"/>
    <w:rsid w:val="000B7CDA"/>
    <w:rsid w:val="000C0BDE"/>
    <w:rsid w:val="000C1100"/>
    <w:rsid w:val="000C6812"/>
    <w:rsid w:val="000C7424"/>
    <w:rsid w:val="000C7D90"/>
    <w:rsid w:val="000D13B1"/>
    <w:rsid w:val="000D2A91"/>
    <w:rsid w:val="000D398C"/>
    <w:rsid w:val="000D41EA"/>
    <w:rsid w:val="000D6161"/>
    <w:rsid w:val="000D6FE1"/>
    <w:rsid w:val="000E043C"/>
    <w:rsid w:val="000E1C2F"/>
    <w:rsid w:val="000E29D8"/>
    <w:rsid w:val="000E3618"/>
    <w:rsid w:val="000E37FC"/>
    <w:rsid w:val="000E50B3"/>
    <w:rsid w:val="000E573D"/>
    <w:rsid w:val="000E590A"/>
    <w:rsid w:val="000E677E"/>
    <w:rsid w:val="000E7734"/>
    <w:rsid w:val="000F1961"/>
    <w:rsid w:val="000F42F4"/>
    <w:rsid w:val="000F4671"/>
    <w:rsid w:val="000F4F77"/>
    <w:rsid w:val="00100F5B"/>
    <w:rsid w:val="001056F3"/>
    <w:rsid w:val="00105F3A"/>
    <w:rsid w:val="001060DD"/>
    <w:rsid w:val="00106961"/>
    <w:rsid w:val="00107129"/>
    <w:rsid w:val="0010744B"/>
    <w:rsid w:val="00107E58"/>
    <w:rsid w:val="0011059F"/>
    <w:rsid w:val="001112D4"/>
    <w:rsid w:val="00111449"/>
    <w:rsid w:val="00111BD5"/>
    <w:rsid w:val="001125B1"/>
    <w:rsid w:val="0012026E"/>
    <w:rsid w:val="001203C0"/>
    <w:rsid w:val="00121478"/>
    <w:rsid w:val="00121E7A"/>
    <w:rsid w:val="00123E39"/>
    <w:rsid w:val="0012481F"/>
    <w:rsid w:val="00124C11"/>
    <w:rsid w:val="00125B73"/>
    <w:rsid w:val="00127B56"/>
    <w:rsid w:val="00130B30"/>
    <w:rsid w:val="00131B58"/>
    <w:rsid w:val="00131C11"/>
    <w:rsid w:val="00131D47"/>
    <w:rsid w:val="00133AB4"/>
    <w:rsid w:val="00133BDA"/>
    <w:rsid w:val="0014034B"/>
    <w:rsid w:val="00142C1B"/>
    <w:rsid w:val="00142C84"/>
    <w:rsid w:val="00143230"/>
    <w:rsid w:val="0014398E"/>
    <w:rsid w:val="00145A77"/>
    <w:rsid w:val="00146B9B"/>
    <w:rsid w:val="00146BD6"/>
    <w:rsid w:val="0014750E"/>
    <w:rsid w:val="0015132D"/>
    <w:rsid w:val="001524A9"/>
    <w:rsid w:val="0015290D"/>
    <w:rsid w:val="00153358"/>
    <w:rsid w:val="00155567"/>
    <w:rsid w:val="001610BF"/>
    <w:rsid w:val="00163FB7"/>
    <w:rsid w:val="00164412"/>
    <w:rsid w:val="00164DA6"/>
    <w:rsid w:val="00166719"/>
    <w:rsid w:val="0016794B"/>
    <w:rsid w:val="0017032A"/>
    <w:rsid w:val="00170EFE"/>
    <w:rsid w:val="00173722"/>
    <w:rsid w:val="001737DA"/>
    <w:rsid w:val="00173ED3"/>
    <w:rsid w:val="0017531B"/>
    <w:rsid w:val="00175CF3"/>
    <w:rsid w:val="00182272"/>
    <w:rsid w:val="00182876"/>
    <w:rsid w:val="00183846"/>
    <w:rsid w:val="00183DC0"/>
    <w:rsid w:val="00185722"/>
    <w:rsid w:val="00185758"/>
    <w:rsid w:val="00187002"/>
    <w:rsid w:val="00191D14"/>
    <w:rsid w:val="0019241A"/>
    <w:rsid w:val="0019248A"/>
    <w:rsid w:val="001936EA"/>
    <w:rsid w:val="00194422"/>
    <w:rsid w:val="001944C0"/>
    <w:rsid w:val="00194907"/>
    <w:rsid w:val="001950B1"/>
    <w:rsid w:val="001954E8"/>
    <w:rsid w:val="00196D69"/>
    <w:rsid w:val="0019797A"/>
    <w:rsid w:val="001A105A"/>
    <w:rsid w:val="001A1AC0"/>
    <w:rsid w:val="001A1B32"/>
    <w:rsid w:val="001A2CCB"/>
    <w:rsid w:val="001A39AF"/>
    <w:rsid w:val="001B0E19"/>
    <w:rsid w:val="001B22B3"/>
    <w:rsid w:val="001B2788"/>
    <w:rsid w:val="001B3543"/>
    <w:rsid w:val="001B3A1A"/>
    <w:rsid w:val="001B416F"/>
    <w:rsid w:val="001B4BC1"/>
    <w:rsid w:val="001B5BF8"/>
    <w:rsid w:val="001B61E3"/>
    <w:rsid w:val="001B6A1A"/>
    <w:rsid w:val="001B763E"/>
    <w:rsid w:val="001C001D"/>
    <w:rsid w:val="001C1216"/>
    <w:rsid w:val="001C16EE"/>
    <w:rsid w:val="001C22FE"/>
    <w:rsid w:val="001C4063"/>
    <w:rsid w:val="001C6586"/>
    <w:rsid w:val="001C7344"/>
    <w:rsid w:val="001D0059"/>
    <w:rsid w:val="001D023A"/>
    <w:rsid w:val="001D05BD"/>
    <w:rsid w:val="001D2771"/>
    <w:rsid w:val="001D3AC7"/>
    <w:rsid w:val="001D3F89"/>
    <w:rsid w:val="001D46BF"/>
    <w:rsid w:val="001D626E"/>
    <w:rsid w:val="001D6A53"/>
    <w:rsid w:val="001E0C10"/>
    <w:rsid w:val="001E2A56"/>
    <w:rsid w:val="001E357A"/>
    <w:rsid w:val="001E49F0"/>
    <w:rsid w:val="001E576F"/>
    <w:rsid w:val="001E5A33"/>
    <w:rsid w:val="001E6CC8"/>
    <w:rsid w:val="001E6E46"/>
    <w:rsid w:val="001E7261"/>
    <w:rsid w:val="001E74C6"/>
    <w:rsid w:val="001F0EDA"/>
    <w:rsid w:val="001F2D4C"/>
    <w:rsid w:val="001F3673"/>
    <w:rsid w:val="001F5F12"/>
    <w:rsid w:val="001F65D0"/>
    <w:rsid w:val="001F77B1"/>
    <w:rsid w:val="001F782E"/>
    <w:rsid w:val="00201E2E"/>
    <w:rsid w:val="002021DE"/>
    <w:rsid w:val="00204571"/>
    <w:rsid w:val="00204AF8"/>
    <w:rsid w:val="0020644C"/>
    <w:rsid w:val="00207C18"/>
    <w:rsid w:val="002104F2"/>
    <w:rsid w:val="0021155E"/>
    <w:rsid w:val="00211A49"/>
    <w:rsid w:val="00211D49"/>
    <w:rsid w:val="00211D75"/>
    <w:rsid w:val="0021403B"/>
    <w:rsid w:val="0021406D"/>
    <w:rsid w:val="002157DE"/>
    <w:rsid w:val="00216358"/>
    <w:rsid w:val="002200E4"/>
    <w:rsid w:val="00220745"/>
    <w:rsid w:val="00220C15"/>
    <w:rsid w:val="0022183B"/>
    <w:rsid w:val="002218B6"/>
    <w:rsid w:val="002219EF"/>
    <w:rsid w:val="0022227C"/>
    <w:rsid w:val="0022229C"/>
    <w:rsid w:val="00224688"/>
    <w:rsid w:val="002248D1"/>
    <w:rsid w:val="00224FF0"/>
    <w:rsid w:val="0022521D"/>
    <w:rsid w:val="0022774D"/>
    <w:rsid w:val="0023011F"/>
    <w:rsid w:val="002311A4"/>
    <w:rsid w:val="00233983"/>
    <w:rsid w:val="0023405D"/>
    <w:rsid w:val="00234352"/>
    <w:rsid w:val="00234CCB"/>
    <w:rsid w:val="00235C97"/>
    <w:rsid w:val="00236A2C"/>
    <w:rsid w:val="00240C18"/>
    <w:rsid w:val="00240E66"/>
    <w:rsid w:val="00241F63"/>
    <w:rsid w:val="0024269F"/>
    <w:rsid w:val="0024412C"/>
    <w:rsid w:val="0024718F"/>
    <w:rsid w:val="0024768A"/>
    <w:rsid w:val="00251456"/>
    <w:rsid w:val="0025192F"/>
    <w:rsid w:val="00252A43"/>
    <w:rsid w:val="00253AE1"/>
    <w:rsid w:val="00253C2E"/>
    <w:rsid w:val="00253DDB"/>
    <w:rsid w:val="002553A1"/>
    <w:rsid w:val="0025569C"/>
    <w:rsid w:val="00256144"/>
    <w:rsid w:val="002562F2"/>
    <w:rsid w:val="00257662"/>
    <w:rsid w:val="00261820"/>
    <w:rsid w:val="00262D9F"/>
    <w:rsid w:val="00263119"/>
    <w:rsid w:val="0026531F"/>
    <w:rsid w:val="00266F48"/>
    <w:rsid w:val="00267097"/>
    <w:rsid w:val="00267D57"/>
    <w:rsid w:val="00270F67"/>
    <w:rsid w:val="002729E7"/>
    <w:rsid w:val="002731F2"/>
    <w:rsid w:val="002743FF"/>
    <w:rsid w:val="0027643F"/>
    <w:rsid w:val="00282365"/>
    <w:rsid w:val="00283147"/>
    <w:rsid w:val="00284351"/>
    <w:rsid w:val="00284880"/>
    <w:rsid w:val="00287913"/>
    <w:rsid w:val="0029041D"/>
    <w:rsid w:val="002940FA"/>
    <w:rsid w:val="002952FE"/>
    <w:rsid w:val="00295E1C"/>
    <w:rsid w:val="00296685"/>
    <w:rsid w:val="0029693B"/>
    <w:rsid w:val="0029735F"/>
    <w:rsid w:val="002A0AFC"/>
    <w:rsid w:val="002A1CD2"/>
    <w:rsid w:val="002A2544"/>
    <w:rsid w:val="002A3D86"/>
    <w:rsid w:val="002A447D"/>
    <w:rsid w:val="002A51B9"/>
    <w:rsid w:val="002A579C"/>
    <w:rsid w:val="002B0057"/>
    <w:rsid w:val="002B19F9"/>
    <w:rsid w:val="002B3029"/>
    <w:rsid w:val="002B3A01"/>
    <w:rsid w:val="002B4AE7"/>
    <w:rsid w:val="002B52B1"/>
    <w:rsid w:val="002B6479"/>
    <w:rsid w:val="002B79CF"/>
    <w:rsid w:val="002C1698"/>
    <w:rsid w:val="002C2523"/>
    <w:rsid w:val="002C3A35"/>
    <w:rsid w:val="002C718E"/>
    <w:rsid w:val="002C7B7F"/>
    <w:rsid w:val="002D08A4"/>
    <w:rsid w:val="002D1C55"/>
    <w:rsid w:val="002D2A40"/>
    <w:rsid w:val="002D3883"/>
    <w:rsid w:val="002D4C85"/>
    <w:rsid w:val="002D56A5"/>
    <w:rsid w:val="002D5DB0"/>
    <w:rsid w:val="002D6DCC"/>
    <w:rsid w:val="002D7F79"/>
    <w:rsid w:val="002E0311"/>
    <w:rsid w:val="002E033C"/>
    <w:rsid w:val="002E434E"/>
    <w:rsid w:val="002E545F"/>
    <w:rsid w:val="002F0FC8"/>
    <w:rsid w:val="002F1359"/>
    <w:rsid w:val="002F16EA"/>
    <w:rsid w:val="002F2C0F"/>
    <w:rsid w:val="002F30E1"/>
    <w:rsid w:val="002F7710"/>
    <w:rsid w:val="002F7E16"/>
    <w:rsid w:val="00301420"/>
    <w:rsid w:val="0030165B"/>
    <w:rsid w:val="0030293E"/>
    <w:rsid w:val="00304472"/>
    <w:rsid w:val="00304A32"/>
    <w:rsid w:val="003072C1"/>
    <w:rsid w:val="00307DC6"/>
    <w:rsid w:val="003105B9"/>
    <w:rsid w:val="00310C41"/>
    <w:rsid w:val="00311C64"/>
    <w:rsid w:val="00312D1B"/>
    <w:rsid w:val="003130A1"/>
    <w:rsid w:val="00313E95"/>
    <w:rsid w:val="00314A15"/>
    <w:rsid w:val="0031534E"/>
    <w:rsid w:val="00315D63"/>
    <w:rsid w:val="003164E2"/>
    <w:rsid w:val="00317848"/>
    <w:rsid w:val="003179A2"/>
    <w:rsid w:val="0032007C"/>
    <w:rsid w:val="00320497"/>
    <w:rsid w:val="00320CAD"/>
    <w:rsid w:val="00321885"/>
    <w:rsid w:val="00321FD5"/>
    <w:rsid w:val="003225B0"/>
    <w:rsid w:val="00322EDE"/>
    <w:rsid w:val="00327024"/>
    <w:rsid w:val="00327735"/>
    <w:rsid w:val="00330619"/>
    <w:rsid w:val="003324D9"/>
    <w:rsid w:val="003334B7"/>
    <w:rsid w:val="00333E26"/>
    <w:rsid w:val="00334C1F"/>
    <w:rsid w:val="003351BB"/>
    <w:rsid w:val="003353FA"/>
    <w:rsid w:val="0033615A"/>
    <w:rsid w:val="003367A0"/>
    <w:rsid w:val="00336F8E"/>
    <w:rsid w:val="0033737E"/>
    <w:rsid w:val="00340874"/>
    <w:rsid w:val="00341BA1"/>
    <w:rsid w:val="003478C0"/>
    <w:rsid w:val="00350BD1"/>
    <w:rsid w:val="00350C67"/>
    <w:rsid w:val="0035176B"/>
    <w:rsid w:val="003519F3"/>
    <w:rsid w:val="00351BE1"/>
    <w:rsid w:val="00351EB2"/>
    <w:rsid w:val="00352645"/>
    <w:rsid w:val="00352874"/>
    <w:rsid w:val="003540BD"/>
    <w:rsid w:val="00354FAD"/>
    <w:rsid w:val="0035535C"/>
    <w:rsid w:val="00357213"/>
    <w:rsid w:val="003579C8"/>
    <w:rsid w:val="003613F7"/>
    <w:rsid w:val="00361A89"/>
    <w:rsid w:val="003628E2"/>
    <w:rsid w:val="0036335A"/>
    <w:rsid w:val="003634E4"/>
    <w:rsid w:val="00364268"/>
    <w:rsid w:val="00364401"/>
    <w:rsid w:val="00366D3A"/>
    <w:rsid w:val="00367960"/>
    <w:rsid w:val="00367CC7"/>
    <w:rsid w:val="00370776"/>
    <w:rsid w:val="0037077C"/>
    <w:rsid w:val="00371281"/>
    <w:rsid w:val="003717DC"/>
    <w:rsid w:val="0037289F"/>
    <w:rsid w:val="00375718"/>
    <w:rsid w:val="00377C93"/>
    <w:rsid w:val="0038071C"/>
    <w:rsid w:val="0038190E"/>
    <w:rsid w:val="003827C3"/>
    <w:rsid w:val="00383FD6"/>
    <w:rsid w:val="00385857"/>
    <w:rsid w:val="0038669F"/>
    <w:rsid w:val="00386A98"/>
    <w:rsid w:val="00387E38"/>
    <w:rsid w:val="00390304"/>
    <w:rsid w:val="003919DF"/>
    <w:rsid w:val="00392256"/>
    <w:rsid w:val="00392C86"/>
    <w:rsid w:val="0039400C"/>
    <w:rsid w:val="00394636"/>
    <w:rsid w:val="00394954"/>
    <w:rsid w:val="00395B22"/>
    <w:rsid w:val="003968DD"/>
    <w:rsid w:val="00396930"/>
    <w:rsid w:val="00396CC5"/>
    <w:rsid w:val="00396D67"/>
    <w:rsid w:val="003A02B4"/>
    <w:rsid w:val="003A100E"/>
    <w:rsid w:val="003A1DA5"/>
    <w:rsid w:val="003A222F"/>
    <w:rsid w:val="003A5EE2"/>
    <w:rsid w:val="003A63B2"/>
    <w:rsid w:val="003A656C"/>
    <w:rsid w:val="003A74C2"/>
    <w:rsid w:val="003B1109"/>
    <w:rsid w:val="003B1651"/>
    <w:rsid w:val="003B1AC7"/>
    <w:rsid w:val="003B3F09"/>
    <w:rsid w:val="003B4DD1"/>
    <w:rsid w:val="003C0030"/>
    <w:rsid w:val="003C0668"/>
    <w:rsid w:val="003C3BBB"/>
    <w:rsid w:val="003C4F8E"/>
    <w:rsid w:val="003C5B48"/>
    <w:rsid w:val="003C6F80"/>
    <w:rsid w:val="003C79BE"/>
    <w:rsid w:val="003D072E"/>
    <w:rsid w:val="003D1621"/>
    <w:rsid w:val="003D1FBC"/>
    <w:rsid w:val="003D22FB"/>
    <w:rsid w:val="003D2D4A"/>
    <w:rsid w:val="003D42C9"/>
    <w:rsid w:val="003D5828"/>
    <w:rsid w:val="003D5E2C"/>
    <w:rsid w:val="003E0192"/>
    <w:rsid w:val="003E0B77"/>
    <w:rsid w:val="003E1DA2"/>
    <w:rsid w:val="003E1FA3"/>
    <w:rsid w:val="003E2A5B"/>
    <w:rsid w:val="003E692F"/>
    <w:rsid w:val="003F1BA6"/>
    <w:rsid w:val="003F1EE5"/>
    <w:rsid w:val="003F2543"/>
    <w:rsid w:val="003F2BCB"/>
    <w:rsid w:val="003F4F30"/>
    <w:rsid w:val="003F50D1"/>
    <w:rsid w:val="003F55D5"/>
    <w:rsid w:val="003F641B"/>
    <w:rsid w:val="003F6868"/>
    <w:rsid w:val="003F6D4F"/>
    <w:rsid w:val="003F6ECC"/>
    <w:rsid w:val="003F7AD9"/>
    <w:rsid w:val="0040004E"/>
    <w:rsid w:val="004007FC"/>
    <w:rsid w:val="00400940"/>
    <w:rsid w:val="004025B9"/>
    <w:rsid w:val="0040313A"/>
    <w:rsid w:val="004039EA"/>
    <w:rsid w:val="004040C5"/>
    <w:rsid w:val="0040619D"/>
    <w:rsid w:val="004112D6"/>
    <w:rsid w:val="00411CDA"/>
    <w:rsid w:val="0041269F"/>
    <w:rsid w:val="00414620"/>
    <w:rsid w:val="004148E2"/>
    <w:rsid w:val="004165FE"/>
    <w:rsid w:val="00416AA6"/>
    <w:rsid w:val="00416B51"/>
    <w:rsid w:val="004178C4"/>
    <w:rsid w:val="00421376"/>
    <w:rsid w:val="004221B5"/>
    <w:rsid w:val="00422294"/>
    <w:rsid w:val="00422480"/>
    <w:rsid w:val="00422DC3"/>
    <w:rsid w:val="00423239"/>
    <w:rsid w:val="004240C2"/>
    <w:rsid w:val="00424650"/>
    <w:rsid w:val="00424F1E"/>
    <w:rsid w:val="00425BF6"/>
    <w:rsid w:val="004310F7"/>
    <w:rsid w:val="0043332A"/>
    <w:rsid w:val="00433E8D"/>
    <w:rsid w:val="00434174"/>
    <w:rsid w:val="00435848"/>
    <w:rsid w:val="00436011"/>
    <w:rsid w:val="004377EE"/>
    <w:rsid w:val="0043788F"/>
    <w:rsid w:val="004404CC"/>
    <w:rsid w:val="00440BBC"/>
    <w:rsid w:val="004426B1"/>
    <w:rsid w:val="004445F9"/>
    <w:rsid w:val="00444C32"/>
    <w:rsid w:val="0044517C"/>
    <w:rsid w:val="004514BB"/>
    <w:rsid w:val="00451A4E"/>
    <w:rsid w:val="00451DBD"/>
    <w:rsid w:val="00452091"/>
    <w:rsid w:val="0045532C"/>
    <w:rsid w:val="00461A02"/>
    <w:rsid w:val="0046272D"/>
    <w:rsid w:val="00464225"/>
    <w:rsid w:val="004649B5"/>
    <w:rsid w:val="004672A5"/>
    <w:rsid w:val="004677B3"/>
    <w:rsid w:val="00470F64"/>
    <w:rsid w:val="00472883"/>
    <w:rsid w:val="00472994"/>
    <w:rsid w:val="00475D69"/>
    <w:rsid w:val="00476DE3"/>
    <w:rsid w:val="00480444"/>
    <w:rsid w:val="004814BC"/>
    <w:rsid w:val="004823CB"/>
    <w:rsid w:val="00482DA3"/>
    <w:rsid w:val="004850F8"/>
    <w:rsid w:val="0049056B"/>
    <w:rsid w:val="004907DE"/>
    <w:rsid w:val="004918A4"/>
    <w:rsid w:val="00494EE0"/>
    <w:rsid w:val="004959C9"/>
    <w:rsid w:val="00496E5A"/>
    <w:rsid w:val="004A2F71"/>
    <w:rsid w:val="004A3785"/>
    <w:rsid w:val="004A5DC7"/>
    <w:rsid w:val="004A73F3"/>
    <w:rsid w:val="004A7E20"/>
    <w:rsid w:val="004B01E0"/>
    <w:rsid w:val="004B2DBB"/>
    <w:rsid w:val="004B463D"/>
    <w:rsid w:val="004B65A1"/>
    <w:rsid w:val="004B6EB8"/>
    <w:rsid w:val="004B77F7"/>
    <w:rsid w:val="004C0B24"/>
    <w:rsid w:val="004C0D3F"/>
    <w:rsid w:val="004C201D"/>
    <w:rsid w:val="004C2138"/>
    <w:rsid w:val="004C3F57"/>
    <w:rsid w:val="004C43A0"/>
    <w:rsid w:val="004C752C"/>
    <w:rsid w:val="004D0626"/>
    <w:rsid w:val="004D1031"/>
    <w:rsid w:val="004D1795"/>
    <w:rsid w:val="004D24D3"/>
    <w:rsid w:val="004D57D1"/>
    <w:rsid w:val="004D76DE"/>
    <w:rsid w:val="004E0B65"/>
    <w:rsid w:val="004E1151"/>
    <w:rsid w:val="004E1C3A"/>
    <w:rsid w:val="004E31B3"/>
    <w:rsid w:val="004E4C48"/>
    <w:rsid w:val="004E4E0D"/>
    <w:rsid w:val="004E51DB"/>
    <w:rsid w:val="004E7E53"/>
    <w:rsid w:val="004F0D79"/>
    <w:rsid w:val="004F1D95"/>
    <w:rsid w:val="004F4848"/>
    <w:rsid w:val="004F5BE3"/>
    <w:rsid w:val="005020FB"/>
    <w:rsid w:val="005030AA"/>
    <w:rsid w:val="00503665"/>
    <w:rsid w:val="00503BE5"/>
    <w:rsid w:val="00504045"/>
    <w:rsid w:val="00505876"/>
    <w:rsid w:val="005105C7"/>
    <w:rsid w:val="00512BFB"/>
    <w:rsid w:val="00513348"/>
    <w:rsid w:val="005139DC"/>
    <w:rsid w:val="0051480E"/>
    <w:rsid w:val="00514D2B"/>
    <w:rsid w:val="005168CF"/>
    <w:rsid w:val="00516970"/>
    <w:rsid w:val="005172C0"/>
    <w:rsid w:val="005202DE"/>
    <w:rsid w:val="00522C5C"/>
    <w:rsid w:val="005231BD"/>
    <w:rsid w:val="005233D5"/>
    <w:rsid w:val="00526799"/>
    <w:rsid w:val="005274D3"/>
    <w:rsid w:val="00531EE2"/>
    <w:rsid w:val="0053333D"/>
    <w:rsid w:val="0053365C"/>
    <w:rsid w:val="00533829"/>
    <w:rsid w:val="00534835"/>
    <w:rsid w:val="005355FD"/>
    <w:rsid w:val="00537005"/>
    <w:rsid w:val="00537333"/>
    <w:rsid w:val="00537739"/>
    <w:rsid w:val="00540201"/>
    <w:rsid w:val="00540BDF"/>
    <w:rsid w:val="0054178D"/>
    <w:rsid w:val="005417FC"/>
    <w:rsid w:val="00541B0D"/>
    <w:rsid w:val="005423AB"/>
    <w:rsid w:val="00543117"/>
    <w:rsid w:val="00544229"/>
    <w:rsid w:val="005443CE"/>
    <w:rsid w:val="005444E9"/>
    <w:rsid w:val="00544C0F"/>
    <w:rsid w:val="00545091"/>
    <w:rsid w:val="00545D72"/>
    <w:rsid w:val="00546F76"/>
    <w:rsid w:val="00547381"/>
    <w:rsid w:val="00554CE5"/>
    <w:rsid w:val="00554E74"/>
    <w:rsid w:val="00560D63"/>
    <w:rsid w:val="0056197F"/>
    <w:rsid w:val="00562942"/>
    <w:rsid w:val="00563960"/>
    <w:rsid w:val="00564185"/>
    <w:rsid w:val="00565238"/>
    <w:rsid w:val="005666B9"/>
    <w:rsid w:val="005673AC"/>
    <w:rsid w:val="00573296"/>
    <w:rsid w:val="005743E7"/>
    <w:rsid w:val="005766F7"/>
    <w:rsid w:val="00577539"/>
    <w:rsid w:val="0058037C"/>
    <w:rsid w:val="00583A54"/>
    <w:rsid w:val="00584EE7"/>
    <w:rsid w:val="0058511F"/>
    <w:rsid w:val="00585581"/>
    <w:rsid w:val="00586642"/>
    <w:rsid w:val="005874EF"/>
    <w:rsid w:val="00587DC2"/>
    <w:rsid w:val="00591A84"/>
    <w:rsid w:val="00591D54"/>
    <w:rsid w:val="00594CFF"/>
    <w:rsid w:val="005957CC"/>
    <w:rsid w:val="005977A9"/>
    <w:rsid w:val="005A0C5D"/>
    <w:rsid w:val="005A2662"/>
    <w:rsid w:val="005A2F74"/>
    <w:rsid w:val="005A3720"/>
    <w:rsid w:val="005A4026"/>
    <w:rsid w:val="005A5AF1"/>
    <w:rsid w:val="005A6109"/>
    <w:rsid w:val="005A610B"/>
    <w:rsid w:val="005B0390"/>
    <w:rsid w:val="005B0451"/>
    <w:rsid w:val="005B1226"/>
    <w:rsid w:val="005B131C"/>
    <w:rsid w:val="005B2050"/>
    <w:rsid w:val="005B2DD6"/>
    <w:rsid w:val="005B53C1"/>
    <w:rsid w:val="005B5A08"/>
    <w:rsid w:val="005B6365"/>
    <w:rsid w:val="005B746C"/>
    <w:rsid w:val="005B7D40"/>
    <w:rsid w:val="005C00F0"/>
    <w:rsid w:val="005C0C64"/>
    <w:rsid w:val="005C1C95"/>
    <w:rsid w:val="005C668B"/>
    <w:rsid w:val="005C71F0"/>
    <w:rsid w:val="005D00E1"/>
    <w:rsid w:val="005D2808"/>
    <w:rsid w:val="005D33C8"/>
    <w:rsid w:val="005D33E0"/>
    <w:rsid w:val="005D483E"/>
    <w:rsid w:val="005D6922"/>
    <w:rsid w:val="005D6E17"/>
    <w:rsid w:val="005D771A"/>
    <w:rsid w:val="005E0093"/>
    <w:rsid w:val="005E0BC7"/>
    <w:rsid w:val="005E111F"/>
    <w:rsid w:val="005E2565"/>
    <w:rsid w:val="005E3D2F"/>
    <w:rsid w:val="005E60F8"/>
    <w:rsid w:val="005E6F8D"/>
    <w:rsid w:val="005E7298"/>
    <w:rsid w:val="005E7745"/>
    <w:rsid w:val="005F5D8D"/>
    <w:rsid w:val="005F5DA8"/>
    <w:rsid w:val="005F6165"/>
    <w:rsid w:val="005F7077"/>
    <w:rsid w:val="006003DA"/>
    <w:rsid w:val="00601043"/>
    <w:rsid w:val="0060349B"/>
    <w:rsid w:val="006042E3"/>
    <w:rsid w:val="00604518"/>
    <w:rsid w:val="0060535B"/>
    <w:rsid w:val="00606979"/>
    <w:rsid w:val="006072F5"/>
    <w:rsid w:val="00607526"/>
    <w:rsid w:val="00610268"/>
    <w:rsid w:val="006106AB"/>
    <w:rsid w:val="00610BC3"/>
    <w:rsid w:val="00610C50"/>
    <w:rsid w:val="00611FB4"/>
    <w:rsid w:val="006120B0"/>
    <w:rsid w:val="00613BCC"/>
    <w:rsid w:val="00613F0C"/>
    <w:rsid w:val="006143D4"/>
    <w:rsid w:val="006147C2"/>
    <w:rsid w:val="00614C4B"/>
    <w:rsid w:val="00615279"/>
    <w:rsid w:val="0061534F"/>
    <w:rsid w:val="006173B6"/>
    <w:rsid w:val="0061766E"/>
    <w:rsid w:val="00617A8C"/>
    <w:rsid w:val="00617D2B"/>
    <w:rsid w:val="00620C71"/>
    <w:rsid w:val="006213D9"/>
    <w:rsid w:val="00621AE0"/>
    <w:rsid w:val="00622F58"/>
    <w:rsid w:val="00624FE8"/>
    <w:rsid w:val="00625865"/>
    <w:rsid w:val="00626DF1"/>
    <w:rsid w:val="006303EB"/>
    <w:rsid w:val="00632338"/>
    <w:rsid w:val="00633000"/>
    <w:rsid w:val="0063346A"/>
    <w:rsid w:val="00634360"/>
    <w:rsid w:val="00634D6E"/>
    <w:rsid w:val="00635C2A"/>
    <w:rsid w:val="0063699F"/>
    <w:rsid w:val="00636BDE"/>
    <w:rsid w:val="0063794E"/>
    <w:rsid w:val="00637EDD"/>
    <w:rsid w:val="00641D04"/>
    <w:rsid w:val="00642CC4"/>
    <w:rsid w:val="006434A1"/>
    <w:rsid w:val="006447F9"/>
    <w:rsid w:val="00644B0A"/>
    <w:rsid w:val="00645149"/>
    <w:rsid w:val="00646576"/>
    <w:rsid w:val="0064735B"/>
    <w:rsid w:val="00647694"/>
    <w:rsid w:val="0065035C"/>
    <w:rsid w:val="00650833"/>
    <w:rsid w:val="0065274C"/>
    <w:rsid w:val="006545F1"/>
    <w:rsid w:val="00654B47"/>
    <w:rsid w:val="006555E4"/>
    <w:rsid w:val="0065579A"/>
    <w:rsid w:val="00655B6A"/>
    <w:rsid w:val="006564D2"/>
    <w:rsid w:val="006607DD"/>
    <w:rsid w:val="00661577"/>
    <w:rsid w:val="00661AA2"/>
    <w:rsid w:val="006622A3"/>
    <w:rsid w:val="006625DA"/>
    <w:rsid w:val="00662972"/>
    <w:rsid w:val="00662CCD"/>
    <w:rsid w:val="00664F5A"/>
    <w:rsid w:val="00664FD9"/>
    <w:rsid w:val="006650F2"/>
    <w:rsid w:val="00665A91"/>
    <w:rsid w:val="006660B3"/>
    <w:rsid w:val="00667127"/>
    <w:rsid w:val="0066724C"/>
    <w:rsid w:val="00667469"/>
    <w:rsid w:val="00671017"/>
    <w:rsid w:val="0067216E"/>
    <w:rsid w:val="00672356"/>
    <w:rsid w:val="00672393"/>
    <w:rsid w:val="0067258D"/>
    <w:rsid w:val="0067372D"/>
    <w:rsid w:val="00673DB9"/>
    <w:rsid w:val="0067434D"/>
    <w:rsid w:val="0067736D"/>
    <w:rsid w:val="00677590"/>
    <w:rsid w:val="00680C0E"/>
    <w:rsid w:val="006843C7"/>
    <w:rsid w:val="006845EA"/>
    <w:rsid w:val="00685E72"/>
    <w:rsid w:val="00686304"/>
    <w:rsid w:val="00686554"/>
    <w:rsid w:val="00686EAE"/>
    <w:rsid w:val="006923EB"/>
    <w:rsid w:val="00692FAA"/>
    <w:rsid w:val="00693A50"/>
    <w:rsid w:val="00694BC9"/>
    <w:rsid w:val="0069519F"/>
    <w:rsid w:val="006A0252"/>
    <w:rsid w:val="006A0750"/>
    <w:rsid w:val="006A0B96"/>
    <w:rsid w:val="006A16E3"/>
    <w:rsid w:val="006A27E2"/>
    <w:rsid w:val="006A2A69"/>
    <w:rsid w:val="006A31F4"/>
    <w:rsid w:val="006A410F"/>
    <w:rsid w:val="006A4405"/>
    <w:rsid w:val="006A4A4C"/>
    <w:rsid w:val="006A7F01"/>
    <w:rsid w:val="006B0A0F"/>
    <w:rsid w:val="006B17F5"/>
    <w:rsid w:val="006B3310"/>
    <w:rsid w:val="006B337F"/>
    <w:rsid w:val="006B4282"/>
    <w:rsid w:val="006B46B1"/>
    <w:rsid w:val="006B4AB0"/>
    <w:rsid w:val="006B7471"/>
    <w:rsid w:val="006C26A7"/>
    <w:rsid w:val="006C2A6A"/>
    <w:rsid w:val="006C5B8A"/>
    <w:rsid w:val="006C5E3B"/>
    <w:rsid w:val="006C5FB9"/>
    <w:rsid w:val="006C62F6"/>
    <w:rsid w:val="006C68C1"/>
    <w:rsid w:val="006C73E6"/>
    <w:rsid w:val="006D1679"/>
    <w:rsid w:val="006D301D"/>
    <w:rsid w:val="006D3E1C"/>
    <w:rsid w:val="006D420C"/>
    <w:rsid w:val="006D55BE"/>
    <w:rsid w:val="006D5944"/>
    <w:rsid w:val="006D78F6"/>
    <w:rsid w:val="006E2370"/>
    <w:rsid w:val="006E2F2B"/>
    <w:rsid w:val="006E4F77"/>
    <w:rsid w:val="006E6E2B"/>
    <w:rsid w:val="006E7D31"/>
    <w:rsid w:val="006F0241"/>
    <w:rsid w:val="006F0977"/>
    <w:rsid w:val="006F0B4D"/>
    <w:rsid w:val="006F2B22"/>
    <w:rsid w:val="006F2B54"/>
    <w:rsid w:val="006F3170"/>
    <w:rsid w:val="006F3763"/>
    <w:rsid w:val="006F4B65"/>
    <w:rsid w:val="006F4CF1"/>
    <w:rsid w:val="006F53D3"/>
    <w:rsid w:val="006F67A4"/>
    <w:rsid w:val="006F68CE"/>
    <w:rsid w:val="006F736E"/>
    <w:rsid w:val="006F7D24"/>
    <w:rsid w:val="00703489"/>
    <w:rsid w:val="0070734C"/>
    <w:rsid w:val="007100D9"/>
    <w:rsid w:val="00710AA6"/>
    <w:rsid w:val="00711A39"/>
    <w:rsid w:val="00713903"/>
    <w:rsid w:val="007203E1"/>
    <w:rsid w:val="00721233"/>
    <w:rsid w:val="0072296E"/>
    <w:rsid w:val="007234DF"/>
    <w:rsid w:val="0072428D"/>
    <w:rsid w:val="00724B83"/>
    <w:rsid w:val="00725344"/>
    <w:rsid w:val="00725720"/>
    <w:rsid w:val="00726BE3"/>
    <w:rsid w:val="00730163"/>
    <w:rsid w:val="0073176F"/>
    <w:rsid w:val="00732CC2"/>
    <w:rsid w:val="007330F0"/>
    <w:rsid w:val="0073363F"/>
    <w:rsid w:val="00733BB1"/>
    <w:rsid w:val="007348B2"/>
    <w:rsid w:val="00736BC0"/>
    <w:rsid w:val="00737A31"/>
    <w:rsid w:val="00740B87"/>
    <w:rsid w:val="0074104F"/>
    <w:rsid w:val="007411F5"/>
    <w:rsid w:val="0074161C"/>
    <w:rsid w:val="00741C59"/>
    <w:rsid w:val="00741D72"/>
    <w:rsid w:val="00743861"/>
    <w:rsid w:val="007446E9"/>
    <w:rsid w:val="007462BF"/>
    <w:rsid w:val="0074691D"/>
    <w:rsid w:val="00747F09"/>
    <w:rsid w:val="00751E72"/>
    <w:rsid w:val="007521D4"/>
    <w:rsid w:val="007536FF"/>
    <w:rsid w:val="00753FED"/>
    <w:rsid w:val="00755BF6"/>
    <w:rsid w:val="00757785"/>
    <w:rsid w:val="007601AD"/>
    <w:rsid w:val="00760AC4"/>
    <w:rsid w:val="00761899"/>
    <w:rsid w:val="00762755"/>
    <w:rsid w:val="00763385"/>
    <w:rsid w:val="007651C8"/>
    <w:rsid w:val="00765D9C"/>
    <w:rsid w:val="00771DF9"/>
    <w:rsid w:val="00773F7C"/>
    <w:rsid w:val="007751D1"/>
    <w:rsid w:val="00775FC0"/>
    <w:rsid w:val="007770E0"/>
    <w:rsid w:val="00777573"/>
    <w:rsid w:val="007775CE"/>
    <w:rsid w:val="007814D4"/>
    <w:rsid w:val="0078151B"/>
    <w:rsid w:val="00781722"/>
    <w:rsid w:val="007820CA"/>
    <w:rsid w:val="00782C72"/>
    <w:rsid w:val="00782D78"/>
    <w:rsid w:val="00783D6B"/>
    <w:rsid w:val="00784011"/>
    <w:rsid w:val="007844AC"/>
    <w:rsid w:val="00785654"/>
    <w:rsid w:val="007861A4"/>
    <w:rsid w:val="00791D63"/>
    <w:rsid w:val="00795D3F"/>
    <w:rsid w:val="00797B39"/>
    <w:rsid w:val="007A0ADA"/>
    <w:rsid w:val="007A0B73"/>
    <w:rsid w:val="007A1F17"/>
    <w:rsid w:val="007A23B2"/>
    <w:rsid w:val="007A27C9"/>
    <w:rsid w:val="007A2CAF"/>
    <w:rsid w:val="007A6010"/>
    <w:rsid w:val="007A6D2D"/>
    <w:rsid w:val="007A78FC"/>
    <w:rsid w:val="007B0DA2"/>
    <w:rsid w:val="007B1246"/>
    <w:rsid w:val="007B3EAB"/>
    <w:rsid w:val="007B6524"/>
    <w:rsid w:val="007B655F"/>
    <w:rsid w:val="007B6DA9"/>
    <w:rsid w:val="007B765A"/>
    <w:rsid w:val="007C164D"/>
    <w:rsid w:val="007C2C7A"/>
    <w:rsid w:val="007C39E5"/>
    <w:rsid w:val="007C3E94"/>
    <w:rsid w:val="007C3FD3"/>
    <w:rsid w:val="007C4D48"/>
    <w:rsid w:val="007C5E6C"/>
    <w:rsid w:val="007C6A66"/>
    <w:rsid w:val="007D1A74"/>
    <w:rsid w:val="007D3841"/>
    <w:rsid w:val="007D489C"/>
    <w:rsid w:val="007D5313"/>
    <w:rsid w:val="007D540C"/>
    <w:rsid w:val="007D6133"/>
    <w:rsid w:val="007D6523"/>
    <w:rsid w:val="007D7654"/>
    <w:rsid w:val="007D7A90"/>
    <w:rsid w:val="007D7EAE"/>
    <w:rsid w:val="007E12B3"/>
    <w:rsid w:val="007E184D"/>
    <w:rsid w:val="007E1930"/>
    <w:rsid w:val="007E1B7C"/>
    <w:rsid w:val="007E1FAC"/>
    <w:rsid w:val="007E2104"/>
    <w:rsid w:val="007E2639"/>
    <w:rsid w:val="007E2968"/>
    <w:rsid w:val="007E635C"/>
    <w:rsid w:val="007E6776"/>
    <w:rsid w:val="007E6863"/>
    <w:rsid w:val="007E70BA"/>
    <w:rsid w:val="007E7B15"/>
    <w:rsid w:val="007F0721"/>
    <w:rsid w:val="007F0DE7"/>
    <w:rsid w:val="007F13D6"/>
    <w:rsid w:val="007F1AF6"/>
    <w:rsid w:val="007F2357"/>
    <w:rsid w:val="007F26D0"/>
    <w:rsid w:val="007F3EBC"/>
    <w:rsid w:val="007F504F"/>
    <w:rsid w:val="007F6838"/>
    <w:rsid w:val="007F6980"/>
    <w:rsid w:val="007F6FD4"/>
    <w:rsid w:val="007F7ACE"/>
    <w:rsid w:val="008017EA"/>
    <w:rsid w:val="00801983"/>
    <w:rsid w:val="00801AEA"/>
    <w:rsid w:val="00801DC5"/>
    <w:rsid w:val="00802F69"/>
    <w:rsid w:val="00803AE1"/>
    <w:rsid w:val="00804289"/>
    <w:rsid w:val="008052F6"/>
    <w:rsid w:val="00806145"/>
    <w:rsid w:val="0080735C"/>
    <w:rsid w:val="00810D30"/>
    <w:rsid w:val="00813584"/>
    <w:rsid w:val="00815F95"/>
    <w:rsid w:val="00816A77"/>
    <w:rsid w:val="00817509"/>
    <w:rsid w:val="00820B56"/>
    <w:rsid w:val="008260CF"/>
    <w:rsid w:val="008304D9"/>
    <w:rsid w:val="00832B06"/>
    <w:rsid w:val="00832E3B"/>
    <w:rsid w:val="00834F73"/>
    <w:rsid w:val="00835DA4"/>
    <w:rsid w:val="00841952"/>
    <w:rsid w:val="008426C1"/>
    <w:rsid w:val="00842F39"/>
    <w:rsid w:val="008437FA"/>
    <w:rsid w:val="008462CC"/>
    <w:rsid w:val="008515BF"/>
    <w:rsid w:val="00851CE2"/>
    <w:rsid w:val="008525C3"/>
    <w:rsid w:val="00853855"/>
    <w:rsid w:val="00854324"/>
    <w:rsid w:val="0085446F"/>
    <w:rsid w:val="00854AA8"/>
    <w:rsid w:val="00854EEC"/>
    <w:rsid w:val="00855926"/>
    <w:rsid w:val="008569E5"/>
    <w:rsid w:val="00857984"/>
    <w:rsid w:val="00860610"/>
    <w:rsid w:val="008625A5"/>
    <w:rsid w:val="008645CE"/>
    <w:rsid w:val="0086551C"/>
    <w:rsid w:val="0086671D"/>
    <w:rsid w:val="008671C3"/>
    <w:rsid w:val="00867E2F"/>
    <w:rsid w:val="00870BB6"/>
    <w:rsid w:val="008714C9"/>
    <w:rsid w:val="00871505"/>
    <w:rsid w:val="008724FF"/>
    <w:rsid w:val="00872752"/>
    <w:rsid w:val="00872FE4"/>
    <w:rsid w:val="0087331A"/>
    <w:rsid w:val="00873AA0"/>
    <w:rsid w:val="008740C8"/>
    <w:rsid w:val="00874F76"/>
    <w:rsid w:val="008807C0"/>
    <w:rsid w:val="00881865"/>
    <w:rsid w:val="008820BC"/>
    <w:rsid w:val="0088469E"/>
    <w:rsid w:val="0088536D"/>
    <w:rsid w:val="008853CC"/>
    <w:rsid w:val="00886B86"/>
    <w:rsid w:val="0088758A"/>
    <w:rsid w:val="00890BFE"/>
    <w:rsid w:val="00894741"/>
    <w:rsid w:val="00896375"/>
    <w:rsid w:val="00897884"/>
    <w:rsid w:val="008A009E"/>
    <w:rsid w:val="008A0393"/>
    <w:rsid w:val="008A0517"/>
    <w:rsid w:val="008A0C94"/>
    <w:rsid w:val="008A201B"/>
    <w:rsid w:val="008A2551"/>
    <w:rsid w:val="008A2A17"/>
    <w:rsid w:val="008A43FE"/>
    <w:rsid w:val="008A69DA"/>
    <w:rsid w:val="008B016D"/>
    <w:rsid w:val="008B2E84"/>
    <w:rsid w:val="008B3C19"/>
    <w:rsid w:val="008B41CE"/>
    <w:rsid w:val="008B5755"/>
    <w:rsid w:val="008B6005"/>
    <w:rsid w:val="008B73D4"/>
    <w:rsid w:val="008B7497"/>
    <w:rsid w:val="008C1151"/>
    <w:rsid w:val="008C59B3"/>
    <w:rsid w:val="008C660F"/>
    <w:rsid w:val="008C6C59"/>
    <w:rsid w:val="008C7B93"/>
    <w:rsid w:val="008D0875"/>
    <w:rsid w:val="008D0B97"/>
    <w:rsid w:val="008D1C6F"/>
    <w:rsid w:val="008D2ECA"/>
    <w:rsid w:val="008D4F35"/>
    <w:rsid w:val="008D51FD"/>
    <w:rsid w:val="008D5613"/>
    <w:rsid w:val="008E0576"/>
    <w:rsid w:val="008E11E4"/>
    <w:rsid w:val="008E1C6A"/>
    <w:rsid w:val="008E1DC4"/>
    <w:rsid w:val="008E4F49"/>
    <w:rsid w:val="008E4FE0"/>
    <w:rsid w:val="008E5D25"/>
    <w:rsid w:val="008E72AD"/>
    <w:rsid w:val="008F062E"/>
    <w:rsid w:val="008F170D"/>
    <w:rsid w:val="008F1FC1"/>
    <w:rsid w:val="008F35CB"/>
    <w:rsid w:val="008F361F"/>
    <w:rsid w:val="008F3637"/>
    <w:rsid w:val="008F3855"/>
    <w:rsid w:val="008F476A"/>
    <w:rsid w:val="008F54A3"/>
    <w:rsid w:val="008F6D6C"/>
    <w:rsid w:val="008F734A"/>
    <w:rsid w:val="0090080E"/>
    <w:rsid w:val="00902104"/>
    <w:rsid w:val="0090259F"/>
    <w:rsid w:val="00903E3C"/>
    <w:rsid w:val="00904330"/>
    <w:rsid w:val="00905A99"/>
    <w:rsid w:val="009063E2"/>
    <w:rsid w:val="00906B36"/>
    <w:rsid w:val="00906DA4"/>
    <w:rsid w:val="009078AF"/>
    <w:rsid w:val="00907F37"/>
    <w:rsid w:val="00910105"/>
    <w:rsid w:val="00910F32"/>
    <w:rsid w:val="0091105A"/>
    <w:rsid w:val="00911078"/>
    <w:rsid w:val="0091300A"/>
    <w:rsid w:val="009139B9"/>
    <w:rsid w:val="009146E0"/>
    <w:rsid w:val="00914FED"/>
    <w:rsid w:val="00915D58"/>
    <w:rsid w:val="00915EE9"/>
    <w:rsid w:val="00916835"/>
    <w:rsid w:val="00923CB7"/>
    <w:rsid w:val="00924362"/>
    <w:rsid w:val="00924E20"/>
    <w:rsid w:val="00924FCB"/>
    <w:rsid w:val="009273E9"/>
    <w:rsid w:val="00927C9E"/>
    <w:rsid w:val="00930A1B"/>
    <w:rsid w:val="00931AAD"/>
    <w:rsid w:val="0093293C"/>
    <w:rsid w:val="009332BD"/>
    <w:rsid w:val="00935897"/>
    <w:rsid w:val="00935D72"/>
    <w:rsid w:val="009373E2"/>
    <w:rsid w:val="00937CFE"/>
    <w:rsid w:val="00941221"/>
    <w:rsid w:val="009412CA"/>
    <w:rsid w:val="00941531"/>
    <w:rsid w:val="00943215"/>
    <w:rsid w:val="009437BF"/>
    <w:rsid w:val="009438B7"/>
    <w:rsid w:val="00944B62"/>
    <w:rsid w:val="00944F68"/>
    <w:rsid w:val="00945588"/>
    <w:rsid w:val="0094709A"/>
    <w:rsid w:val="009503C6"/>
    <w:rsid w:val="009506B0"/>
    <w:rsid w:val="009514E4"/>
    <w:rsid w:val="00951F62"/>
    <w:rsid w:val="00952817"/>
    <w:rsid w:val="009535BF"/>
    <w:rsid w:val="009538CD"/>
    <w:rsid w:val="009546D2"/>
    <w:rsid w:val="0095569F"/>
    <w:rsid w:val="0095591E"/>
    <w:rsid w:val="00957070"/>
    <w:rsid w:val="00964CB8"/>
    <w:rsid w:val="009656FB"/>
    <w:rsid w:val="009659BD"/>
    <w:rsid w:val="00967A65"/>
    <w:rsid w:val="00970AF9"/>
    <w:rsid w:val="00971A13"/>
    <w:rsid w:val="00971D0D"/>
    <w:rsid w:val="00972CB4"/>
    <w:rsid w:val="009749CA"/>
    <w:rsid w:val="00975620"/>
    <w:rsid w:val="0097618A"/>
    <w:rsid w:val="00981890"/>
    <w:rsid w:val="009829FB"/>
    <w:rsid w:val="009833F0"/>
    <w:rsid w:val="009849E3"/>
    <w:rsid w:val="00984C76"/>
    <w:rsid w:val="00990734"/>
    <w:rsid w:val="0099109D"/>
    <w:rsid w:val="0099200A"/>
    <w:rsid w:val="00992966"/>
    <w:rsid w:val="009930B4"/>
    <w:rsid w:val="00993D01"/>
    <w:rsid w:val="00995289"/>
    <w:rsid w:val="009A0570"/>
    <w:rsid w:val="009A0911"/>
    <w:rsid w:val="009A0D29"/>
    <w:rsid w:val="009A1557"/>
    <w:rsid w:val="009A17B5"/>
    <w:rsid w:val="009A2AAC"/>
    <w:rsid w:val="009A42FE"/>
    <w:rsid w:val="009B47F0"/>
    <w:rsid w:val="009B7D04"/>
    <w:rsid w:val="009C13DF"/>
    <w:rsid w:val="009C16C7"/>
    <w:rsid w:val="009C28F9"/>
    <w:rsid w:val="009C2BAD"/>
    <w:rsid w:val="009C4BCF"/>
    <w:rsid w:val="009C4DC8"/>
    <w:rsid w:val="009C6205"/>
    <w:rsid w:val="009C6D65"/>
    <w:rsid w:val="009C703E"/>
    <w:rsid w:val="009C7C9D"/>
    <w:rsid w:val="009D0B4C"/>
    <w:rsid w:val="009D11E7"/>
    <w:rsid w:val="009D198E"/>
    <w:rsid w:val="009D2BF7"/>
    <w:rsid w:val="009D3053"/>
    <w:rsid w:val="009D4725"/>
    <w:rsid w:val="009D4A0F"/>
    <w:rsid w:val="009D5487"/>
    <w:rsid w:val="009D54B6"/>
    <w:rsid w:val="009D59FC"/>
    <w:rsid w:val="009D75B0"/>
    <w:rsid w:val="009E1729"/>
    <w:rsid w:val="009E1739"/>
    <w:rsid w:val="009E29F4"/>
    <w:rsid w:val="009E314C"/>
    <w:rsid w:val="009E3DAF"/>
    <w:rsid w:val="009E4357"/>
    <w:rsid w:val="009E664A"/>
    <w:rsid w:val="009E691F"/>
    <w:rsid w:val="009E6AD7"/>
    <w:rsid w:val="009E7390"/>
    <w:rsid w:val="009F02CE"/>
    <w:rsid w:val="009F0A0F"/>
    <w:rsid w:val="009F0C2C"/>
    <w:rsid w:val="009F255D"/>
    <w:rsid w:val="009F3208"/>
    <w:rsid w:val="009F5152"/>
    <w:rsid w:val="009F5748"/>
    <w:rsid w:val="009F5F4E"/>
    <w:rsid w:val="009F6276"/>
    <w:rsid w:val="009F683E"/>
    <w:rsid w:val="009F7847"/>
    <w:rsid w:val="009F7E12"/>
    <w:rsid w:val="00A00EDA"/>
    <w:rsid w:val="00A018BA"/>
    <w:rsid w:val="00A022B2"/>
    <w:rsid w:val="00A05E86"/>
    <w:rsid w:val="00A073DF"/>
    <w:rsid w:val="00A1057B"/>
    <w:rsid w:val="00A11649"/>
    <w:rsid w:val="00A11BF6"/>
    <w:rsid w:val="00A13C5F"/>
    <w:rsid w:val="00A15968"/>
    <w:rsid w:val="00A159EF"/>
    <w:rsid w:val="00A170D4"/>
    <w:rsid w:val="00A17E64"/>
    <w:rsid w:val="00A20063"/>
    <w:rsid w:val="00A200FE"/>
    <w:rsid w:val="00A21545"/>
    <w:rsid w:val="00A21C38"/>
    <w:rsid w:val="00A2270D"/>
    <w:rsid w:val="00A26E5F"/>
    <w:rsid w:val="00A26ECA"/>
    <w:rsid w:val="00A30057"/>
    <w:rsid w:val="00A303D7"/>
    <w:rsid w:val="00A33F8C"/>
    <w:rsid w:val="00A369F5"/>
    <w:rsid w:val="00A40BF3"/>
    <w:rsid w:val="00A41D21"/>
    <w:rsid w:val="00A43C54"/>
    <w:rsid w:val="00A43EA2"/>
    <w:rsid w:val="00A4411F"/>
    <w:rsid w:val="00A449F0"/>
    <w:rsid w:val="00A44AC1"/>
    <w:rsid w:val="00A46A68"/>
    <w:rsid w:val="00A52D52"/>
    <w:rsid w:val="00A53A9D"/>
    <w:rsid w:val="00A55349"/>
    <w:rsid w:val="00A57B55"/>
    <w:rsid w:val="00A614B3"/>
    <w:rsid w:val="00A64731"/>
    <w:rsid w:val="00A648C3"/>
    <w:rsid w:val="00A7141D"/>
    <w:rsid w:val="00A72CB4"/>
    <w:rsid w:val="00A74E74"/>
    <w:rsid w:val="00A76A70"/>
    <w:rsid w:val="00A77D4A"/>
    <w:rsid w:val="00A811B6"/>
    <w:rsid w:val="00A815FF"/>
    <w:rsid w:val="00A81F08"/>
    <w:rsid w:val="00A860A3"/>
    <w:rsid w:val="00A86A8E"/>
    <w:rsid w:val="00A86D19"/>
    <w:rsid w:val="00A90385"/>
    <w:rsid w:val="00A9046C"/>
    <w:rsid w:val="00A90B75"/>
    <w:rsid w:val="00A92630"/>
    <w:rsid w:val="00A92C7F"/>
    <w:rsid w:val="00A96C89"/>
    <w:rsid w:val="00A97D9A"/>
    <w:rsid w:val="00AA0040"/>
    <w:rsid w:val="00AA2F6A"/>
    <w:rsid w:val="00AA4D7E"/>
    <w:rsid w:val="00AA65B0"/>
    <w:rsid w:val="00AA77F0"/>
    <w:rsid w:val="00AB2129"/>
    <w:rsid w:val="00AB30C1"/>
    <w:rsid w:val="00AB4887"/>
    <w:rsid w:val="00AB78FE"/>
    <w:rsid w:val="00AB7BC1"/>
    <w:rsid w:val="00AB7E68"/>
    <w:rsid w:val="00AC07A2"/>
    <w:rsid w:val="00AC4696"/>
    <w:rsid w:val="00AC7104"/>
    <w:rsid w:val="00AC71AE"/>
    <w:rsid w:val="00AC7D6E"/>
    <w:rsid w:val="00AC7FE7"/>
    <w:rsid w:val="00AD068E"/>
    <w:rsid w:val="00AD0C08"/>
    <w:rsid w:val="00AD1390"/>
    <w:rsid w:val="00AD279F"/>
    <w:rsid w:val="00AD2DED"/>
    <w:rsid w:val="00AD4A71"/>
    <w:rsid w:val="00AE49DE"/>
    <w:rsid w:val="00AE5123"/>
    <w:rsid w:val="00AE63EC"/>
    <w:rsid w:val="00AE6FB3"/>
    <w:rsid w:val="00AE7E8A"/>
    <w:rsid w:val="00AF237A"/>
    <w:rsid w:val="00AF4067"/>
    <w:rsid w:val="00AF4782"/>
    <w:rsid w:val="00AF590C"/>
    <w:rsid w:val="00AF5CB7"/>
    <w:rsid w:val="00AF6F62"/>
    <w:rsid w:val="00AF737A"/>
    <w:rsid w:val="00B0157B"/>
    <w:rsid w:val="00B01B1D"/>
    <w:rsid w:val="00B04D78"/>
    <w:rsid w:val="00B05EA5"/>
    <w:rsid w:val="00B06178"/>
    <w:rsid w:val="00B06828"/>
    <w:rsid w:val="00B07119"/>
    <w:rsid w:val="00B1244D"/>
    <w:rsid w:val="00B12A6A"/>
    <w:rsid w:val="00B130C3"/>
    <w:rsid w:val="00B1332F"/>
    <w:rsid w:val="00B15BFC"/>
    <w:rsid w:val="00B15D1B"/>
    <w:rsid w:val="00B16206"/>
    <w:rsid w:val="00B16BC7"/>
    <w:rsid w:val="00B17E87"/>
    <w:rsid w:val="00B212CF"/>
    <w:rsid w:val="00B21930"/>
    <w:rsid w:val="00B252F1"/>
    <w:rsid w:val="00B259DE"/>
    <w:rsid w:val="00B2782B"/>
    <w:rsid w:val="00B27900"/>
    <w:rsid w:val="00B279E9"/>
    <w:rsid w:val="00B300AE"/>
    <w:rsid w:val="00B30690"/>
    <w:rsid w:val="00B3203C"/>
    <w:rsid w:val="00B33D33"/>
    <w:rsid w:val="00B36FB0"/>
    <w:rsid w:val="00B41C7A"/>
    <w:rsid w:val="00B4226A"/>
    <w:rsid w:val="00B4358B"/>
    <w:rsid w:val="00B46448"/>
    <w:rsid w:val="00B472A4"/>
    <w:rsid w:val="00B50544"/>
    <w:rsid w:val="00B50D97"/>
    <w:rsid w:val="00B50E8F"/>
    <w:rsid w:val="00B5201C"/>
    <w:rsid w:val="00B52344"/>
    <w:rsid w:val="00B52A5F"/>
    <w:rsid w:val="00B537E0"/>
    <w:rsid w:val="00B53C64"/>
    <w:rsid w:val="00B545A3"/>
    <w:rsid w:val="00B54948"/>
    <w:rsid w:val="00B55D40"/>
    <w:rsid w:val="00B55F42"/>
    <w:rsid w:val="00B564D9"/>
    <w:rsid w:val="00B56636"/>
    <w:rsid w:val="00B5712B"/>
    <w:rsid w:val="00B60071"/>
    <w:rsid w:val="00B60EBE"/>
    <w:rsid w:val="00B6202E"/>
    <w:rsid w:val="00B635B7"/>
    <w:rsid w:val="00B6471A"/>
    <w:rsid w:val="00B67930"/>
    <w:rsid w:val="00B70350"/>
    <w:rsid w:val="00B711CD"/>
    <w:rsid w:val="00B71AC9"/>
    <w:rsid w:val="00B72271"/>
    <w:rsid w:val="00B74262"/>
    <w:rsid w:val="00B744B6"/>
    <w:rsid w:val="00B74505"/>
    <w:rsid w:val="00B75136"/>
    <w:rsid w:val="00B80F9B"/>
    <w:rsid w:val="00B811E6"/>
    <w:rsid w:val="00B83960"/>
    <w:rsid w:val="00B83E28"/>
    <w:rsid w:val="00B85B3F"/>
    <w:rsid w:val="00B870B8"/>
    <w:rsid w:val="00B91747"/>
    <w:rsid w:val="00B92108"/>
    <w:rsid w:val="00B92E76"/>
    <w:rsid w:val="00B936AF"/>
    <w:rsid w:val="00B93C19"/>
    <w:rsid w:val="00B94633"/>
    <w:rsid w:val="00B94F64"/>
    <w:rsid w:val="00B9506E"/>
    <w:rsid w:val="00B95D32"/>
    <w:rsid w:val="00B96842"/>
    <w:rsid w:val="00B9756F"/>
    <w:rsid w:val="00BA0310"/>
    <w:rsid w:val="00BA1208"/>
    <w:rsid w:val="00BA18F3"/>
    <w:rsid w:val="00BA3D56"/>
    <w:rsid w:val="00BA403A"/>
    <w:rsid w:val="00BA4B50"/>
    <w:rsid w:val="00BA68AA"/>
    <w:rsid w:val="00BA6CD6"/>
    <w:rsid w:val="00BB1380"/>
    <w:rsid w:val="00BB1550"/>
    <w:rsid w:val="00BB4858"/>
    <w:rsid w:val="00BB589E"/>
    <w:rsid w:val="00BB6936"/>
    <w:rsid w:val="00BB7592"/>
    <w:rsid w:val="00BB76C4"/>
    <w:rsid w:val="00BC015C"/>
    <w:rsid w:val="00BC181A"/>
    <w:rsid w:val="00BC1B2E"/>
    <w:rsid w:val="00BC1D02"/>
    <w:rsid w:val="00BC1D67"/>
    <w:rsid w:val="00BC4400"/>
    <w:rsid w:val="00BC5D66"/>
    <w:rsid w:val="00BC6EB2"/>
    <w:rsid w:val="00BC7106"/>
    <w:rsid w:val="00BC7FFB"/>
    <w:rsid w:val="00BD0068"/>
    <w:rsid w:val="00BD0B1A"/>
    <w:rsid w:val="00BD27AC"/>
    <w:rsid w:val="00BD2E40"/>
    <w:rsid w:val="00BD38AD"/>
    <w:rsid w:val="00BD3C2A"/>
    <w:rsid w:val="00BD4574"/>
    <w:rsid w:val="00BD5316"/>
    <w:rsid w:val="00BD54E6"/>
    <w:rsid w:val="00BD5560"/>
    <w:rsid w:val="00BD59D8"/>
    <w:rsid w:val="00BD67D6"/>
    <w:rsid w:val="00BD6EA8"/>
    <w:rsid w:val="00BD6EF8"/>
    <w:rsid w:val="00BE0D68"/>
    <w:rsid w:val="00BE4469"/>
    <w:rsid w:val="00BE4597"/>
    <w:rsid w:val="00BF0201"/>
    <w:rsid w:val="00BF1E2E"/>
    <w:rsid w:val="00BF1F55"/>
    <w:rsid w:val="00BF62F9"/>
    <w:rsid w:val="00BF68A1"/>
    <w:rsid w:val="00BF6E6B"/>
    <w:rsid w:val="00BF7724"/>
    <w:rsid w:val="00C00570"/>
    <w:rsid w:val="00C01318"/>
    <w:rsid w:val="00C0247B"/>
    <w:rsid w:val="00C02B2D"/>
    <w:rsid w:val="00C02BA0"/>
    <w:rsid w:val="00C03FC8"/>
    <w:rsid w:val="00C05820"/>
    <w:rsid w:val="00C14304"/>
    <w:rsid w:val="00C15D86"/>
    <w:rsid w:val="00C2065E"/>
    <w:rsid w:val="00C212F6"/>
    <w:rsid w:val="00C22D71"/>
    <w:rsid w:val="00C24083"/>
    <w:rsid w:val="00C25E00"/>
    <w:rsid w:val="00C26595"/>
    <w:rsid w:val="00C26C7D"/>
    <w:rsid w:val="00C26EDB"/>
    <w:rsid w:val="00C27895"/>
    <w:rsid w:val="00C30D25"/>
    <w:rsid w:val="00C31389"/>
    <w:rsid w:val="00C31A85"/>
    <w:rsid w:val="00C364B8"/>
    <w:rsid w:val="00C37580"/>
    <w:rsid w:val="00C376FE"/>
    <w:rsid w:val="00C37BD0"/>
    <w:rsid w:val="00C37C4B"/>
    <w:rsid w:val="00C37D42"/>
    <w:rsid w:val="00C4126E"/>
    <w:rsid w:val="00C41508"/>
    <w:rsid w:val="00C4361E"/>
    <w:rsid w:val="00C43AF1"/>
    <w:rsid w:val="00C4499B"/>
    <w:rsid w:val="00C45B15"/>
    <w:rsid w:val="00C46E23"/>
    <w:rsid w:val="00C515D2"/>
    <w:rsid w:val="00C5307E"/>
    <w:rsid w:val="00C534E3"/>
    <w:rsid w:val="00C54B1D"/>
    <w:rsid w:val="00C55FAA"/>
    <w:rsid w:val="00C56EEF"/>
    <w:rsid w:val="00C576B7"/>
    <w:rsid w:val="00C5779B"/>
    <w:rsid w:val="00C616EF"/>
    <w:rsid w:val="00C62EE5"/>
    <w:rsid w:val="00C6458B"/>
    <w:rsid w:val="00C66FFA"/>
    <w:rsid w:val="00C72BEB"/>
    <w:rsid w:val="00C7393D"/>
    <w:rsid w:val="00C73D55"/>
    <w:rsid w:val="00C752F6"/>
    <w:rsid w:val="00C76318"/>
    <w:rsid w:val="00C7720D"/>
    <w:rsid w:val="00C77672"/>
    <w:rsid w:val="00C77A0F"/>
    <w:rsid w:val="00C80905"/>
    <w:rsid w:val="00C827F9"/>
    <w:rsid w:val="00C82C5B"/>
    <w:rsid w:val="00C83197"/>
    <w:rsid w:val="00C8541A"/>
    <w:rsid w:val="00C868D3"/>
    <w:rsid w:val="00C874D3"/>
    <w:rsid w:val="00C87DFE"/>
    <w:rsid w:val="00C905B2"/>
    <w:rsid w:val="00C92566"/>
    <w:rsid w:val="00C96E19"/>
    <w:rsid w:val="00CA0F36"/>
    <w:rsid w:val="00CA17A0"/>
    <w:rsid w:val="00CA2213"/>
    <w:rsid w:val="00CA316E"/>
    <w:rsid w:val="00CA47D6"/>
    <w:rsid w:val="00CA48BE"/>
    <w:rsid w:val="00CA5EBD"/>
    <w:rsid w:val="00CA6ABF"/>
    <w:rsid w:val="00CA70C8"/>
    <w:rsid w:val="00CA7A58"/>
    <w:rsid w:val="00CB0165"/>
    <w:rsid w:val="00CB04ED"/>
    <w:rsid w:val="00CB06AB"/>
    <w:rsid w:val="00CB43CB"/>
    <w:rsid w:val="00CB76FD"/>
    <w:rsid w:val="00CB7FB1"/>
    <w:rsid w:val="00CC053E"/>
    <w:rsid w:val="00CC31D8"/>
    <w:rsid w:val="00CC36A6"/>
    <w:rsid w:val="00CC3784"/>
    <w:rsid w:val="00CC37EB"/>
    <w:rsid w:val="00CC4782"/>
    <w:rsid w:val="00CD1A9F"/>
    <w:rsid w:val="00CD2703"/>
    <w:rsid w:val="00CD3329"/>
    <w:rsid w:val="00CD3FB3"/>
    <w:rsid w:val="00CD4505"/>
    <w:rsid w:val="00CD5432"/>
    <w:rsid w:val="00CD578A"/>
    <w:rsid w:val="00CD62DC"/>
    <w:rsid w:val="00CD6B36"/>
    <w:rsid w:val="00CD77E4"/>
    <w:rsid w:val="00CE01B2"/>
    <w:rsid w:val="00CE1591"/>
    <w:rsid w:val="00CE1956"/>
    <w:rsid w:val="00CE1D6B"/>
    <w:rsid w:val="00CE38CF"/>
    <w:rsid w:val="00CE46D7"/>
    <w:rsid w:val="00CE7305"/>
    <w:rsid w:val="00CE7EF2"/>
    <w:rsid w:val="00CF0173"/>
    <w:rsid w:val="00CF1379"/>
    <w:rsid w:val="00CF2690"/>
    <w:rsid w:val="00CF2786"/>
    <w:rsid w:val="00CF3B22"/>
    <w:rsid w:val="00CF3BBF"/>
    <w:rsid w:val="00CF481D"/>
    <w:rsid w:val="00CF5FB5"/>
    <w:rsid w:val="00CF7169"/>
    <w:rsid w:val="00D0217F"/>
    <w:rsid w:val="00D02505"/>
    <w:rsid w:val="00D0281F"/>
    <w:rsid w:val="00D02DED"/>
    <w:rsid w:val="00D05CFC"/>
    <w:rsid w:val="00D06161"/>
    <w:rsid w:val="00D0744F"/>
    <w:rsid w:val="00D07C5F"/>
    <w:rsid w:val="00D10098"/>
    <w:rsid w:val="00D111A9"/>
    <w:rsid w:val="00D12008"/>
    <w:rsid w:val="00D12410"/>
    <w:rsid w:val="00D13989"/>
    <w:rsid w:val="00D14640"/>
    <w:rsid w:val="00D20790"/>
    <w:rsid w:val="00D20E55"/>
    <w:rsid w:val="00D21209"/>
    <w:rsid w:val="00D22C55"/>
    <w:rsid w:val="00D2301D"/>
    <w:rsid w:val="00D23792"/>
    <w:rsid w:val="00D247FF"/>
    <w:rsid w:val="00D24D8D"/>
    <w:rsid w:val="00D25461"/>
    <w:rsid w:val="00D2616F"/>
    <w:rsid w:val="00D2624D"/>
    <w:rsid w:val="00D27DC9"/>
    <w:rsid w:val="00D30774"/>
    <w:rsid w:val="00D319F3"/>
    <w:rsid w:val="00D322C0"/>
    <w:rsid w:val="00D32881"/>
    <w:rsid w:val="00D3298F"/>
    <w:rsid w:val="00D32BB8"/>
    <w:rsid w:val="00D330BF"/>
    <w:rsid w:val="00D337A4"/>
    <w:rsid w:val="00D34E6D"/>
    <w:rsid w:val="00D37D1F"/>
    <w:rsid w:val="00D40A73"/>
    <w:rsid w:val="00D417D7"/>
    <w:rsid w:val="00D430C1"/>
    <w:rsid w:val="00D43330"/>
    <w:rsid w:val="00D434F9"/>
    <w:rsid w:val="00D44281"/>
    <w:rsid w:val="00D46D1F"/>
    <w:rsid w:val="00D47C9A"/>
    <w:rsid w:val="00D504D5"/>
    <w:rsid w:val="00D5323F"/>
    <w:rsid w:val="00D5729F"/>
    <w:rsid w:val="00D57B0A"/>
    <w:rsid w:val="00D61D30"/>
    <w:rsid w:val="00D62A31"/>
    <w:rsid w:val="00D6328A"/>
    <w:rsid w:val="00D63AE0"/>
    <w:rsid w:val="00D65938"/>
    <w:rsid w:val="00D67745"/>
    <w:rsid w:val="00D70471"/>
    <w:rsid w:val="00D71AAE"/>
    <w:rsid w:val="00D72D77"/>
    <w:rsid w:val="00D73DAC"/>
    <w:rsid w:val="00D75878"/>
    <w:rsid w:val="00D768BF"/>
    <w:rsid w:val="00D801EE"/>
    <w:rsid w:val="00D80BEC"/>
    <w:rsid w:val="00D80C0A"/>
    <w:rsid w:val="00D85543"/>
    <w:rsid w:val="00D863D5"/>
    <w:rsid w:val="00D87CB2"/>
    <w:rsid w:val="00D9081B"/>
    <w:rsid w:val="00D908E5"/>
    <w:rsid w:val="00D9162B"/>
    <w:rsid w:val="00D92508"/>
    <w:rsid w:val="00D927ED"/>
    <w:rsid w:val="00D944EC"/>
    <w:rsid w:val="00D967D6"/>
    <w:rsid w:val="00D969EF"/>
    <w:rsid w:val="00D97CF2"/>
    <w:rsid w:val="00DA05F4"/>
    <w:rsid w:val="00DA2AC6"/>
    <w:rsid w:val="00DA3F1D"/>
    <w:rsid w:val="00DA4844"/>
    <w:rsid w:val="00DA58B6"/>
    <w:rsid w:val="00DA6E0D"/>
    <w:rsid w:val="00DA7AE6"/>
    <w:rsid w:val="00DB045E"/>
    <w:rsid w:val="00DB0DF5"/>
    <w:rsid w:val="00DB1941"/>
    <w:rsid w:val="00DB215E"/>
    <w:rsid w:val="00DB3C01"/>
    <w:rsid w:val="00DB3D8C"/>
    <w:rsid w:val="00DB4513"/>
    <w:rsid w:val="00DB512E"/>
    <w:rsid w:val="00DB538B"/>
    <w:rsid w:val="00DB5A80"/>
    <w:rsid w:val="00DB6AB2"/>
    <w:rsid w:val="00DB7517"/>
    <w:rsid w:val="00DB79C2"/>
    <w:rsid w:val="00DB7CF3"/>
    <w:rsid w:val="00DC0F38"/>
    <w:rsid w:val="00DC101D"/>
    <w:rsid w:val="00DC2905"/>
    <w:rsid w:val="00DC322C"/>
    <w:rsid w:val="00DC3716"/>
    <w:rsid w:val="00DC468F"/>
    <w:rsid w:val="00DC5B8B"/>
    <w:rsid w:val="00DC6295"/>
    <w:rsid w:val="00DC7893"/>
    <w:rsid w:val="00DD05FD"/>
    <w:rsid w:val="00DD0693"/>
    <w:rsid w:val="00DD0F0C"/>
    <w:rsid w:val="00DD2B13"/>
    <w:rsid w:val="00DD3119"/>
    <w:rsid w:val="00DD767E"/>
    <w:rsid w:val="00DD7C28"/>
    <w:rsid w:val="00DE0D95"/>
    <w:rsid w:val="00DE1B3F"/>
    <w:rsid w:val="00DE25CA"/>
    <w:rsid w:val="00DE3F21"/>
    <w:rsid w:val="00DE54B0"/>
    <w:rsid w:val="00DE68E5"/>
    <w:rsid w:val="00DE71AE"/>
    <w:rsid w:val="00DE7F68"/>
    <w:rsid w:val="00DF0685"/>
    <w:rsid w:val="00DF2DA5"/>
    <w:rsid w:val="00DF3BD6"/>
    <w:rsid w:val="00E01017"/>
    <w:rsid w:val="00E04004"/>
    <w:rsid w:val="00E04DE1"/>
    <w:rsid w:val="00E0515C"/>
    <w:rsid w:val="00E064B7"/>
    <w:rsid w:val="00E07BBB"/>
    <w:rsid w:val="00E111F7"/>
    <w:rsid w:val="00E1179B"/>
    <w:rsid w:val="00E1226C"/>
    <w:rsid w:val="00E14765"/>
    <w:rsid w:val="00E14C8A"/>
    <w:rsid w:val="00E14F52"/>
    <w:rsid w:val="00E15268"/>
    <w:rsid w:val="00E155B8"/>
    <w:rsid w:val="00E16A4B"/>
    <w:rsid w:val="00E2065F"/>
    <w:rsid w:val="00E21A77"/>
    <w:rsid w:val="00E21D83"/>
    <w:rsid w:val="00E23370"/>
    <w:rsid w:val="00E242E0"/>
    <w:rsid w:val="00E24BB4"/>
    <w:rsid w:val="00E25181"/>
    <w:rsid w:val="00E27794"/>
    <w:rsid w:val="00E27E6E"/>
    <w:rsid w:val="00E30BBB"/>
    <w:rsid w:val="00E3220F"/>
    <w:rsid w:val="00E329C7"/>
    <w:rsid w:val="00E35284"/>
    <w:rsid w:val="00E35BED"/>
    <w:rsid w:val="00E35FE8"/>
    <w:rsid w:val="00E3606A"/>
    <w:rsid w:val="00E3675C"/>
    <w:rsid w:val="00E37A83"/>
    <w:rsid w:val="00E415F4"/>
    <w:rsid w:val="00E42A89"/>
    <w:rsid w:val="00E42DDB"/>
    <w:rsid w:val="00E44148"/>
    <w:rsid w:val="00E4470A"/>
    <w:rsid w:val="00E50106"/>
    <w:rsid w:val="00E5034D"/>
    <w:rsid w:val="00E531AE"/>
    <w:rsid w:val="00E57557"/>
    <w:rsid w:val="00E57A48"/>
    <w:rsid w:val="00E60521"/>
    <w:rsid w:val="00E622B2"/>
    <w:rsid w:val="00E629A6"/>
    <w:rsid w:val="00E62F76"/>
    <w:rsid w:val="00E64AB1"/>
    <w:rsid w:val="00E665D8"/>
    <w:rsid w:val="00E7025B"/>
    <w:rsid w:val="00E70EBA"/>
    <w:rsid w:val="00E71492"/>
    <w:rsid w:val="00E714BF"/>
    <w:rsid w:val="00E7192A"/>
    <w:rsid w:val="00E72478"/>
    <w:rsid w:val="00E73A3B"/>
    <w:rsid w:val="00E75C34"/>
    <w:rsid w:val="00E75CFD"/>
    <w:rsid w:val="00E80477"/>
    <w:rsid w:val="00E82209"/>
    <w:rsid w:val="00E82801"/>
    <w:rsid w:val="00E82A73"/>
    <w:rsid w:val="00E82C37"/>
    <w:rsid w:val="00E83507"/>
    <w:rsid w:val="00E83A0C"/>
    <w:rsid w:val="00E84A0A"/>
    <w:rsid w:val="00E861F7"/>
    <w:rsid w:val="00E862AA"/>
    <w:rsid w:val="00E86397"/>
    <w:rsid w:val="00E86541"/>
    <w:rsid w:val="00E866A5"/>
    <w:rsid w:val="00E86DDB"/>
    <w:rsid w:val="00E87C75"/>
    <w:rsid w:val="00E9016F"/>
    <w:rsid w:val="00E91B1D"/>
    <w:rsid w:val="00E92457"/>
    <w:rsid w:val="00E93764"/>
    <w:rsid w:val="00E94A8F"/>
    <w:rsid w:val="00E9518F"/>
    <w:rsid w:val="00E9589C"/>
    <w:rsid w:val="00E95C65"/>
    <w:rsid w:val="00E95E69"/>
    <w:rsid w:val="00E9623B"/>
    <w:rsid w:val="00E963EA"/>
    <w:rsid w:val="00E97487"/>
    <w:rsid w:val="00EA067E"/>
    <w:rsid w:val="00EA0AAA"/>
    <w:rsid w:val="00EA209F"/>
    <w:rsid w:val="00EA20C4"/>
    <w:rsid w:val="00EA2BCB"/>
    <w:rsid w:val="00EA34D5"/>
    <w:rsid w:val="00EA39B1"/>
    <w:rsid w:val="00EA4C84"/>
    <w:rsid w:val="00EA63EE"/>
    <w:rsid w:val="00EA7206"/>
    <w:rsid w:val="00EA7C89"/>
    <w:rsid w:val="00EB03B0"/>
    <w:rsid w:val="00EB072A"/>
    <w:rsid w:val="00EB1D57"/>
    <w:rsid w:val="00EB2309"/>
    <w:rsid w:val="00EB2B65"/>
    <w:rsid w:val="00EB36A7"/>
    <w:rsid w:val="00EB5226"/>
    <w:rsid w:val="00EB61E8"/>
    <w:rsid w:val="00EB69C6"/>
    <w:rsid w:val="00EB7AFC"/>
    <w:rsid w:val="00EC114C"/>
    <w:rsid w:val="00EC1A91"/>
    <w:rsid w:val="00EC2304"/>
    <w:rsid w:val="00EC2E5A"/>
    <w:rsid w:val="00EC3078"/>
    <w:rsid w:val="00EC6ECD"/>
    <w:rsid w:val="00EC7DBD"/>
    <w:rsid w:val="00ED11CC"/>
    <w:rsid w:val="00ED5F1B"/>
    <w:rsid w:val="00EE1526"/>
    <w:rsid w:val="00EE1C94"/>
    <w:rsid w:val="00EE2286"/>
    <w:rsid w:val="00EE277D"/>
    <w:rsid w:val="00EE334C"/>
    <w:rsid w:val="00EE3FB1"/>
    <w:rsid w:val="00EE5142"/>
    <w:rsid w:val="00EF0A23"/>
    <w:rsid w:val="00EF1355"/>
    <w:rsid w:val="00EF1A2F"/>
    <w:rsid w:val="00EF20C8"/>
    <w:rsid w:val="00EF25FA"/>
    <w:rsid w:val="00EF5861"/>
    <w:rsid w:val="00EF72EA"/>
    <w:rsid w:val="00F0182C"/>
    <w:rsid w:val="00F04C20"/>
    <w:rsid w:val="00F05CF1"/>
    <w:rsid w:val="00F1099F"/>
    <w:rsid w:val="00F109FC"/>
    <w:rsid w:val="00F123A0"/>
    <w:rsid w:val="00F134CD"/>
    <w:rsid w:val="00F1371F"/>
    <w:rsid w:val="00F13B5E"/>
    <w:rsid w:val="00F14AAD"/>
    <w:rsid w:val="00F15D31"/>
    <w:rsid w:val="00F16CFE"/>
    <w:rsid w:val="00F170A8"/>
    <w:rsid w:val="00F221AB"/>
    <w:rsid w:val="00F22556"/>
    <w:rsid w:val="00F22811"/>
    <w:rsid w:val="00F23E74"/>
    <w:rsid w:val="00F24182"/>
    <w:rsid w:val="00F241AB"/>
    <w:rsid w:val="00F25117"/>
    <w:rsid w:val="00F25558"/>
    <w:rsid w:val="00F25C1C"/>
    <w:rsid w:val="00F2649E"/>
    <w:rsid w:val="00F271C0"/>
    <w:rsid w:val="00F27341"/>
    <w:rsid w:val="00F2735C"/>
    <w:rsid w:val="00F3238D"/>
    <w:rsid w:val="00F338B8"/>
    <w:rsid w:val="00F358BF"/>
    <w:rsid w:val="00F37CB4"/>
    <w:rsid w:val="00F408B4"/>
    <w:rsid w:val="00F43FDC"/>
    <w:rsid w:val="00F445A1"/>
    <w:rsid w:val="00F462AF"/>
    <w:rsid w:val="00F47CF1"/>
    <w:rsid w:val="00F52375"/>
    <w:rsid w:val="00F527D4"/>
    <w:rsid w:val="00F54ABB"/>
    <w:rsid w:val="00F54BCF"/>
    <w:rsid w:val="00F55B11"/>
    <w:rsid w:val="00F56FAE"/>
    <w:rsid w:val="00F5791C"/>
    <w:rsid w:val="00F57ADC"/>
    <w:rsid w:val="00F60972"/>
    <w:rsid w:val="00F60983"/>
    <w:rsid w:val="00F637D6"/>
    <w:rsid w:val="00F652C2"/>
    <w:rsid w:val="00F6760D"/>
    <w:rsid w:val="00F67B68"/>
    <w:rsid w:val="00F7155B"/>
    <w:rsid w:val="00F73E81"/>
    <w:rsid w:val="00F74C0C"/>
    <w:rsid w:val="00F75EEA"/>
    <w:rsid w:val="00F76418"/>
    <w:rsid w:val="00F817C8"/>
    <w:rsid w:val="00F82EF7"/>
    <w:rsid w:val="00F863F3"/>
    <w:rsid w:val="00F87783"/>
    <w:rsid w:val="00F913CA"/>
    <w:rsid w:val="00F916BD"/>
    <w:rsid w:val="00F93E9A"/>
    <w:rsid w:val="00F94B40"/>
    <w:rsid w:val="00F9541C"/>
    <w:rsid w:val="00F959B2"/>
    <w:rsid w:val="00F960C5"/>
    <w:rsid w:val="00F96103"/>
    <w:rsid w:val="00F968DA"/>
    <w:rsid w:val="00F970F3"/>
    <w:rsid w:val="00F973C5"/>
    <w:rsid w:val="00FA041D"/>
    <w:rsid w:val="00FA059B"/>
    <w:rsid w:val="00FA1508"/>
    <w:rsid w:val="00FA1B87"/>
    <w:rsid w:val="00FA40A1"/>
    <w:rsid w:val="00FA4391"/>
    <w:rsid w:val="00FA4574"/>
    <w:rsid w:val="00FA6BF1"/>
    <w:rsid w:val="00FA7437"/>
    <w:rsid w:val="00FA7D0F"/>
    <w:rsid w:val="00FA7F03"/>
    <w:rsid w:val="00FB3A1E"/>
    <w:rsid w:val="00FB4707"/>
    <w:rsid w:val="00FB5DDB"/>
    <w:rsid w:val="00FC0C5F"/>
    <w:rsid w:val="00FC24DF"/>
    <w:rsid w:val="00FC29A5"/>
    <w:rsid w:val="00FC2B9E"/>
    <w:rsid w:val="00FC2CB9"/>
    <w:rsid w:val="00FC400E"/>
    <w:rsid w:val="00FC5CBA"/>
    <w:rsid w:val="00FC6E90"/>
    <w:rsid w:val="00FC7557"/>
    <w:rsid w:val="00FD05A4"/>
    <w:rsid w:val="00FD0A85"/>
    <w:rsid w:val="00FD3225"/>
    <w:rsid w:val="00FD391B"/>
    <w:rsid w:val="00FD3C9B"/>
    <w:rsid w:val="00FD3FC4"/>
    <w:rsid w:val="00FD4023"/>
    <w:rsid w:val="00FD4DFD"/>
    <w:rsid w:val="00FD5115"/>
    <w:rsid w:val="00FD52B9"/>
    <w:rsid w:val="00FD7497"/>
    <w:rsid w:val="00FD7D1F"/>
    <w:rsid w:val="00FE0385"/>
    <w:rsid w:val="00FE0439"/>
    <w:rsid w:val="00FE08D0"/>
    <w:rsid w:val="00FE120C"/>
    <w:rsid w:val="00FE2E6A"/>
    <w:rsid w:val="00FE39D3"/>
    <w:rsid w:val="00FE3CCA"/>
    <w:rsid w:val="00FE46A7"/>
    <w:rsid w:val="00FE5C5D"/>
    <w:rsid w:val="00FE5E4D"/>
    <w:rsid w:val="00FE6F59"/>
    <w:rsid w:val="00FE7225"/>
    <w:rsid w:val="00FE7A9D"/>
    <w:rsid w:val="00FF1024"/>
    <w:rsid w:val="00FF105B"/>
    <w:rsid w:val="00FF124A"/>
    <w:rsid w:val="00FF1C80"/>
    <w:rsid w:val="00FF408F"/>
    <w:rsid w:val="00FF4AED"/>
    <w:rsid w:val="00FF60F7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3B11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2C"/>
    <w:pPr>
      <w:spacing w:before="60" w:after="60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F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F1FC1"/>
    <w:pPr>
      <w:keepNext w:val="0"/>
      <w:keepLines w:val="0"/>
      <w:numPr>
        <w:ilvl w:val="2"/>
        <w:numId w:val="2"/>
      </w:numPr>
      <w:spacing w:before="60" w:after="60" w:line="240" w:lineRule="auto"/>
      <w:outlineLvl w:val="2"/>
    </w:pPr>
    <w:rPr>
      <w:rFonts w:ascii="EYInterstate Light" w:eastAsiaTheme="minorHAnsi" w:hAnsi="EYInterstate Light" w:cstheme="minorBidi"/>
      <w:b w:val="0"/>
      <w:bCs w:val="0"/>
      <w:color w:val="auto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76F"/>
  </w:style>
  <w:style w:type="paragraph" w:styleId="Pieddepage">
    <w:name w:val="footer"/>
    <w:basedOn w:val="Normal"/>
    <w:link w:val="PieddepageCar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76F"/>
  </w:style>
  <w:style w:type="paragraph" w:styleId="Paragraphedeliste">
    <w:name w:val="List Paragraph"/>
    <w:basedOn w:val="Normal"/>
    <w:uiPriority w:val="34"/>
    <w:qFormat/>
    <w:rsid w:val="00E23370"/>
    <w:pPr>
      <w:ind w:left="720"/>
      <w:contextualSpacing/>
    </w:pPr>
  </w:style>
  <w:style w:type="paragraph" w:customStyle="1" w:styleId="Default">
    <w:name w:val="Default"/>
    <w:rsid w:val="00B36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7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3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8F1FC1"/>
    <w:rPr>
      <w:rFonts w:ascii="EYInterstate Light" w:hAnsi="EYInterstate Light"/>
      <w:sz w:val="16"/>
      <w:szCs w:val="16"/>
      <w:lang w:val="de-DE"/>
    </w:rPr>
  </w:style>
  <w:style w:type="numbering" w:customStyle="1" w:styleId="ListePP">
    <w:name w:val="Liste PP"/>
    <w:uiPriority w:val="99"/>
    <w:rsid w:val="008F1FC1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semiHidden/>
    <w:rsid w:val="008F1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">
    <w:name w:val="Bullet"/>
    <w:basedOn w:val="Paragraphedeliste"/>
    <w:qFormat/>
    <w:rsid w:val="00FF105B"/>
    <w:pPr>
      <w:numPr>
        <w:numId w:val="3"/>
      </w:numPr>
      <w:spacing w:line="240" w:lineRule="auto"/>
      <w:contextualSpacing w:val="0"/>
    </w:pPr>
    <w:rPr>
      <w:rFonts w:cs="Arial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BBC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BB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BBC"/>
    <w:rPr>
      <w:vertAlign w:val="superscript"/>
    </w:rPr>
  </w:style>
  <w:style w:type="paragraph" w:customStyle="1" w:styleId="FINMAStandardAbsatz">
    <w:name w:val="FINMA Standard Absatz"/>
    <w:basedOn w:val="Normal"/>
    <w:qFormat/>
    <w:rsid w:val="00173722"/>
    <w:pPr>
      <w:spacing w:before="260" w:after="260" w:line="260" w:lineRule="atLeast"/>
      <w:jc w:val="both"/>
    </w:pPr>
    <w:rPr>
      <w:rFonts w:eastAsia="Times New Roman" w:cs="Times New Roman"/>
      <w:szCs w:val="20"/>
    </w:rPr>
  </w:style>
  <w:style w:type="paragraph" w:customStyle="1" w:styleId="FINMAGliederungEbene1">
    <w:name w:val="FINMA Gliederung Ebene 1"/>
    <w:basedOn w:val="Normal"/>
    <w:qFormat/>
    <w:rsid w:val="00173722"/>
    <w:pPr>
      <w:numPr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2">
    <w:name w:val="FINMA Gliederung Ebene 2"/>
    <w:basedOn w:val="Normal"/>
    <w:qFormat/>
    <w:rsid w:val="00173722"/>
    <w:pPr>
      <w:numPr>
        <w:ilvl w:val="1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3">
    <w:name w:val="FINMA Gliederung Ebene 3"/>
    <w:basedOn w:val="Normal"/>
    <w:qFormat/>
    <w:rsid w:val="00173722"/>
    <w:pPr>
      <w:numPr>
        <w:ilvl w:val="2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4">
    <w:name w:val="FINMA Gliederung Ebene 4"/>
    <w:basedOn w:val="Normal"/>
    <w:rsid w:val="00173722"/>
    <w:pPr>
      <w:numPr>
        <w:ilvl w:val="3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EGABox1">
    <w:name w:val="EGA Box1"/>
    <w:basedOn w:val="Normal"/>
    <w:qFormat/>
    <w:rsid w:val="00DE68E5"/>
    <w:pPr>
      <w:keepLines/>
      <w:tabs>
        <w:tab w:val="left" w:pos="27571"/>
        <w:tab w:val="left" w:pos="27996"/>
      </w:tabs>
      <w:autoSpaceDE w:val="0"/>
      <w:autoSpaceDN w:val="0"/>
      <w:adjustRightInd w:val="0"/>
      <w:spacing w:after="140" w:line="240" w:lineRule="atLeast"/>
      <w:ind w:left="357" w:hanging="357"/>
    </w:pPr>
    <w:rPr>
      <w:rFonts w:ascii="Georgia" w:eastAsia="Arial Unicode MS" w:hAnsi="Georgia" w:cs="Arial"/>
      <w:szCs w:val="20"/>
    </w:rPr>
  </w:style>
  <w:style w:type="paragraph" w:customStyle="1" w:styleId="EGANumbered">
    <w:name w:val="EGA Numbered"/>
    <w:basedOn w:val="Paragraphedeliste"/>
    <w:qFormat/>
    <w:rsid w:val="00DE68E5"/>
    <w:pPr>
      <w:numPr>
        <w:numId w:val="7"/>
      </w:numPr>
      <w:autoSpaceDE w:val="0"/>
      <w:autoSpaceDN w:val="0"/>
      <w:adjustRightInd w:val="0"/>
      <w:spacing w:after="140" w:line="240" w:lineRule="atLeast"/>
      <w:contextualSpacing w:val="0"/>
    </w:pPr>
    <w:rPr>
      <w:rFonts w:ascii="Georgia" w:eastAsia="Arial Unicode MS" w:hAnsi="Georgia" w:cs="Arial"/>
      <w:color w:val="000000"/>
      <w:szCs w:val="20"/>
    </w:rPr>
  </w:style>
  <w:style w:type="paragraph" w:customStyle="1" w:styleId="TabellenTextBlocksatz">
    <w:name w:val="Tabellen Text Blocksatz"/>
    <w:basedOn w:val="Normal"/>
    <w:qFormat/>
    <w:rsid w:val="00C03FC8"/>
    <w:pPr>
      <w:widowControl w:val="0"/>
      <w:spacing w:before="40" w:after="40" w:line="240" w:lineRule="auto"/>
      <w:jc w:val="both"/>
    </w:pPr>
    <w:rPr>
      <w:rFonts w:ascii="Univers 45 Light" w:eastAsiaTheme="minorEastAsia" w:hAnsi="Univers 45 Light"/>
    </w:rPr>
  </w:style>
  <w:style w:type="paragraph" w:styleId="Rvision">
    <w:name w:val="Revision"/>
    <w:hidden/>
    <w:uiPriority w:val="99"/>
    <w:semiHidden/>
    <w:rsid w:val="00E714B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2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7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8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9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22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13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57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81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2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2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76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8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8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6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07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6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71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17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9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2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5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94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2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52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24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89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1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7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5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8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0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9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5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3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853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8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41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4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7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7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2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17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14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4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7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1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1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32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8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30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1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0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9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5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6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48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40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19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1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62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0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40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05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28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74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2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762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8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21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93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1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18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1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7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28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48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32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2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7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25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35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50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71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4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18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77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37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5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1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0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49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1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6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89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74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50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69bcf4-53cf-403b-9048-936b1531f1ad">
      <Value>1</Value>
    </TaxCatchAll>
    <Aktionswert xmlns="6a69bcf4-53cf-403b-9048-936b1531f1ad" xsi:nil="true"/>
    <_dlc_DocId xmlns="6a69bcf4-53cf-403b-9048-936b1531f1ad">G01315675-000151</_dlc_DocId>
    <_dlc_DocIdUrl xmlns="6a69bcf4-53cf-403b-9048-936b1531f1ad">
      <Url>https://gdok.finma.ch/container/1446/_layouts/15/DocIdRedir.aspx?ID=G01315675-000151</Url>
      <Description>G01315675-000151</Description>
    </_dlc_DocIdUrl>
    <FinmaPasswordProtected xmlns="6a69bcf4-53cf-403b-9048-936b1531f1ad">false</FinmaPasswordProtected>
    <f6ac7f7711e24d149a1ab98f6cfad432 xmlns="6a69bcf4-53cf-403b-9048-936b1531f1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7439e81f-a110-4e88-a7af-acf8d4806223</TermId>
        </TermInfo>
      </Terms>
    </f6ac7f7711e24d149a1ab98f6cfad432>
    <FinmaValidationDate xmlns="6a69bcf4-53cf-403b-9048-936b1531f1ad">2025-03-04T17:10:45+00:00</FinmaValidationDate>
    <FinmaDocumentDate xmlns="6a69bcf4-53cf-403b-9048-936b1531f1ad">2019-04-24T22:00:00+00:00</FinmaDocumentDate>
    <FinmaValidationResult xmlns="6a69bcf4-53cf-403b-9048-936b1531f1ad" xsi:nil="true"/>
    <FinmaObjectName xmlns="6a69bcf4-53cf-403b-9048-936b1531f1ad">Eidgenössische Finanzmarktaufsicht FINMA (F00164912)</FinmaObjectName>
    <h5452bf913d342ef967d06fb0970c0a5 xmlns="6a69bcf4-53cf-403b-9048-936b1531f1ad">
      <Terms xmlns="http://schemas.microsoft.com/office/infopath/2007/PartnerControls"/>
    </h5452bf913d342ef967d06fb0970c0a5>
    <g1c9cab47ab34847b4ac830bba5063b0 xmlns="6a69bcf4-53cf-403b-9048-936b1531f1ad">
      <Terms xmlns="http://schemas.microsoft.com/office/infopath/2007/PartnerControls"/>
    </g1c9cab47ab34847b4ac830bba5063b0>
    <FinmaCaseDescription xmlns="6a69bcf4-53cf-403b-9048-936b1531f1ad">Prüfpunkte (G01315675)</FinmaCaseDescription>
    <FinmaCaseID xmlns="6a69bcf4-53cf-403b-9048-936b1531f1ad">G01315675</FinmaCaseID>
    <n1f5c6536ac648a38ad663cdf8bd44e6 xmlns="6a69bcf4-53cf-403b-9048-936b1531f1ad">
      <Terms xmlns="http://schemas.microsoft.com/office/infopath/2007/PartnerControls"/>
    </n1f5c6536ac648a38ad663cdf8bd44e6>
    <FinmaObjectId xmlns="6a69bcf4-53cf-403b-9048-936b1531f1ad">F00164912</FinmaObjec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Dok Document" ma:contentTypeID="0x0101003A499141982C43AFAF241BDE541C18D50000519DF5795C73439C3BCF439616D716" ma:contentTypeVersion="18" ma:contentTypeDescription="Create a new document." ma:contentTypeScope="" ma:versionID="5c381630b871acccce22cacbe09e4f12">
  <xsd:schema xmlns:xsd="http://www.w3.org/2001/XMLSchema" xmlns:xs="http://www.w3.org/2001/XMLSchema" xmlns:p="http://schemas.microsoft.com/office/2006/metadata/properties" xmlns:ns2="6a69bcf4-53cf-403b-9048-936b1531f1ad" targetNamespace="http://schemas.microsoft.com/office/2006/metadata/properties" ma:root="true" ma:fieldsID="61a41c9784fa14edb8dbfd47816df8c4" ns2:_="">
    <xsd:import namespace="6a69bcf4-53cf-403b-9048-936b1531f1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nmaDocumentDate" minOccurs="0"/>
                <xsd:element ref="ns2:FinmaCaseDescription" minOccurs="0"/>
                <xsd:element ref="ns2:f6ac7f7711e24d149a1ab98f6cfad432" minOccurs="0"/>
                <xsd:element ref="ns2:TaxCatchAll" minOccurs="0"/>
                <xsd:element ref="ns2:TaxCatchAllLabel" minOccurs="0"/>
                <xsd:element ref="ns2:FinmaCaseID" minOccurs="0"/>
                <xsd:element ref="ns2:g1c9cab47ab34847b4ac830bba5063b0" minOccurs="0"/>
                <xsd:element ref="ns2:h5452bf913d342ef967d06fb0970c0a5" minOccurs="0"/>
                <xsd:element ref="ns2:n1f5c6536ac648a38ad663cdf8bd44e6" minOccurs="0"/>
                <xsd:element ref="ns2:FinmaPasswordProtected" minOccurs="0"/>
                <xsd:element ref="ns2:FinmaValidationDate" minOccurs="0"/>
                <xsd:element ref="ns2:FinmaValidationResult" minOccurs="0"/>
                <xsd:element ref="ns2:FinmaObjectId" minOccurs="0"/>
                <xsd:element ref="ns2:FinmaObjectName" minOccurs="0"/>
                <xsd:element ref="ns2:Aktionsw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bcf4-53cf-403b-9048-936b1531f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maDocumentDate" ma:index="11" nillable="true" ma:displayName="Dokument Datum" ma:format="DateOnly" ma:internalName="FinmaDocumentDate">
      <xsd:simpleType>
        <xsd:restriction base="dms:DateTime"/>
      </xsd:simpleType>
    </xsd:element>
    <xsd:element name="FinmaCaseDescription" ma:index="12" nillable="true" ma:displayName="Geschäfts Bezeichnung" ma:default="Prüfpunkte (G01315675)" ma:internalName="FinmaCaseDescription">
      <xsd:simpleType>
        <xsd:restriction base="dms:Text">
          <xsd:maxLength value="255"/>
        </xsd:restriction>
      </xsd:simpleType>
    </xsd:element>
    <xsd:element name="f6ac7f7711e24d149a1ab98f6cfad432" ma:index="13" nillable="true" ma:taxonomy="true" ma:internalName="f6ac7f7711e24d149a1ab98f6cfad432" ma:taxonomyFieldName="FinmaCaseStatus" ma:displayName="Geschäfts Status" ma:default="1;#Aktiv|7439e81f-a110-4e88-a7af-acf8d4806223" ma:fieldId="{f6ac7f77-11e2-4d14-9a1a-b98f6cfad432}" ma:sspId="1614e331-078d-4830-aac2-889f77d1de05" ma:termSetId="fbd22871-fe11-4cfd-b99d-0f5fc7eae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1d897c7-6512-47f2-a160-da422b0663e8}" ma:internalName="TaxCatchAll" ma:showField="CatchAllData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1d897c7-6512-47f2-a160-da422b0663e8}" ma:internalName="TaxCatchAllLabel" ma:readOnly="true" ma:showField="CatchAllDataLabel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maCaseID" ma:index="17" nillable="true" ma:displayName="Geschäfts ID" ma:default="G01315675" ma:internalName="FinmaCaseID">
      <xsd:simpleType>
        <xsd:restriction base="dms:Text">
          <xsd:maxLength value="255"/>
        </xsd:restriction>
      </xsd:simpleType>
    </xsd:element>
    <xsd:element name="g1c9cab47ab34847b4ac830bba5063b0" ma:index="18" nillable="true" ma:taxonomy="true" ma:internalName="g1c9cab47ab34847b4ac830bba5063b0" ma:taxonomyFieldName="FinmaCatchphrases" ma:displayName="Schlagwort" ma:fieldId="{01c9cab4-7ab3-4847-b4ac-830bba5063b0}" ma:taxonomyMulti="true" ma:sspId="1614e331-078d-4830-aac2-889f77d1de05" ma:termSetId="35ed469d-bfb4-4e58-83fd-01918edae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452bf913d342ef967d06fb0970c0a5" ma:index="20" nillable="true" ma:taxonomy="true" ma:internalName="h5452bf913d342ef967d06fb0970c0a5" ma:taxonomyFieldName="FinmaCategory" ma:displayName="Kategorie" ma:fieldId="{15452bf9-13d3-42ef-967d-06fb0970c0a5}" ma:sspId="1614e331-078d-4830-aac2-889f77d1de05" ma:termSetId="76a2fa96-3e9b-4d62-901d-d1895154867f" ma:anchorId="de8e377e-5092-4bcb-9739-6ef0d154a6b9" ma:open="false" ma:isKeyword="false">
      <xsd:complexType>
        <xsd:sequence>
          <xsd:element ref="pc:Terms" minOccurs="0" maxOccurs="1"/>
        </xsd:sequence>
      </xsd:complexType>
    </xsd:element>
    <xsd:element name="n1f5c6536ac648a38ad663cdf8bd44e6" ma:index="22" nillable="true" ma:taxonomy="true" ma:internalName="n1f5c6536ac648a38ad663cdf8bd44e6" ma:taxonomyFieldName="FinmaCrmEntityIDs" ma:displayName="CRM Verknüpfung IDs" ma:fieldId="{71f5c653-6ac6-48a3-8ad6-63cdf8bd44e6}" ma:taxonomyMulti="true" ma:sspId="1614e331-078d-4830-aac2-889f77d1de05" ma:termSetId="82dd8aca-48d0-4b35-8214-4412d12ff6a5" ma:anchorId="014b0467-8825-4d4f-8a01-d04ca28bebe8" ma:open="false" ma:isKeyword="false">
      <xsd:complexType>
        <xsd:sequence>
          <xsd:element ref="pc:Terms" minOccurs="0" maxOccurs="1"/>
        </xsd:sequence>
      </xsd:complexType>
    </xsd:element>
    <xsd:element name="FinmaPasswordProtected" ma:index="24" nillable="true" ma:displayName="Passwortgeschützt" ma:internalName="FinmaPasswordProtected">
      <xsd:simpleType>
        <xsd:restriction base="dms:Boolean"/>
      </xsd:simpleType>
    </xsd:element>
    <xsd:element name="FinmaValidationDate" ma:index="25" nillable="true" ma:displayName="Prüfzeitpunkt" ma:format="DateTime" ma:internalName="FinmaValidationDate">
      <xsd:simpleType>
        <xsd:restriction base="dms:DateTime"/>
      </xsd:simpleType>
    </xsd:element>
    <xsd:element name="FinmaValidationResult" ma:index="27" nillable="true" ma:displayName="ValidationResults" ma:internalName="FinmaValidationResult">
      <xsd:simpleType>
        <xsd:restriction base="dms:Note">
          <xsd:maxLength value="255"/>
        </xsd:restriction>
      </xsd:simpleType>
    </xsd:element>
    <xsd:element name="FinmaObjectId" ma:index="28" nillable="true" ma:displayName="Finma Objekt ID" ma:default="F00164912" ma:internalName="FinmaObjectId">
      <xsd:simpleType>
        <xsd:restriction base="dms:Text">
          <xsd:maxLength value="255"/>
        </xsd:restriction>
      </xsd:simpleType>
    </xsd:element>
    <xsd:element name="FinmaObjectName" ma:index="29" nillable="true" ma:displayName="Finma Objekt Bezeichnung" ma:default="Eidgenössische Finanzmarktaufsicht FINMA (F00164912)" ma:internalName="FinmaObjectName">
      <xsd:simpleType>
        <xsd:restriction base="dms:Text">
          <xsd:maxLength value="255"/>
        </xsd:restriction>
      </xsd:simpleType>
    </xsd:element>
    <xsd:element name="Aktionswert" ma:index="30" nillable="true" ma:displayName="Aktionswert" ma:hidden="true" ma:internalName="Aktionswer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7556E-D757-4339-B321-1AC6486AF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9DB5B-2FFB-454C-B94B-DF47CDD90CB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69bcf4-53cf-403b-9048-936b1531f1ad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6D4B78-7959-4D93-ADCA-11A83E4D87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47376-7868-48A9-89F8-6D4DDA6F1A4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D1E14B-BF80-4DA3-8350-13F7EEB3A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9bcf4-53cf-403b-9048-936b1531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7</ap:Pages>
  <ap:Words>1384</ap:Words>
  <ap:Characters>8720</ap:Characters>
  <ap:DocSecurity>0</ap:DocSecurity>
  <ap:Lines>72</ap:Lines>
  <ap:Paragraphs>20</ap:Paragraphs>
  <ap:ScaleCrop>false</ap:ScaleCrop>
  <ap:HeadingPairs>
    <vt:vector baseType="variant" size="4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10084</ap:CharactersWithSpaces>
  <ap:SharedDoc>false</ap:SharedDoc>
  <ap:HyperlinksChanged>false</ap:HyperlinksChanged>
  <ap:AppVersion>16.0000</ap:AppVersion>
  <ap:Company/>
  <ap:Manager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dcterms:created xsi:type="dcterms:W3CDTF">2025-03-04T16:16:00.0000000Z</dcterms:created>
  <dcterms:modified xsi:type="dcterms:W3CDTF">2025-03-24T13:46:00.0000000Z</dcterms:modified>
  <dc:subject/>
  <category/>
  <keywords/>
  <dc:description/>
  <contentType/>
  <contentStatus/>
  <version/>
  <revision/>
  <dc:language/>
  <dc:identifier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Ordnungsposition">
    <vt:lpwstr>18</vt:lpwstr>
  </op:property>
  <op:property fmtid="{D5CDD505-2E9C-101B-9397-08002B2CF9AE}" pid="4" name="Schlagwort">
    <vt:lpwstr/>
  </op:property>
  <op:property fmtid="{D5CDD505-2E9C-101B-9397-08002B2CF9AE}" pid="5" name="_dlc_DocIdItemGuid">
    <vt:lpwstr>914de082-e883-424c-9983-181fbe927a5b</vt:lpwstr>
  </op:property>
  <op:property fmtid="{D5CDD505-2E9C-101B-9397-08002B2CF9AE}" pid="6" name="Schlagwort KategorieTaxHTField0">
    <vt:lpwstr/>
  </op:property>
  <op:property fmtid="{D5CDD505-2E9C-101B-9397-08002B2CF9AE}" pid="7" name="FinmaReceiver">
    <vt:lpwstr/>
  </op:property>
  <op:property fmtid="{D5CDD505-2E9C-101B-9397-08002B2CF9AE}" pid="8" name="FinmaSender">
    <vt:lpwstr/>
  </op:property>
  <op:property fmtid="{D5CDD505-2E9C-101B-9397-08002B2CF9AE}" pid="9" name="FinmaCrmEntityIDs">
    <vt:lpwstr/>
  </op:property>
  <op:property fmtid="{D5CDD505-2E9C-101B-9397-08002B2CF9AE}" pid="10" name="Schlagwort Kategorie">
    <vt:lpwstr/>
  </op:property>
  <op:property fmtid="{D5CDD505-2E9C-101B-9397-08002B2CF9AE}" pid="11" name="FinmaCatchphrases">
    <vt:lpwstr/>
  </op:property>
  <op:property fmtid="{D5CDD505-2E9C-101B-9397-08002B2CF9AE}" pid="12" name="FinmaCaseStatus">
    <vt:lpwstr>1;#Aktiv|7439e81f-a110-4e88-a7af-acf8d4806223</vt:lpwstr>
  </op:property>
  <op:property fmtid="{D5CDD505-2E9C-101B-9397-08002B2CF9AE}" pid="13" name="FinmaCategory">
    <vt:lpwstr/>
  </op:property>
  <op:property fmtid="{D5CDD505-2E9C-101B-9397-08002B2CF9AE}" pid="14" name="Dossier Typ">
    <vt:lpwstr/>
  </op:property>
  <op:property fmtid="{D5CDD505-2E9C-101B-9397-08002B2CF9AE}" pid="15" name="Kategorie">
    <vt:lpwstr/>
  </op:property>
</op:Properties>
</file>