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5DCCD" w14:textId="77777777" w:rsidR="003A46E8" w:rsidRPr="00B370D3" w:rsidRDefault="003A46E8" w:rsidP="00174AB7">
      <w:pPr>
        <w:rPr>
          <w:rFonts w:cs="Arial"/>
          <w:b/>
          <w:sz w:val="28"/>
          <w:szCs w:val="28"/>
        </w:rPr>
      </w:pPr>
      <w:bookmarkStart w:id="0" w:name="BkMod_000"/>
      <w:r>
        <w:rPr>
          <w:b/>
          <w:sz w:val="28"/>
        </w:rPr>
        <w:t>Prüf</w:t>
      </w:r>
      <w:r w:rsidR="00E379DA">
        <w:rPr>
          <w:b/>
          <w:sz w:val="28"/>
        </w:rPr>
        <w:t>punkte</w:t>
      </w:r>
      <w:r>
        <w:rPr>
          <w:b/>
          <w:sz w:val="28"/>
        </w:rPr>
        <w:t xml:space="preserve"> </w:t>
      </w:r>
      <w:r w:rsidR="003F0F16">
        <w:rPr>
          <w:b/>
          <w:sz w:val="28"/>
        </w:rPr>
        <w:t>zur Einhaltung der Verhaltensregeln zur Marktintegrität</w:t>
      </w:r>
    </w:p>
    <w:p w14:paraId="23545D0C" w14:textId="77777777" w:rsidR="000444E8" w:rsidRDefault="000444E8" w:rsidP="00174AB7">
      <w:pPr>
        <w:rPr>
          <w:b/>
        </w:rPr>
      </w:pPr>
    </w:p>
    <w:p w14:paraId="76824E27" w14:textId="77777777" w:rsidR="003A46E8" w:rsidRPr="00DB7CF3" w:rsidRDefault="003A46E8" w:rsidP="00174AB7">
      <w:pPr>
        <w:rPr>
          <w:rFonts w:cs="Arial"/>
          <w:b/>
        </w:rPr>
      </w:pPr>
      <w:r>
        <w:rPr>
          <w:b/>
        </w:rPr>
        <w:t>Übersicht</w:t>
      </w:r>
    </w:p>
    <w:tbl>
      <w:tblPr>
        <w:tblStyle w:val="Grilledutableau"/>
        <w:tblW w:w="139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1225"/>
      </w:tblGrid>
      <w:tr w:rsidR="003A46E8" w:rsidRPr="00E75CFD" w14:paraId="6A2EF61F" w14:textId="77777777" w:rsidTr="00A77A7B">
        <w:tc>
          <w:tcPr>
            <w:tcW w:w="2694" w:type="dxa"/>
            <w:shd w:val="pct10" w:color="auto" w:fill="auto"/>
          </w:tcPr>
          <w:p w14:paraId="7FFD223A" w14:textId="5294DC42" w:rsidR="003A46E8" w:rsidRPr="000A6BF3" w:rsidRDefault="003A46E8" w:rsidP="000A6BF3">
            <w:pPr>
              <w:tabs>
                <w:tab w:val="left" w:pos="1418"/>
              </w:tabs>
              <w:spacing w:before="60" w:after="60" w:line="240" w:lineRule="auto"/>
              <w:rPr>
                <w:rFonts w:eastAsia="Calibri" w:cs="Arial"/>
                <w:b/>
                <w:szCs w:val="18"/>
              </w:rPr>
            </w:pPr>
            <w:r>
              <w:rPr>
                <w:b/>
              </w:rPr>
              <w:t>Prüf</w:t>
            </w:r>
            <w:r w:rsidR="0018594D">
              <w:rPr>
                <w:b/>
              </w:rPr>
              <w:t>feld</w:t>
            </w:r>
          </w:p>
        </w:tc>
        <w:tc>
          <w:tcPr>
            <w:tcW w:w="11225" w:type="dxa"/>
            <w:shd w:val="pct10" w:color="auto" w:fill="auto"/>
          </w:tcPr>
          <w:p w14:paraId="2D171936" w14:textId="77777777" w:rsidR="003A46E8" w:rsidRPr="00315A8C" w:rsidRDefault="003A46E8" w:rsidP="000A6BF3">
            <w:pPr>
              <w:tabs>
                <w:tab w:val="left" w:pos="1859"/>
              </w:tabs>
              <w:spacing w:before="60" w:after="60" w:line="240" w:lineRule="auto"/>
              <w:rPr>
                <w:rFonts w:eastAsia="Calibri" w:cs="Arial"/>
                <w:b/>
                <w:szCs w:val="18"/>
              </w:rPr>
            </w:pPr>
            <w:r>
              <w:rPr>
                <w:b/>
              </w:rPr>
              <w:t xml:space="preserve">Geschäftsrisiken / Risikomanagement: Einhaltung der Verhaltensregeln zur Marktintegrität </w:t>
            </w:r>
          </w:p>
        </w:tc>
      </w:tr>
      <w:tr w:rsidR="003A46E8" w:rsidRPr="00F6760D" w14:paraId="259677AF" w14:textId="77777777" w:rsidTr="00A77A7B">
        <w:tc>
          <w:tcPr>
            <w:tcW w:w="2694" w:type="dxa"/>
            <w:shd w:val="pct10" w:color="auto" w:fill="auto"/>
          </w:tcPr>
          <w:p w14:paraId="26A4E45F" w14:textId="77777777" w:rsidR="003A46E8" w:rsidRPr="000A6BF3" w:rsidRDefault="003A46E8" w:rsidP="000A6BF3">
            <w:pPr>
              <w:tabs>
                <w:tab w:val="left" w:pos="1418"/>
              </w:tabs>
              <w:spacing w:before="60" w:after="60" w:line="240" w:lineRule="auto"/>
              <w:rPr>
                <w:rFonts w:eastAsia="Calibri" w:cs="Arial"/>
                <w:b/>
                <w:szCs w:val="18"/>
              </w:rPr>
            </w:pPr>
            <w:r>
              <w:rPr>
                <w:b/>
              </w:rPr>
              <w:t>Prüftiefe</w:t>
            </w:r>
          </w:p>
        </w:tc>
        <w:tc>
          <w:tcPr>
            <w:tcW w:w="11225" w:type="dxa"/>
            <w:shd w:val="pct10" w:color="auto" w:fill="auto"/>
          </w:tcPr>
          <w:p w14:paraId="1ED9D393" w14:textId="77777777" w:rsidR="003A46E8" w:rsidRPr="00963F0B" w:rsidRDefault="003A46E8" w:rsidP="000A6BF3">
            <w:pPr>
              <w:tabs>
                <w:tab w:val="left" w:pos="1859"/>
              </w:tabs>
              <w:spacing w:before="60" w:after="60" w:line="240" w:lineRule="auto"/>
              <w:rPr>
                <w:rFonts w:eastAsia="Calibri" w:cs="Arial"/>
                <w:szCs w:val="18"/>
              </w:rPr>
            </w:pPr>
            <w:r w:rsidRPr="00963F0B">
              <w:rPr>
                <w:highlight w:val="yellow"/>
              </w:rPr>
              <w:t>[Prüfung / kritische Beurteilung]</w:t>
            </w:r>
            <w:r w:rsidR="00C43B9D" w:rsidRPr="00963F0B">
              <w:rPr>
                <w:rStyle w:val="Appelnotedebasdep"/>
                <w:highlight w:val="yellow"/>
              </w:rPr>
              <w:footnoteReference w:id="2"/>
            </w:r>
          </w:p>
        </w:tc>
      </w:tr>
      <w:tr w:rsidR="003A46E8" w:rsidRPr="00315A8C" w14:paraId="69C2C371" w14:textId="77777777" w:rsidTr="00A77A7B">
        <w:trPr>
          <w:trHeight w:val="2721"/>
        </w:trPr>
        <w:tc>
          <w:tcPr>
            <w:tcW w:w="2694" w:type="dxa"/>
          </w:tcPr>
          <w:p w14:paraId="187A40C7" w14:textId="77777777" w:rsidR="001903CF" w:rsidRPr="00EB30C0" w:rsidRDefault="001903CF" w:rsidP="00174AB7">
            <w:pPr>
              <w:tabs>
                <w:tab w:val="left" w:pos="1418"/>
              </w:tabs>
              <w:spacing w:line="240" w:lineRule="auto"/>
              <w:rPr>
                <w:rFonts w:cs="Arial"/>
                <w:b/>
              </w:rPr>
            </w:pPr>
            <w:r>
              <w:rPr>
                <w:b/>
              </w:rPr>
              <w:t>Vorschriften</w:t>
            </w:r>
          </w:p>
          <w:p w14:paraId="2513E1B8" w14:textId="77777777" w:rsidR="003A46E8" w:rsidRPr="009438B7" w:rsidRDefault="001903CF" w:rsidP="00781522">
            <w:pPr>
              <w:tabs>
                <w:tab w:val="left" w:pos="1418"/>
              </w:tabs>
              <w:rPr>
                <w:rFonts w:cs="Arial"/>
              </w:rPr>
            </w:pPr>
            <w:r>
              <w:t>(</w:t>
            </w:r>
            <w:r w:rsidR="00781522">
              <w:t xml:space="preserve">Liste ist </w:t>
            </w:r>
            <w:r>
              <w:t>nicht</w:t>
            </w:r>
            <w:r w:rsidR="00781522">
              <w:t xml:space="preserve"> </w:t>
            </w:r>
            <w:r>
              <w:t>abschliessend)</w:t>
            </w:r>
          </w:p>
        </w:tc>
        <w:tc>
          <w:tcPr>
            <w:tcW w:w="11225" w:type="dxa"/>
          </w:tcPr>
          <w:p w14:paraId="06C71801" w14:textId="7C494C27" w:rsidR="00EC206B" w:rsidRDefault="00EC206B" w:rsidP="00EC206B">
            <w:pPr>
              <w:tabs>
                <w:tab w:val="left" w:pos="1859"/>
              </w:tabs>
            </w:pPr>
            <w:r>
              <w:t xml:space="preserve">Art. 3 Abs. 2 Bst. a Bankengesetz </w:t>
            </w:r>
            <w:r w:rsidR="00675FDB" w:rsidRPr="00C31389">
              <w:t xml:space="preserve">vom 8. November 1934 </w:t>
            </w:r>
            <w:r w:rsidR="00675FDB">
              <w:t>(BankG; SR </w:t>
            </w:r>
            <w:r w:rsidR="00675FDB" w:rsidRPr="007A370C">
              <w:rPr>
                <w:i/>
                <w:iCs/>
              </w:rPr>
              <w:t>952.0</w:t>
            </w:r>
            <w:r w:rsidR="00675FDB">
              <w:t>)</w:t>
            </w:r>
          </w:p>
          <w:p w14:paraId="328E68E3" w14:textId="77777777" w:rsidR="00E67F29" w:rsidRDefault="00E67F29" w:rsidP="00E67F29">
            <w:pPr>
              <w:tabs>
                <w:tab w:val="left" w:pos="1859"/>
              </w:tabs>
            </w:pPr>
            <w:r>
              <w:t xml:space="preserve">Art. 12 Verordnung </w:t>
            </w:r>
            <w:r w:rsidRPr="007A2C23">
              <w:t>vom 30. April 2014</w:t>
            </w:r>
            <w:r>
              <w:t xml:space="preserve"> über die Banken und Sparkassen (BankV; SR </w:t>
            </w:r>
            <w:r w:rsidRPr="00FE4DED">
              <w:rPr>
                <w:i/>
                <w:iCs/>
              </w:rPr>
              <w:t>95</w:t>
            </w:r>
            <w:r>
              <w:rPr>
                <w:i/>
                <w:iCs/>
              </w:rPr>
              <w:t>2.02</w:t>
            </w:r>
            <w:r>
              <w:t>)</w:t>
            </w:r>
          </w:p>
          <w:p w14:paraId="1EF08EC5" w14:textId="22FB67A2" w:rsidR="00EC206B" w:rsidRDefault="00EC206B" w:rsidP="00EC206B">
            <w:pPr>
              <w:tabs>
                <w:tab w:val="left" w:pos="1859"/>
              </w:tabs>
            </w:pPr>
            <w:r>
              <w:t xml:space="preserve">Art. 9, 50 und 51 </w:t>
            </w:r>
            <w:r w:rsidR="00675FDB">
              <w:t xml:space="preserve">Bundesgesetz </w:t>
            </w:r>
            <w:r w:rsidR="00675FDB" w:rsidRPr="00710705">
              <w:t>vom 15. Juni 2018</w:t>
            </w:r>
            <w:r w:rsidR="00675FDB">
              <w:t xml:space="preserve"> über die Finanzinstitute (FINIG; SR </w:t>
            </w:r>
            <w:r w:rsidR="00675FDB" w:rsidRPr="0019326D">
              <w:rPr>
                <w:i/>
                <w:iCs/>
              </w:rPr>
              <w:t>95</w:t>
            </w:r>
            <w:r w:rsidR="00675FDB">
              <w:rPr>
                <w:i/>
                <w:iCs/>
              </w:rPr>
              <w:t>4</w:t>
            </w:r>
            <w:r w:rsidR="00675FDB" w:rsidRPr="0019326D">
              <w:rPr>
                <w:i/>
                <w:iCs/>
              </w:rPr>
              <w:t>.1</w:t>
            </w:r>
            <w:r w:rsidR="00675FDB">
              <w:t>)</w:t>
            </w:r>
          </w:p>
          <w:p w14:paraId="1584D42B" w14:textId="1B4DD4BC" w:rsidR="00EC206B" w:rsidRDefault="00EC206B" w:rsidP="00EC206B">
            <w:pPr>
              <w:tabs>
                <w:tab w:val="left" w:pos="1859"/>
              </w:tabs>
            </w:pPr>
            <w:r>
              <w:t>Art. 12, 6</w:t>
            </w:r>
            <w:r w:rsidR="0018594D">
              <w:t xml:space="preserve">7, </w:t>
            </w:r>
            <w:r>
              <w:t xml:space="preserve">68, </w:t>
            </w:r>
            <w:r w:rsidR="0018594D">
              <w:t xml:space="preserve">73, </w:t>
            </w:r>
            <w:r>
              <w:t xml:space="preserve">74 und 75 </w:t>
            </w:r>
            <w:r w:rsidR="00675FDB">
              <w:t xml:space="preserve">Verordnung </w:t>
            </w:r>
            <w:r w:rsidR="00675FDB" w:rsidRPr="00710705">
              <w:t xml:space="preserve">vom 6. November 2019 </w:t>
            </w:r>
            <w:r w:rsidR="00675FDB">
              <w:t>über die Finanzinstitute (FINIV; SR </w:t>
            </w:r>
            <w:r w:rsidR="00675FDB" w:rsidRPr="0019326D">
              <w:rPr>
                <w:i/>
                <w:iCs/>
              </w:rPr>
              <w:t>95</w:t>
            </w:r>
            <w:r w:rsidR="00675FDB">
              <w:rPr>
                <w:i/>
                <w:iCs/>
              </w:rPr>
              <w:t>4</w:t>
            </w:r>
            <w:r w:rsidR="00675FDB" w:rsidRPr="0019326D">
              <w:rPr>
                <w:i/>
                <w:iCs/>
              </w:rPr>
              <w:t>.</w:t>
            </w:r>
            <w:r w:rsidR="00675FDB">
              <w:rPr>
                <w:i/>
                <w:iCs/>
              </w:rPr>
              <w:t>1</w:t>
            </w:r>
            <w:r w:rsidR="00675FDB" w:rsidRPr="0019326D">
              <w:rPr>
                <w:i/>
                <w:iCs/>
              </w:rPr>
              <w:t>1</w:t>
            </w:r>
            <w:r w:rsidR="00675FDB">
              <w:t>)</w:t>
            </w:r>
          </w:p>
          <w:p w14:paraId="23CC347D" w14:textId="7F7133F3" w:rsidR="00EC206B" w:rsidRDefault="003A46E8" w:rsidP="00174AB7">
            <w:pPr>
              <w:tabs>
                <w:tab w:val="left" w:pos="1859"/>
              </w:tabs>
              <w:ind w:left="33" w:hanging="33"/>
            </w:pPr>
            <w:r>
              <w:t>Art.</w:t>
            </w:r>
            <w:r w:rsidR="0078430B">
              <w:t> </w:t>
            </w:r>
            <w:r>
              <w:t>38</w:t>
            </w:r>
            <w:r w:rsidR="0078430B">
              <w:t>–</w:t>
            </w:r>
            <w:r w:rsidR="00B052A8">
              <w:t xml:space="preserve">39, </w:t>
            </w:r>
            <w:r>
              <w:t>142</w:t>
            </w:r>
            <w:r w:rsidR="0078430B">
              <w:t>–</w:t>
            </w:r>
            <w:r>
              <w:t>143</w:t>
            </w:r>
            <w:r w:rsidR="00EC206B">
              <w:t xml:space="preserve"> </w:t>
            </w:r>
            <w:r w:rsidR="00EC206B" w:rsidRPr="00EC206B">
              <w:t>Finanzmarktinfrastrukturgesetz</w:t>
            </w:r>
            <w:r>
              <w:t xml:space="preserve"> </w:t>
            </w:r>
            <w:r w:rsidR="00675FDB" w:rsidRPr="00675FDB">
              <w:t xml:space="preserve">vom 19. Juni 2015 </w:t>
            </w:r>
            <w:r w:rsidR="00EC206B">
              <w:t>(</w:t>
            </w:r>
            <w:r>
              <w:t>FinfraG</w:t>
            </w:r>
            <w:r w:rsidR="00675FDB">
              <w:t xml:space="preserve">; SR </w:t>
            </w:r>
            <w:r w:rsidR="00675FDB" w:rsidRPr="00801977">
              <w:rPr>
                <w:i/>
                <w:iCs/>
              </w:rPr>
              <w:t>958.1</w:t>
            </w:r>
            <w:r w:rsidR="00EC206B">
              <w:t>)</w:t>
            </w:r>
          </w:p>
          <w:p w14:paraId="6C066218" w14:textId="31667619" w:rsidR="00EC206B" w:rsidRDefault="003A46E8" w:rsidP="00174AB7">
            <w:pPr>
              <w:tabs>
                <w:tab w:val="left" w:pos="1859"/>
              </w:tabs>
              <w:ind w:left="33" w:hanging="33"/>
            </w:pPr>
            <w:r>
              <w:t>Art.</w:t>
            </w:r>
            <w:r w:rsidR="0078430B">
              <w:t> </w:t>
            </w:r>
            <w:r>
              <w:t>36</w:t>
            </w:r>
            <w:r w:rsidR="0078430B">
              <w:t>–</w:t>
            </w:r>
            <w:r>
              <w:t xml:space="preserve">37, 122–128 </w:t>
            </w:r>
            <w:r w:rsidR="00EC206B">
              <w:t>Finanzmarktinfrastrukturverordnung</w:t>
            </w:r>
            <w:r w:rsidR="00EC206B" w:rsidRPr="00EC206B">
              <w:t xml:space="preserve"> </w:t>
            </w:r>
            <w:r w:rsidR="00675FDB" w:rsidRPr="00675FDB">
              <w:t xml:space="preserve">vom 25. November 2015 </w:t>
            </w:r>
            <w:r w:rsidR="00EC206B">
              <w:t>(</w:t>
            </w:r>
            <w:r>
              <w:t>FinfraV</w:t>
            </w:r>
            <w:r w:rsidR="00675FDB">
              <w:t xml:space="preserve">; SR </w:t>
            </w:r>
            <w:r w:rsidR="00675FDB" w:rsidRPr="007A370C">
              <w:rPr>
                <w:i/>
                <w:iCs/>
              </w:rPr>
              <w:t>958.</w:t>
            </w:r>
            <w:r w:rsidR="00675FDB">
              <w:rPr>
                <w:i/>
                <w:iCs/>
              </w:rPr>
              <w:t>1</w:t>
            </w:r>
            <w:r w:rsidR="00675FDB" w:rsidRPr="007A370C">
              <w:rPr>
                <w:i/>
                <w:iCs/>
              </w:rPr>
              <w:t>1</w:t>
            </w:r>
            <w:r w:rsidR="00EC206B">
              <w:t>)</w:t>
            </w:r>
          </w:p>
          <w:p w14:paraId="4BEE25E2" w14:textId="06688824" w:rsidR="00EC206B" w:rsidRDefault="003A46E8" w:rsidP="00174AB7">
            <w:pPr>
              <w:tabs>
                <w:tab w:val="left" w:pos="1859"/>
              </w:tabs>
              <w:ind w:left="33" w:hanging="33"/>
            </w:pPr>
            <w:r>
              <w:t>Art.</w:t>
            </w:r>
            <w:r w:rsidR="0078430B">
              <w:t> </w:t>
            </w:r>
            <w:r>
              <w:t xml:space="preserve">1–5 </w:t>
            </w:r>
            <w:r w:rsidR="00EC206B" w:rsidRPr="00EC206B">
              <w:t xml:space="preserve">Finanzmarktinfrastrukturverordnung-FINMA </w:t>
            </w:r>
            <w:r w:rsidR="00675FDB" w:rsidRPr="00675FDB">
              <w:t xml:space="preserve">vom 3. Dezember 2015 </w:t>
            </w:r>
            <w:r w:rsidR="00EC206B">
              <w:t>(</w:t>
            </w:r>
            <w:r>
              <w:t>FinfraV-FINMA</w:t>
            </w:r>
            <w:r w:rsidR="00675FDB">
              <w:t xml:space="preserve">; SR </w:t>
            </w:r>
            <w:r w:rsidR="00675FDB" w:rsidRPr="007A370C">
              <w:rPr>
                <w:i/>
                <w:iCs/>
              </w:rPr>
              <w:t>958.</w:t>
            </w:r>
            <w:r w:rsidR="00675FDB">
              <w:rPr>
                <w:i/>
                <w:iCs/>
              </w:rPr>
              <w:t>1</w:t>
            </w:r>
            <w:r w:rsidR="00675FDB" w:rsidRPr="007A370C">
              <w:rPr>
                <w:i/>
                <w:iCs/>
              </w:rPr>
              <w:t>1</w:t>
            </w:r>
            <w:r w:rsidR="00675FDB">
              <w:rPr>
                <w:i/>
                <w:iCs/>
              </w:rPr>
              <w:t>1</w:t>
            </w:r>
            <w:r w:rsidR="00EC206B">
              <w:t>)</w:t>
            </w:r>
          </w:p>
          <w:p w14:paraId="0A302FFD" w14:textId="13E6DE3B" w:rsidR="00EC206B" w:rsidRDefault="003A46E8" w:rsidP="00174AB7">
            <w:pPr>
              <w:tabs>
                <w:tab w:val="left" w:pos="1859"/>
              </w:tabs>
              <w:ind w:left="33" w:hanging="33"/>
            </w:pPr>
            <w:r>
              <w:t xml:space="preserve">FINMA-Rundschreiben </w:t>
            </w:r>
            <w:r w:rsidR="00F67019">
              <w:t>20</w:t>
            </w:r>
            <w:r w:rsidR="00EC206B">
              <w:t xml:space="preserve">08/4 </w:t>
            </w:r>
            <w:r w:rsidR="00675FDB">
              <w:t>„</w:t>
            </w:r>
            <w:r w:rsidR="00EC206B">
              <w:t>Effektenjournal</w:t>
            </w:r>
            <w:r w:rsidR="00675FDB">
              <w:t>“</w:t>
            </w:r>
            <w:r w:rsidR="00EC206B">
              <w:t xml:space="preserve"> </w:t>
            </w:r>
          </w:p>
          <w:p w14:paraId="75ADAB10" w14:textId="1AE83E2D" w:rsidR="00EC206B" w:rsidRDefault="00EC206B" w:rsidP="00174AB7">
            <w:pPr>
              <w:tabs>
                <w:tab w:val="left" w:pos="1859"/>
              </w:tabs>
              <w:ind w:left="33" w:hanging="33"/>
            </w:pPr>
            <w:r>
              <w:t xml:space="preserve">FINMA-Rundschreiben </w:t>
            </w:r>
            <w:r w:rsidR="00CF1F41" w:rsidRPr="00DC5D61">
              <w:t>2018/2</w:t>
            </w:r>
            <w:r>
              <w:t xml:space="preserve"> </w:t>
            </w:r>
            <w:r w:rsidR="00675FDB">
              <w:t>„</w:t>
            </w:r>
            <w:r>
              <w:t>Meldepflicht Effektengeschäfte</w:t>
            </w:r>
            <w:r w:rsidR="00675FDB">
              <w:t>“</w:t>
            </w:r>
            <w:r>
              <w:t xml:space="preserve"> </w:t>
            </w:r>
          </w:p>
          <w:p w14:paraId="228880D2" w14:textId="5AA5F56D" w:rsidR="003A46E8" w:rsidRPr="003042C9" w:rsidRDefault="00EC206B" w:rsidP="009A031D">
            <w:pPr>
              <w:tabs>
                <w:tab w:val="left" w:pos="1859"/>
              </w:tabs>
              <w:ind w:left="33" w:hanging="33"/>
              <w:rPr>
                <w:rFonts w:cs="Arial"/>
              </w:rPr>
            </w:pPr>
            <w:r>
              <w:t xml:space="preserve">FINMA-Rundschreiben </w:t>
            </w:r>
            <w:r w:rsidR="00F67019" w:rsidRPr="00DC5D61">
              <w:t>20</w:t>
            </w:r>
            <w:r w:rsidR="003A46E8" w:rsidRPr="00DC5D61">
              <w:t>1</w:t>
            </w:r>
            <w:r w:rsidR="003A46E8">
              <w:t>3/8</w:t>
            </w:r>
            <w:r>
              <w:t xml:space="preserve"> </w:t>
            </w:r>
            <w:r w:rsidR="00675FDB">
              <w:t>„</w:t>
            </w:r>
            <w:r>
              <w:t>Marktverhaltensregeln</w:t>
            </w:r>
            <w:r w:rsidR="00675FDB">
              <w:t>“</w:t>
            </w:r>
            <w:r>
              <w:t xml:space="preserve"> </w:t>
            </w:r>
          </w:p>
        </w:tc>
      </w:tr>
      <w:tr w:rsidR="003A46E8" w:rsidRPr="007170C8" w14:paraId="2C57BA79" w14:textId="77777777" w:rsidTr="00A77A7B">
        <w:trPr>
          <w:trHeight w:val="2381"/>
        </w:trPr>
        <w:tc>
          <w:tcPr>
            <w:tcW w:w="2694" w:type="dxa"/>
          </w:tcPr>
          <w:p w14:paraId="6FD0A701" w14:textId="77777777" w:rsidR="000A6BF3" w:rsidRPr="009438B7" w:rsidRDefault="003A46E8" w:rsidP="00963F0B">
            <w:pPr>
              <w:tabs>
                <w:tab w:val="left" w:pos="1418"/>
              </w:tabs>
              <w:spacing w:before="120" w:after="120"/>
              <w:rPr>
                <w:rFonts w:cs="Arial"/>
                <w:b/>
              </w:rPr>
            </w:pPr>
            <w:proofErr w:type="spellStart"/>
            <w:r>
              <w:rPr>
                <w:b/>
              </w:rPr>
              <w:t>Sign</w:t>
            </w:r>
            <w:proofErr w:type="spellEnd"/>
            <w:r>
              <w:rPr>
                <w:b/>
              </w:rPr>
              <w:t>-offs:</w:t>
            </w:r>
          </w:p>
        </w:tc>
        <w:tc>
          <w:tcPr>
            <w:tcW w:w="11225" w:type="dxa"/>
          </w:tcPr>
          <w:p w14:paraId="32A3D337" w14:textId="77777777" w:rsidR="003A46E8" w:rsidRPr="0045532C" w:rsidRDefault="003A46E8" w:rsidP="00963F0B">
            <w:pPr>
              <w:tabs>
                <w:tab w:val="left" w:pos="1859"/>
              </w:tabs>
              <w:spacing w:line="120" w:lineRule="atLeast"/>
              <w:rPr>
                <w:rFonts w:cs="Arial"/>
                <w:sz w:val="2"/>
                <w:szCs w:val="2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3294"/>
              <w:gridCol w:w="3402"/>
              <w:gridCol w:w="2126"/>
            </w:tblGrid>
            <w:tr w:rsidR="003A46E8" w:rsidRPr="00F230A7" w14:paraId="0DE40B8F" w14:textId="77777777" w:rsidTr="00A77A7B">
              <w:trPr>
                <w:trHeight w:val="397"/>
              </w:trPr>
              <w:tc>
                <w:tcPr>
                  <w:tcW w:w="2013" w:type="dxa"/>
                  <w:shd w:val="clear" w:color="auto" w:fill="D9D9D9" w:themeFill="background1" w:themeFillShade="D9"/>
                </w:tcPr>
                <w:p w14:paraId="51EAB694" w14:textId="77777777" w:rsidR="003A46E8" w:rsidRPr="0045532C" w:rsidRDefault="003A46E8" w:rsidP="00963F0B">
                  <w:pPr>
                    <w:tabs>
                      <w:tab w:val="left" w:pos="1859"/>
                    </w:tabs>
                    <w:spacing w:before="120" w:after="120"/>
                    <w:rPr>
                      <w:rFonts w:cs="Arial"/>
                      <w:b/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sz w:val="18"/>
                    </w:rPr>
                    <w:t>Sign</w:t>
                  </w:r>
                  <w:proofErr w:type="spellEnd"/>
                  <w:r>
                    <w:rPr>
                      <w:b/>
                      <w:sz w:val="18"/>
                    </w:rPr>
                    <w:t>-offs</w:t>
                  </w:r>
                </w:p>
              </w:tc>
              <w:tc>
                <w:tcPr>
                  <w:tcW w:w="3294" w:type="dxa"/>
                  <w:shd w:val="clear" w:color="auto" w:fill="D9D9D9" w:themeFill="background1" w:themeFillShade="D9"/>
                </w:tcPr>
                <w:p w14:paraId="346B1E30" w14:textId="77777777" w:rsidR="003A46E8" w:rsidRPr="0045532C" w:rsidRDefault="003A46E8" w:rsidP="00963F0B">
                  <w:pPr>
                    <w:tabs>
                      <w:tab w:val="left" w:pos="1859"/>
                    </w:tabs>
                    <w:spacing w:before="120" w:after="120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</w:rPr>
                    <w:t>Name</w:t>
                  </w:r>
                </w:p>
              </w:tc>
              <w:tc>
                <w:tcPr>
                  <w:tcW w:w="3402" w:type="dxa"/>
                  <w:shd w:val="clear" w:color="auto" w:fill="D9D9D9" w:themeFill="background1" w:themeFillShade="D9"/>
                </w:tcPr>
                <w:p w14:paraId="0C71E9CA" w14:textId="77777777" w:rsidR="003A46E8" w:rsidRPr="0045532C" w:rsidRDefault="003A46E8" w:rsidP="00963F0B">
                  <w:pPr>
                    <w:tabs>
                      <w:tab w:val="left" w:pos="1859"/>
                    </w:tabs>
                    <w:spacing w:before="120" w:after="120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</w:rPr>
                    <w:t>Funktion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14:paraId="09228F67" w14:textId="77777777" w:rsidR="003A46E8" w:rsidRPr="0045532C" w:rsidRDefault="003A46E8" w:rsidP="00963F0B">
                  <w:pPr>
                    <w:tabs>
                      <w:tab w:val="left" w:pos="1859"/>
                    </w:tabs>
                    <w:spacing w:before="120" w:after="120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</w:rPr>
                    <w:t>Datum</w:t>
                  </w:r>
                </w:p>
              </w:tc>
            </w:tr>
            <w:tr w:rsidR="003A46E8" w:rsidRPr="007170C8" w14:paraId="3AD90101" w14:textId="77777777" w:rsidTr="00A77A7B">
              <w:trPr>
                <w:trHeight w:val="397"/>
              </w:trPr>
              <w:tc>
                <w:tcPr>
                  <w:tcW w:w="2013" w:type="dxa"/>
                </w:tcPr>
                <w:p w14:paraId="009C15B7" w14:textId="77777777" w:rsidR="003A46E8" w:rsidRPr="0045532C" w:rsidRDefault="003A46E8" w:rsidP="00963F0B">
                  <w:pPr>
                    <w:tabs>
                      <w:tab w:val="left" w:pos="1859"/>
                    </w:tabs>
                    <w:spacing w:before="120" w:after="12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 xml:space="preserve">Prüfer: </w:t>
                  </w:r>
                </w:p>
              </w:tc>
              <w:tc>
                <w:tcPr>
                  <w:tcW w:w="3294" w:type="dxa"/>
                </w:tcPr>
                <w:p w14:paraId="7EF9B9C2" w14:textId="77777777" w:rsidR="003A46E8" w:rsidRPr="0045532C" w:rsidRDefault="003A46E8" w:rsidP="00963F0B">
                  <w:pPr>
                    <w:tabs>
                      <w:tab w:val="left" w:pos="1859"/>
                    </w:tabs>
                    <w:spacing w:before="120" w:after="12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sz w:val="18"/>
                      <w:highlight w:val="yellow"/>
                    </w:rPr>
                    <w:t>[Name]</w:t>
                  </w:r>
                </w:p>
              </w:tc>
              <w:tc>
                <w:tcPr>
                  <w:tcW w:w="3402" w:type="dxa"/>
                </w:tcPr>
                <w:p w14:paraId="4D585517" w14:textId="77777777" w:rsidR="003A46E8" w:rsidRPr="0045532C" w:rsidRDefault="003A46E8" w:rsidP="00963F0B">
                  <w:pPr>
                    <w:tabs>
                      <w:tab w:val="left" w:pos="1859"/>
                    </w:tabs>
                    <w:spacing w:before="120" w:after="12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sz w:val="18"/>
                      <w:highlight w:val="yellow"/>
                    </w:rPr>
                    <w:t>[Assistent / Senior / Manager / Senior Manager / Partner]</w:t>
                  </w:r>
                </w:p>
              </w:tc>
              <w:tc>
                <w:tcPr>
                  <w:tcW w:w="2126" w:type="dxa"/>
                </w:tcPr>
                <w:p w14:paraId="50C54446" w14:textId="77777777" w:rsidR="003A46E8" w:rsidRPr="0045532C" w:rsidRDefault="003A46E8" w:rsidP="00963F0B">
                  <w:pPr>
                    <w:tabs>
                      <w:tab w:val="left" w:pos="1859"/>
                    </w:tabs>
                    <w:spacing w:before="120" w:after="12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sz w:val="18"/>
                      <w:highlight w:val="yellow"/>
                    </w:rPr>
                    <w:t>[TT.MM.JJJJ]</w:t>
                  </w:r>
                </w:p>
              </w:tc>
            </w:tr>
            <w:tr w:rsidR="003A46E8" w:rsidRPr="007170C8" w14:paraId="2BBE41B4" w14:textId="77777777" w:rsidTr="00A77A7B">
              <w:trPr>
                <w:trHeight w:val="397"/>
              </w:trPr>
              <w:tc>
                <w:tcPr>
                  <w:tcW w:w="2013" w:type="dxa"/>
                </w:tcPr>
                <w:p w14:paraId="32085975" w14:textId="77777777" w:rsidR="003A46E8" w:rsidRPr="0045532C" w:rsidRDefault="003A46E8" w:rsidP="00963F0B">
                  <w:pPr>
                    <w:tabs>
                      <w:tab w:val="left" w:pos="1859"/>
                    </w:tabs>
                    <w:spacing w:before="120" w:after="12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Reviewer:</w:t>
                  </w:r>
                </w:p>
              </w:tc>
              <w:tc>
                <w:tcPr>
                  <w:tcW w:w="3294" w:type="dxa"/>
                </w:tcPr>
                <w:p w14:paraId="055CAC08" w14:textId="77777777" w:rsidR="003A46E8" w:rsidRPr="0045532C" w:rsidRDefault="003A46E8" w:rsidP="00963F0B">
                  <w:pPr>
                    <w:tabs>
                      <w:tab w:val="left" w:pos="1859"/>
                    </w:tabs>
                    <w:spacing w:before="120" w:after="120"/>
                    <w:rPr>
                      <w:rFonts w:cs="Arial"/>
                      <w:sz w:val="18"/>
                      <w:szCs w:val="18"/>
                      <w:highlight w:val="yellow"/>
                    </w:rPr>
                  </w:pPr>
                  <w:r>
                    <w:rPr>
                      <w:sz w:val="18"/>
                      <w:highlight w:val="yellow"/>
                    </w:rPr>
                    <w:t>[Name]</w:t>
                  </w:r>
                </w:p>
              </w:tc>
              <w:tc>
                <w:tcPr>
                  <w:tcW w:w="3402" w:type="dxa"/>
                </w:tcPr>
                <w:p w14:paraId="4F40702B" w14:textId="77777777" w:rsidR="003A46E8" w:rsidRPr="0045532C" w:rsidRDefault="003A46E8" w:rsidP="00963F0B">
                  <w:pPr>
                    <w:tabs>
                      <w:tab w:val="left" w:pos="1859"/>
                    </w:tabs>
                    <w:spacing w:before="120" w:after="120"/>
                    <w:rPr>
                      <w:rFonts w:cs="Arial"/>
                      <w:sz w:val="18"/>
                      <w:szCs w:val="18"/>
                      <w:highlight w:val="yellow"/>
                    </w:rPr>
                  </w:pPr>
                  <w:r>
                    <w:rPr>
                      <w:sz w:val="18"/>
                      <w:highlight w:val="yellow"/>
                    </w:rPr>
                    <w:t xml:space="preserve">[Senior / Manager / Senior Manager </w:t>
                  </w:r>
                  <w:r>
                    <w:rPr>
                      <w:rFonts w:cs="Arial"/>
                      <w:sz w:val="18"/>
                      <w:szCs w:val="18"/>
                      <w:highlight w:val="yellow"/>
                    </w:rPr>
                    <w:br/>
                  </w:r>
                  <w:r>
                    <w:rPr>
                      <w:sz w:val="18"/>
                      <w:highlight w:val="yellow"/>
                    </w:rPr>
                    <w:t>/ Partner]</w:t>
                  </w:r>
                </w:p>
              </w:tc>
              <w:tc>
                <w:tcPr>
                  <w:tcW w:w="2126" w:type="dxa"/>
                </w:tcPr>
                <w:p w14:paraId="761C0379" w14:textId="77777777" w:rsidR="003A46E8" w:rsidRPr="0045532C" w:rsidRDefault="003A46E8" w:rsidP="00963F0B">
                  <w:pPr>
                    <w:tabs>
                      <w:tab w:val="left" w:pos="1859"/>
                    </w:tabs>
                    <w:spacing w:before="120" w:after="120"/>
                    <w:rPr>
                      <w:rFonts w:cs="Arial"/>
                      <w:sz w:val="18"/>
                      <w:szCs w:val="18"/>
                      <w:highlight w:val="yellow"/>
                    </w:rPr>
                  </w:pPr>
                  <w:r>
                    <w:rPr>
                      <w:sz w:val="18"/>
                      <w:highlight w:val="yellow"/>
                    </w:rPr>
                    <w:t>[TT.MM.JJJJ]</w:t>
                  </w:r>
                </w:p>
              </w:tc>
            </w:tr>
          </w:tbl>
          <w:p w14:paraId="3CEB5CE6" w14:textId="77777777" w:rsidR="003A46E8" w:rsidRPr="0045532C" w:rsidRDefault="003A46E8" w:rsidP="00963F0B">
            <w:pPr>
              <w:tabs>
                <w:tab w:val="left" w:pos="1859"/>
              </w:tabs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</w:tbl>
    <w:p w14:paraId="3C998268" w14:textId="77777777" w:rsidR="003A46E8" w:rsidRPr="0045532C" w:rsidRDefault="003A46E8" w:rsidP="00174AB7">
      <w:pPr>
        <w:rPr>
          <w:rFonts w:cs="Arial"/>
        </w:rPr>
      </w:pPr>
    </w:p>
    <w:p w14:paraId="682CB070" w14:textId="0266E43D" w:rsidR="003F1AD1" w:rsidRDefault="003A46E8" w:rsidP="00174AB7">
      <w:pPr>
        <w:rPr>
          <w:rFonts w:cs="Arial"/>
          <w:b/>
        </w:rPr>
      </w:pPr>
      <w:r>
        <w:rPr>
          <w:b/>
        </w:rPr>
        <w:t>Dies ist ein Standard-Prüfprogram</w:t>
      </w:r>
      <w:r w:rsidRPr="00745A49">
        <w:rPr>
          <w:b/>
        </w:rPr>
        <w:t>m</w:t>
      </w:r>
      <w:r w:rsidR="0007658F" w:rsidRPr="00745A49">
        <w:rPr>
          <w:b/>
        </w:rPr>
        <w:t xml:space="preserve">, </w:t>
      </w:r>
      <w:r w:rsidR="00745A49" w:rsidRPr="00745A49">
        <w:rPr>
          <w:b/>
        </w:rPr>
        <w:t>das in diesem Prüfgebiet bei jeder Intervention</w:t>
      </w:r>
      <w:r w:rsidR="00C43B9D" w:rsidRPr="00C43B9D">
        <w:rPr>
          <w:b/>
        </w:rPr>
        <w:t xml:space="preserve"> </w:t>
      </w:r>
      <w:r w:rsidR="00C43B9D">
        <w:rPr>
          <w:b/>
        </w:rPr>
        <w:t>gemäss Prü</w:t>
      </w:r>
      <w:r w:rsidR="00BF107D">
        <w:rPr>
          <w:b/>
        </w:rPr>
        <w:t xml:space="preserve">fstrategie </w:t>
      </w:r>
      <w:r w:rsidR="00745A49" w:rsidRPr="00745A49">
        <w:rPr>
          <w:b/>
        </w:rPr>
        <w:t>grundsätzlich anzuwenden ist</w:t>
      </w:r>
      <w:r w:rsidR="00745A49" w:rsidRPr="00745A49" w:rsidDel="003F0F16">
        <w:rPr>
          <w:b/>
        </w:rPr>
        <w:t xml:space="preserve"> </w:t>
      </w:r>
      <w:r>
        <w:rPr>
          <w:b/>
        </w:rPr>
        <w:t>. Es liegt in der Verantwortung des Prüfteams, das Standard-Prüfprogramm an die spezifische Situation (Grösse, Geschäftsmodell, Organisation, Prozesse, Risiko</w:t>
      </w:r>
      <w:r w:rsidR="008365F5">
        <w:rPr>
          <w:b/>
        </w:rPr>
        <w:t>-</w:t>
      </w:r>
      <w:r w:rsidR="008365F5" w:rsidRPr="00801977">
        <w:rPr>
          <w:b/>
          <w:i/>
          <w:iCs/>
        </w:rPr>
        <w:t>E</w:t>
      </w:r>
      <w:r w:rsidRPr="00801977">
        <w:rPr>
          <w:b/>
          <w:i/>
          <w:iCs/>
        </w:rPr>
        <w:t>xposure</w:t>
      </w:r>
      <w:r>
        <w:rPr>
          <w:b/>
        </w:rPr>
        <w:t xml:space="preserve"> usw.) des geprüften Instituts anzupassen. Werden </w:t>
      </w:r>
      <w:r w:rsidR="003F0F16">
        <w:rPr>
          <w:b/>
        </w:rPr>
        <w:t xml:space="preserve">die angegebenen </w:t>
      </w:r>
      <w:r>
        <w:rPr>
          <w:b/>
        </w:rPr>
        <w:t xml:space="preserve">Prüfungshandlungen nicht vollständig durchgeführt, ist in den Arbeitspapieren eine aussagekräftige </w:t>
      </w:r>
      <w:r w:rsidR="00171627" w:rsidRPr="004A241C">
        <w:rPr>
          <w:b/>
        </w:rPr>
        <w:t>Erläuterung</w:t>
      </w:r>
      <w:r w:rsidR="007323C5" w:rsidRPr="004A241C">
        <w:rPr>
          <w:b/>
        </w:rPr>
        <w:t xml:space="preserve"> </w:t>
      </w:r>
      <w:r>
        <w:rPr>
          <w:b/>
        </w:rPr>
        <w:t>dazu anzubringen.</w:t>
      </w:r>
    </w:p>
    <w:p w14:paraId="15799EAB" w14:textId="77777777" w:rsidR="003A46E8" w:rsidRDefault="003A46E8" w:rsidP="00174AB7">
      <w:pPr>
        <w:spacing w:line="240" w:lineRule="auto"/>
        <w:rPr>
          <w:rFonts w:cs="Arial"/>
          <w:b/>
        </w:rPr>
      </w:pPr>
      <w:r>
        <w:br w:type="page"/>
      </w:r>
    </w:p>
    <w:p w14:paraId="75C8C1C3" w14:textId="77777777" w:rsidR="003A46E8" w:rsidRPr="00003E26" w:rsidRDefault="003A46E8" w:rsidP="00174AB7">
      <w:pPr>
        <w:spacing w:line="240" w:lineRule="auto"/>
        <w:rPr>
          <w:rFonts w:cs="Arial"/>
          <w:b/>
        </w:rPr>
      </w:pPr>
      <w:r>
        <w:rPr>
          <w:b/>
        </w:rPr>
        <w:lastRenderedPageBreak/>
        <w:t>Abschliessende Zusammenfassung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762"/>
        <w:gridCol w:w="11123"/>
      </w:tblGrid>
      <w:tr w:rsidR="003A46E8" w:rsidRPr="0045532C" w14:paraId="00B46991" w14:textId="77777777" w:rsidTr="00DB574A">
        <w:trPr>
          <w:trHeight w:val="552"/>
          <w:tblHeader/>
        </w:trPr>
        <w:tc>
          <w:tcPr>
            <w:tcW w:w="2835" w:type="dxa"/>
            <w:shd w:val="pct15" w:color="auto" w:fill="auto"/>
          </w:tcPr>
          <w:p w14:paraId="31BE4629" w14:textId="77777777" w:rsidR="003A46E8" w:rsidRPr="0045532C" w:rsidRDefault="003A46E8" w:rsidP="00174AB7">
            <w:pPr>
              <w:tabs>
                <w:tab w:val="left" w:pos="1418"/>
              </w:tabs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Thema</w:t>
            </w:r>
          </w:p>
        </w:tc>
        <w:tc>
          <w:tcPr>
            <w:tcW w:w="11482" w:type="dxa"/>
            <w:shd w:val="pct15" w:color="auto" w:fill="auto"/>
          </w:tcPr>
          <w:p w14:paraId="6B965128" w14:textId="77777777" w:rsidR="003A46E8" w:rsidRPr="0045532C" w:rsidRDefault="003A46E8" w:rsidP="00174AB7">
            <w:pPr>
              <w:tabs>
                <w:tab w:val="left" w:pos="1859"/>
              </w:tabs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Information / Beschreibung</w:t>
            </w:r>
          </w:p>
        </w:tc>
      </w:tr>
      <w:tr w:rsidR="003A46E8" w:rsidRPr="00315A8C" w14:paraId="3971E0EB" w14:textId="77777777" w:rsidTr="00DB574A">
        <w:trPr>
          <w:trHeight w:val="2114"/>
        </w:trPr>
        <w:tc>
          <w:tcPr>
            <w:tcW w:w="2835" w:type="dxa"/>
          </w:tcPr>
          <w:p w14:paraId="244280DF" w14:textId="77777777" w:rsidR="003A46E8" w:rsidRDefault="00171627" w:rsidP="00174AB7">
            <w:pPr>
              <w:tabs>
                <w:tab w:val="left" w:pos="1418"/>
              </w:tabs>
              <w:rPr>
                <w:rFonts w:cs="Arial"/>
                <w:sz w:val="16"/>
                <w:szCs w:val="16"/>
              </w:rPr>
            </w:pPr>
            <w:r w:rsidRPr="004A241C">
              <w:rPr>
                <w:sz w:val="16"/>
              </w:rPr>
              <w:t>Zusammenfassende Gesamtbeurteilung</w:t>
            </w:r>
          </w:p>
          <w:p w14:paraId="2656B066" w14:textId="77777777" w:rsidR="00D95B9D" w:rsidRDefault="00D95B9D" w:rsidP="00174AB7">
            <w:pPr>
              <w:tabs>
                <w:tab w:val="left" w:pos="1418"/>
              </w:tabs>
              <w:rPr>
                <w:rFonts w:cs="Arial"/>
                <w:sz w:val="16"/>
                <w:szCs w:val="16"/>
              </w:rPr>
            </w:pPr>
          </w:p>
          <w:p w14:paraId="66B9FFAC" w14:textId="77777777" w:rsidR="00D95B9D" w:rsidRDefault="00D95B9D" w:rsidP="00174AB7">
            <w:pPr>
              <w:tabs>
                <w:tab w:val="left" w:pos="1418"/>
              </w:tabs>
              <w:rPr>
                <w:rFonts w:cs="Arial"/>
                <w:sz w:val="16"/>
                <w:szCs w:val="16"/>
              </w:rPr>
            </w:pPr>
          </w:p>
          <w:p w14:paraId="08925E0A" w14:textId="77777777" w:rsidR="00D95B9D" w:rsidRDefault="00D95B9D" w:rsidP="00174AB7">
            <w:pPr>
              <w:tabs>
                <w:tab w:val="left" w:pos="1418"/>
              </w:tabs>
              <w:rPr>
                <w:rFonts w:cs="Arial"/>
                <w:sz w:val="16"/>
                <w:szCs w:val="16"/>
              </w:rPr>
            </w:pPr>
          </w:p>
          <w:p w14:paraId="722E5AAE" w14:textId="77777777" w:rsidR="00D95B9D" w:rsidRDefault="00D95B9D" w:rsidP="00174AB7">
            <w:pPr>
              <w:tabs>
                <w:tab w:val="left" w:pos="1418"/>
              </w:tabs>
              <w:rPr>
                <w:rFonts w:cs="Arial"/>
                <w:sz w:val="16"/>
                <w:szCs w:val="16"/>
              </w:rPr>
            </w:pPr>
          </w:p>
          <w:p w14:paraId="7759B620" w14:textId="77777777" w:rsidR="00D95B9D" w:rsidRDefault="00D95B9D" w:rsidP="00174AB7">
            <w:pPr>
              <w:tabs>
                <w:tab w:val="left" w:pos="1418"/>
              </w:tabs>
              <w:rPr>
                <w:rFonts w:cs="Arial"/>
                <w:sz w:val="16"/>
                <w:szCs w:val="16"/>
              </w:rPr>
            </w:pPr>
          </w:p>
          <w:p w14:paraId="47ACDFA3" w14:textId="77777777" w:rsidR="00D95B9D" w:rsidRDefault="00D95B9D" w:rsidP="00174AB7">
            <w:pPr>
              <w:tabs>
                <w:tab w:val="left" w:pos="1418"/>
              </w:tabs>
              <w:rPr>
                <w:rFonts w:cs="Arial"/>
                <w:sz w:val="16"/>
                <w:szCs w:val="16"/>
              </w:rPr>
            </w:pPr>
          </w:p>
          <w:p w14:paraId="4E0C4D5A" w14:textId="77777777" w:rsidR="00D95B9D" w:rsidRDefault="00D95B9D" w:rsidP="00174AB7">
            <w:pPr>
              <w:tabs>
                <w:tab w:val="left" w:pos="1418"/>
              </w:tabs>
              <w:rPr>
                <w:rFonts w:cs="Arial"/>
                <w:sz w:val="16"/>
                <w:szCs w:val="16"/>
              </w:rPr>
            </w:pPr>
          </w:p>
          <w:p w14:paraId="49004711" w14:textId="77777777" w:rsidR="00D95B9D" w:rsidRPr="0045532C" w:rsidRDefault="00D95B9D" w:rsidP="00174AB7">
            <w:pPr>
              <w:tabs>
                <w:tab w:val="left" w:pos="1418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1482" w:type="dxa"/>
          </w:tcPr>
          <w:p w14:paraId="2AB33B0F" w14:textId="77777777" w:rsidR="003A46E8" w:rsidRPr="00E60F3F" w:rsidRDefault="003A46E8" w:rsidP="00174AB7">
            <w:pPr>
              <w:rPr>
                <w:rFonts w:cs="Arial"/>
                <w:sz w:val="6"/>
                <w:szCs w:val="6"/>
                <w:highlight w:val="yellow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501"/>
              <w:gridCol w:w="5396"/>
            </w:tblGrid>
            <w:tr w:rsidR="003A46E8" w:rsidRPr="00E60F3F" w14:paraId="7A364BD9" w14:textId="77777777" w:rsidTr="00DB574A">
              <w:tc>
                <w:tcPr>
                  <w:tcW w:w="5620" w:type="dxa"/>
                  <w:shd w:val="clear" w:color="auto" w:fill="D9D9D9" w:themeFill="background1" w:themeFillShade="D9"/>
                  <w:tcMar>
                    <w:left w:w="0" w:type="dxa"/>
                  </w:tcMar>
                </w:tcPr>
                <w:p w14:paraId="38ED66CC" w14:textId="77777777" w:rsidR="003A46E8" w:rsidRPr="00E60F3F" w:rsidRDefault="003A46E8" w:rsidP="00174AB7">
                  <w:pPr>
                    <w:tabs>
                      <w:tab w:val="left" w:pos="1859"/>
                    </w:tabs>
                    <w:ind w:left="34"/>
                    <w:rPr>
                      <w:rFonts w:cs="Arial"/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</w:rPr>
                    <w:t>Bestätigung im Prüfbericht:</w:t>
                  </w:r>
                </w:p>
              </w:tc>
              <w:tc>
                <w:tcPr>
                  <w:tcW w:w="5514" w:type="dxa"/>
                  <w:shd w:val="clear" w:color="auto" w:fill="D9D9D9" w:themeFill="background1" w:themeFillShade="D9"/>
                </w:tcPr>
                <w:p w14:paraId="068D6A5E" w14:textId="77777777" w:rsidR="003A46E8" w:rsidRPr="00E60F3F" w:rsidRDefault="003A46E8" w:rsidP="00174AB7">
                  <w:pPr>
                    <w:tabs>
                      <w:tab w:val="left" w:pos="1859"/>
                    </w:tabs>
                    <w:rPr>
                      <w:rFonts w:cs="Arial"/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</w:rPr>
                    <w:t>Zusammenfassung:</w:t>
                  </w:r>
                </w:p>
              </w:tc>
            </w:tr>
            <w:tr w:rsidR="003A46E8" w:rsidRPr="00315A8C" w14:paraId="03198635" w14:textId="77777777" w:rsidTr="00DB574A">
              <w:tc>
                <w:tcPr>
                  <w:tcW w:w="5620" w:type="dxa"/>
                  <w:tcMar>
                    <w:left w:w="0" w:type="dxa"/>
                  </w:tcMar>
                </w:tcPr>
                <w:p w14:paraId="1008AA6A" w14:textId="1763A950" w:rsidR="003A46E8" w:rsidRPr="0033389E" w:rsidRDefault="003A46E8" w:rsidP="00EB3D51">
                  <w:pPr>
                    <w:spacing w:before="120" w:after="120" w:line="240" w:lineRule="auto"/>
                    <w:ind w:left="34"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sz w:val="16"/>
                    </w:rPr>
                    <w:t xml:space="preserve">Bestätigung, dass die internen Weisungen und Methoden / Prozesse zur Identifikation, Messung, Bewirtschaftung und Überwachung der Risiken im Bereich </w:t>
                  </w:r>
                  <w:r w:rsidR="00EB3D51">
                    <w:rPr>
                      <w:sz w:val="16"/>
                    </w:rPr>
                    <w:t>Marktintegrität</w:t>
                  </w:r>
                  <w:r>
                    <w:rPr>
                      <w:sz w:val="16"/>
                    </w:rPr>
                    <w:t xml:space="preserve"> angemessen waren und im Falle der Prüftiefe </w:t>
                  </w:r>
                  <w:r w:rsidR="00C32513">
                    <w:rPr>
                      <w:sz w:val="16"/>
                    </w:rPr>
                    <w:t>„</w:t>
                  </w:r>
                  <w:r>
                    <w:rPr>
                      <w:sz w:val="16"/>
                    </w:rPr>
                    <w:t>Prüfung</w:t>
                  </w:r>
                  <w:r w:rsidR="00C32513">
                    <w:rPr>
                      <w:sz w:val="16"/>
                    </w:rPr>
                    <w:t>“</w:t>
                  </w:r>
                  <w:r>
                    <w:rPr>
                      <w:sz w:val="16"/>
                    </w:rPr>
                    <w:t xml:space="preserve"> effektiv angewendet wurden.</w:t>
                  </w:r>
                </w:p>
              </w:tc>
              <w:tc>
                <w:tcPr>
                  <w:tcW w:w="5514" w:type="dxa"/>
                </w:tcPr>
                <w:p w14:paraId="377E4B3F" w14:textId="77777777" w:rsidR="003A46E8" w:rsidRPr="00E60F3F" w:rsidRDefault="003A46E8" w:rsidP="00C32513">
                  <w:pPr>
                    <w:tabs>
                      <w:tab w:val="left" w:pos="1859"/>
                    </w:tabs>
                    <w:rPr>
                      <w:rFonts w:cs="Arial"/>
                      <w:i/>
                      <w:sz w:val="16"/>
                      <w:szCs w:val="16"/>
                    </w:rPr>
                  </w:pPr>
                  <w:r>
                    <w:rPr>
                      <w:b/>
                      <w:i/>
                      <w:sz w:val="16"/>
                      <w:highlight w:val="yellow"/>
                    </w:rPr>
                    <w:t>Ja</w:t>
                  </w:r>
                  <w:r>
                    <w:rPr>
                      <w:i/>
                      <w:sz w:val="16"/>
                      <w:highlight w:val="yellow"/>
                    </w:rPr>
                    <w:t xml:space="preserve"> (Prüfung / kritische Beurteilung) / </w:t>
                  </w:r>
                  <w:r>
                    <w:rPr>
                      <w:b/>
                      <w:i/>
                      <w:sz w:val="16"/>
                      <w:highlight w:val="yellow"/>
                    </w:rPr>
                    <w:t>Nein</w:t>
                  </w:r>
                </w:p>
              </w:tc>
            </w:tr>
            <w:tr w:rsidR="003A46E8" w:rsidRPr="00315A8C" w14:paraId="7A9199B1" w14:textId="77777777" w:rsidTr="00DB574A">
              <w:tc>
                <w:tcPr>
                  <w:tcW w:w="5620" w:type="dxa"/>
                  <w:tcMar>
                    <w:left w:w="0" w:type="dxa"/>
                  </w:tcMar>
                </w:tcPr>
                <w:p w14:paraId="053E5C53" w14:textId="77777777" w:rsidR="003A46E8" w:rsidRPr="0033389E" w:rsidRDefault="003A46E8" w:rsidP="00F94D69">
                  <w:pPr>
                    <w:pStyle w:val="TabellenTextBlocksatz"/>
                    <w:spacing w:before="120" w:after="120"/>
                    <w:jc w:val="left"/>
                    <w:rPr>
                      <w:bCs/>
                      <w:sz w:val="16"/>
                      <w:szCs w:val="16"/>
                    </w:rPr>
                  </w:pPr>
                  <w:r w:rsidRPr="00CF0221">
                    <w:rPr>
                      <w:rFonts w:ascii="Arial" w:eastAsia="Times New Roman" w:hAnsi="Arial" w:cs="Times New Roman"/>
                      <w:sz w:val="16"/>
                      <w:szCs w:val="20"/>
                    </w:rPr>
                    <w:t>Bestätigung, dass die Methoden / Prozesse zur</w:t>
                  </w:r>
                  <w:r w:rsidR="00F94D69" w:rsidRPr="00CF0221">
                    <w:rPr>
                      <w:rFonts w:ascii="Arial" w:eastAsia="Times New Roman" w:hAnsi="Arial" w:cs="Times New Roman"/>
                      <w:sz w:val="16"/>
                      <w:szCs w:val="20"/>
                    </w:rPr>
                    <w:t xml:space="preserve"> Einhaltung der</w:t>
                  </w:r>
                  <w:r w:rsidRPr="00CF0221">
                    <w:rPr>
                      <w:rFonts w:ascii="Arial" w:eastAsia="Times New Roman" w:hAnsi="Arial" w:cs="Times New Roman"/>
                      <w:sz w:val="16"/>
                      <w:szCs w:val="20"/>
                    </w:rPr>
                    <w:t xml:space="preserve"> </w:t>
                  </w:r>
                  <w:r w:rsidR="00501BCF" w:rsidRPr="00CF0221">
                    <w:rPr>
                      <w:rFonts w:ascii="Arial" w:eastAsia="Times New Roman" w:hAnsi="Arial" w:cs="Times New Roman"/>
                      <w:sz w:val="16"/>
                      <w:szCs w:val="20"/>
                    </w:rPr>
                    <w:t>Dokumentations</w:t>
                  </w:r>
                  <w:r w:rsidRPr="00CF0221">
                    <w:rPr>
                      <w:rFonts w:ascii="Arial" w:eastAsia="Times New Roman" w:hAnsi="Arial" w:cs="Times New Roman"/>
                      <w:sz w:val="16"/>
                      <w:szCs w:val="20"/>
                    </w:rPr>
                    <w:t xml:space="preserve">- und Meldepflicht angemessen waren und im Falle der Prüftiefe </w:t>
                  </w:r>
                  <w:r w:rsidR="00C32513" w:rsidRPr="00CF0221">
                    <w:rPr>
                      <w:rFonts w:ascii="Arial" w:eastAsia="Times New Roman" w:hAnsi="Arial" w:cs="Times New Roman"/>
                      <w:sz w:val="16"/>
                      <w:szCs w:val="20"/>
                    </w:rPr>
                    <w:t>„</w:t>
                  </w:r>
                  <w:r w:rsidRPr="00CF0221">
                    <w:rPr>
                      <w:rFonts w:ascii="Arial" w:eastAsia="Times New Roman" w:hAnsi="Arial" w:cs="Times New Roman"/>
                      <w:sz w:val="16"/>
                      <w:szCs w:val="20"/>
                    </w:rPr>
                    <w:t>Prüfung</w:t>
                  </w:r>
                  <w:r w:rsidR="00C32513" w:rsidRPr="00CF0221">
                    <w:rPr>
                      <w:rFonts w:ascii="Arial" w:eastAsia="Times New Roman" w:hAnsi="Arial" w:cs="Times New Roman"/>
                      <w:sz w:val="16"/>
                      <w:szCs w:val="20"/>
                    </w:rPr>
                    <w:t>“</w:t>
                  </w:r>
                  <w:r w:rsidRPr="00CF0221">
                    <w:rPr>
                      <w:rFonts w:ascii="Arial" w:eastAsia="Times New Roman" w:hAnsi="Arial" w:cs="Times New Roman"/>
                      <w:sz w:val="16"/>
                      <w:szCs w:val="20"/>
                    </w:rPr>
                    <w:t xml:space="preserve"> effektiv angewendet wurden.</w:t>
                  </w:r>
                </w:p>
              </w:tc>
              <w:tc>
                <w:tcPr>
                  <w:tcW w:w="5514" w:type="dxa"/>
                </w:tcPr>
                <w:p w14:paraId="4468910E" w14:textId="77777777" w:rsidR="003A46E8" w:rsidRPr="00E60F3F" w:rsidRDefault="003A46E8" w:rsidP="00C32513">
                  <w:pPr>
                    <w:tabs>
                      <w:tab w:val="left" w:pos="1859"/>
                    </w:tabs>
                    <w:rPr>
                      <w:rFonts w:cs="Arial"/>
                      <w:b/>
                      <w:i/>
                      <w:sz w:val="16"/>
                      <w:szCs w:val="16"/>
                      <w:highlight w:val="yellow"/>
                    </w:rPr>
                  </w:pPr>
                  <w:r>
                    <w:rPr>
                      <w:b/>
                      <w:i/>
                      <w:sz w:val="16"/>
                      <w:highlight w:val="yellow"/>
                    </w:rPr>
                    <w:t>Ja</w:t>
                  </w:r>
                  <w:r>
                    <w:rPr>
                      <w:i/>
                      <w:sz w:val="16"/>
                      <w:highlight w:val="yellow"/>
                    </w:rPr>
                    <w:t xml:space="preserve"> (Prüfung / kritische Beurteilung) / </w:t>
                  </w:r>
                  <w:r>
                    <w:rPr>
                      <w:b/>
                      <w:i/>
                      <w:sz w:val="16"/>
                      <w:highlight w:val="yellow"/>
                    </w:rPr>
                    <w:t>Nein</w:t>
                  </w:r>
                </w:p>
              </w:tc>
            </w:tr>
          </w:tbl>
          <w:p w14:paraId="3EC2277E" w14:textId="77777777" w:rsidR="003A46E8" w:rsidRPr="003613F7" w:rsidRDefault="003A46E8" w:rsidP="00174AB7">
            <w:pPr>
              <w:tabs>
                <w:tab w:val="left" w:pos="1859"/>
              </w:tabs>
              <w:rPr>
                <w:rFonts w:cs="Arial"/>
                <w:sz w:val="16"/>
                <w:szCs w:val="16"/>
              </w:rPr>
            </w:pPr>
          </w:p>
        </w:tc>
      </w:tr>
      <w:tr w:rsidR="003A46E8" w:rsidRPr="0045532C" w14:paraId="66509541" w14:textId="77777777" w:rsidTr="00DB574A">
        <w:trPr>
          <w:trHeight w:val="561"/>
        </w:trPr>
        <w:tc>
          <w:tcPr>
            <w:tcW w:w="2835" w:type="dxa"/>
          </w:tcPr>
          <w:p w14:paraId="60CE7089" w14:textId="77777777" w:rsidR="003A46E8" w:rsidRPr="0045532C" w:rsidRDefault="003A46E8" w:rsidP="00C32513">
            <w:pPr>
              <w:tabs>
                <w:tab w:val="left" w:pos="1418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Zusammenfassung der Prüfresultate</w:t>
            </w:r>
            <w:r w:rsidR="00C869AA">
              <w:rPr>
                <w:sz w:val="16"/>
              </w:rPr>
              <w:t xml:space="preserve"> / Beanstandungen und Empfehlungen</w:t>
            </w:r>
            <w:r>
              <w:rPr>
                <w:sz w:val="16"/>
              </w:rPr>
              <w:t xml:space="preserve"> </w:t>
            </w:r>
            <w:r>
              <w:rPr>
                <w:sz w:val="12"/>
              </w:rPr>
              <w:t>(ausführliche Informationen nachstehend)</w:t>
            </w:r>
          </w:p>
        </w:tc>
        <w:tc>
          <w:tcPr>
            <w:tcW w:w="11482" w:type="dxa"/>
          </w:tcPr>
          <w:p w14:paraId="6AC01773" w14:textId="77777777" w:rsidR="003A46E8" w:rsidRPr="0045532C" w:rsidRDefault="003A46E8" w:rsidP="00C32513">
            <w:pPr>
              <w:tabs>
                <w:tab w:val="left" w:pos="1859"/>
              </w:tabs>
              <w:rPr>
                <w:rFonts w:cs="Arial"/>
                <w:sz w:val="16"/>
                <w:szCs w:val="16"/>
                <w:highlight w:val="yellow"/>
              </w:rPr>
            </w:pPr>
            <w:r>
              <w:rPr>
                <w:sz w:val="16"/>
                <w:highlight w:val="yellow"/>
              </w:rPr>
              <w:t>[Zusammenfassung der Prüfresultate</w:t>
            </w:r>
            <w:r w:rsidR="00C869AA">
              <w:rPr>
                <w:sz w:val="16"/>
                <w:highlight w:val="yellow"/>
              </w:rPr>
              <w:t xml:space="preserve"> / Beanstandungen und Empfehlungen</w:t>
            </w:r>
          </w:p>
        </w:tc>
      </w:tr>
      <w:tr w:rsidR="003A46E8" w:rsidRPr="0045532C" w14:paraId="34BA11D7" w14:textId="77777777" w:rsidTr="00DB574A">
        <w:trPr>
          <w:trHeight w:val="561"/>
        </w:trPr>
        <w:tc>
          <w:tcPr>
            <w:tcW w:w="2835" w:type="dxa"/>
          </w:tcPr>
          <w:p w14:paraId="3C7ACFD5" w14:textId="77777777" w:rsidR="003A46E8" w:rsidRPr="0045532C" w:rsidRDefault="003A46E8" w:rsidP="001C6A8C">
            <w:pPr>
              <w:tabs>
                <w:tab w:val="left" w:pos="1418"/>
              </w:tabs>
              <w:spacing w:before="120" w:after="120" w:line="240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Prüffelder, Prüfresultate und Prüfungshandlungen der Internen Revision, auf die sich die Prüfgesellschaft gestützt hat (einschliesslich Würdigung durch die Prüfgesellschaft)</w:t>
            </w:r>
          </w:p>
        </w:tc>
        <w:tc>
          <w:tcPr>
            <w:tcW w:w="11482" w:type="dxa"/>
          </w:tcPr>
          <w:p w14:paraId="4E83E376" w14:textId="77777777" w:rsidR="003A46E8" w:rsidRPr="0045532C" w:rsidRDefault="003A46E8" w:rsidP="00174AB7">
            <w:pPr>
              <w:rPr>
                <w:rFonts w:cs="Arial"/>
                <w:sz w:val="16"/>
                <w:szCs w:val="16"/>
                <w:highlight w:val="yellow"/>
              </w:rPr>
            </w:pPr>
            <w:r>
              <w:rPr>
                <w:sz w:val="16"/>
                <w:highlight w:val="yellow"/>
              </w:rPr>
              <w:t>[Beschreibung]</w:t>
            </w:r>
          </w:p>
        </w:tc>
      </w:tr>
    </w:tbl>
    <w:p w14:paraId="614B3521" w14:textId="77777777" w:rsidR="003A46E8" w:rsidRDefault="003A46E8" w:rsidP="00174AB7">
      <w:pPr>
        <w:spacing w:line="240" w:lineRule="auto"/>
        <w:rPr>
          <w:rFonts w:cs="Arial"/>
        </w:rPr>
      </w:pPr>
      <w:r>
        <w:br w:type="page"/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531"/>
        <w:gridCol w:w="2502"/>
        <w:gridCol w:w="3478"/>
        <w:gridCol w:w="3200"/>
        <w:gridCol w:w="2777"/>
        <w:gridCol w:w="1397"/>
      </w:tblGrid>
      <w:tr w:rsidR="003A46E8" w14:paraId="5F866833" w14:textId="77777777" w:rsidTr="00045A42">
        <w:trPr>
          <w:tblHeader/>
        </w:trPr>
        <w:tc>
          <w:tcPr>
            <w:tcW w:w="534" w:type="dxa"/>
            <w:shd w:val="clear" w:color="auto" w:fill="D9D9D9" w:themeFill="background1" w:themeFillShade="D9"/>
          </w:tcPr>
          <w:p w14:paraId="1D420C88" w14:textId="77777777" w:rsidR="003A46E8" w:rsidRPr="00133AB4" w:rsidRDefault="003A46E8" w:rsidP="00710940">
            <w:pPr>
              <w:spacing w:before="120" w:after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lastRenderedPageBreak/>
              <w:t>Nr.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9E77335" w14:textId="77777777" w:rsidR="003A46E8" w:rsidRPr="00133AB4" w:rsidRDefault="003A46E8" w:rsidP="00710940">
            <w:pPr>
              <w:spacing w:before="120" w:after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Thema: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F3B7BC5" w14:textId="77777777" w:rsidR="003A46E8" w:rsidRPr="00133AB4" w:rsidRDefault="003A46E8" w:rsidP="00A01B51">
            <w:pPr>
              <w:spacing w:before="120" w:after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 xml:space="preserve">Prüfungshandlungen für Prüftiefe </w:t>
            </w:r>
            <w:r w:rsidR="00A01B51">
              <w:rPr>
                <w:b/>
                <w:sz w:val="16"/>
              </w:rPr>
              <w:t>„</w:t>
            </w:r>
            <w:r>
              <w:rPr>
                <w:b/>
                <w:sz w:val="16"/>
              </w:rPr>
              <w:t>kritische Beurteilung</w:t>
            </w:r>
            <w:r w:rsidR="00A01B51">
              <w:rPr>
                <w:b/>
                <w:sz w:val="16"/>
              </w:rPr>
              <w:t>“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807DAED" w14:textId="77777777" w:rsidR="003A46E8" w:rsidRPr="00133AB4" w:rsidRDefault="003A46E8" w:rsidP="003F0F16">
            <w:pPr>
              <w:spacing w:before="120" w:after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u w:val="single"/>
              </w:rPr>
              <w:t>Zusätzliche</w:t>
            </w:r>
            <w:r>
              <w:rPr>
                <w:b/>
                <w:sz w:val="16"/>
              </w:rPr>
              <w:t xml:space="preserve"> Prüfungshandlungen für Prüftiefe </w:t>
            </w:r>
            <w:r w:rsidR="00A01B51">
              <w:rPr>
                <w:b/>
                <w:sz w:val="16"/>
              </w:rPr>
              <w:t>„</w:t>
            </w:r>
            <w:r>
              <w:rPr>
                <w:b/>
                <w:sz w:val="16"/>
              </w:rPr>
              <w:t>Prüfung</w:t>
            </w:r>
            <w:r w:rsidR="00A01B51">
              <w:rPr>
                <w:b/>
                <w:sz w:val="16"/>
              </w:rPr>
              <w:t>“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6066B64C" w14:textId="77777777" w:rsidR="003A46E8" w:rsidRPr="00133AB4" w:rsidRDefault="003A46E8" w:rsidP="00710940">
            <w:pPr>
              <w:spacing w:before="120" w:after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Durchgeführte Prüfungshandlungen / Feststellungen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14:paraId="5F6C79B8" w14:textId="77777777" w:rsidR="003A46E8" w:rsidRPr="00133AB4" w:rsidRDefault="003A46E8" w:rsidP="00710940">
            <w:pPr>
              <w:spacing w:before="120" w:after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 xml:space="preserve">Arbeitspapiere </w:t>
            </w:r>
            <w:proofErr w:type="spellStart"/>
            <w:r>
              <w:rPr>
                <w:b/>
                <w:sz w:val="16"/>
              </w:rPr>
              <w:t>Ref</w:t>
            </w:r>
            <w:proofErr w:type="spellEnd"/>
            <w:r>
              <w:rPr>
                <w:b/>
                <w:sz w:val="16"/>
              </w:rPr>
              <w:t>.:</w:t>
            </w:r>
          </w:p>
        </w:tc>
      </w:tr>
      <w:tr w:rsidR="003A46E8" w:rsidRPr="00801977" w14:paraId="6460A8AB" w14:textId="77777777" w:rsidTr="00C7261B">
        <w:tc>
          <w:tcPr>
            <w:tcW w:w="14143" w:type="dxa"/>
            <w:gridSpan w:val="6"/>
            <w:shd w:val="clear" w:color="auto" w:fill="D9D9D9" w:themeFill="background1" w:themeFillShade="D9"/>
          </w:tcPr>
          <w:p w14:paraId="42585CFF" w14:textId="77777777" w:rsidR="003A46E8" w:rsidRPr="00BA3D09" w:rsidRDefault="003A46E8" w:rsidP="00710940">
            <w:pPr>
              <w:spacing w:before="120" w:after="120" w:line="240" w:lineRule="auto"/>
              <w:rPr>
                <w:rFonts w:cs="Arial"/>
                <w:i/>
                <w:sz w:val="16"/>
                <w:szCs w:val="16"/>
                <w:lang w:val="en-US"/>
              </w:rPr>
            </w:pPr>
            <w:r w:rsidRPr="00BA3D09">
              <w:rPr>
                <w:i/>
                <w:sz w:val="16"/>
                <w:lang w:val="en-US"/>
              </w:rPr>
              <w:t>Confirmation that the internal rules and methods/processes used to identify, measure, manage and control risks in market conduct were adequate and applied effectively where the audit depth was “audit”.</w:t>
            </w:r>
          </w:p>
          <w:p w14:paraId="52F46EC3" w14:textId="546ABD9F" w:rsidR="003A46E8" w:rsidRPr="004B1AAE" w:rsidRDefault="003A46E8" w:rsidP="00710940">
            <w:pPr>
              <w:spacing w:before="120" w:after="120" w:line="240" w:lineRule="auto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Bestätigung, dass die internen Weisungen und Methoden / Prozesse zur Identifikation, Messung, Bewirtschaftung und Überwachung der Risiken im Bereich </w:t>
            </w:r>
            <w:r w:rsidR="00EB3D51" w:rsidRPr="00EB3D51">
              <w:rPr>
                <w:i/>
                <w:sz w:val="16"/>
              </w:rPr>
              <w:t xml:space="preserve">Marktintegrität </w:t>
            </w:r>
            <w:r>
              <w:rPr>
                <w:i/>
                <w:sz w:val="16"/>
              </w:rPr>
              <w:t>angemessen waren und im Falle der Prüftiefe „Prüfung“ effektiv angewendet wurden.</w:t>
            </w:r>
          </w:p>
          <w:p w14:paraId="064A1DAA" w14:textId="77777777" w:rsidR="003A46E8" w:rsidRPr="00BA3D09" w:rsidRDefault="003A46E8" w:rsidP="00710940">
            <w:pPr>
              <w:spacing w:before="120" w:after="120" w:line="240" w:lineRule="auto"/>
              <w:rPr>
                <w:rFonts w:cs="Arial"/>
                <w:lang w:val="fr-CH"/>
              </w:rPr>
            </w:pPr>
            <w:r w:rsidRPr="00BA3D09">
              <w:rPr>
                <w:i/>
                <w:sz w:val="16"/>
                <w:lang w:val="fr-CH"/>
              </w:rPr>
              <w:t>Confirmation que les directives internes et méthodes / processus relatifs à l’identification, la mesure, la gestion et la surveillance des risques dans le domaine des règles de comportement dans le marché ont été appropriés et en cas d’étendue d’audit « audit » effectivement appliqués.</w:t>
            </w:r>
          </w:p>
        </w:tc>
      </w:tr>
      <w:tr w:rsidR="003A46E8" w:rsidRPr="00315A8C" w14:paraId="0DCD86C1" w14:textId="77777777" w:rsidTr="00D17665">
        <w:tc>
          <w:tcPr>
            <w:tcW w:w="534" w:type="dxa"/>
          </w:tcPr>
          <w:p w14:paraId="6B33A4E0" w14:textId="77777777" w:rsidR="003A46E8" w:rsidRPr="00BA3D09" w:rsidRDefault="003A46E8" w:rsidP="00710940">
            <w:pPr>
              <w:spacing w:before="120" w:after="120" w:line="240" w:lineRule="auto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2551" w:type="dxa"/>
          </w:tcPr>
          <w:p w14:paraId="37490FC6" w14:textId="77777777" w:rsidR="003A46E8" w:rsidRDefault="003A46E8" w:rsidP="00710940">
            <w:pPr>
              <w:spacing w:before="120" w:after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Risikoanalyse</w:t>
            </w:r>
          </w:p>
          <w:p w14:paraId="08EEF613" w14:textId="77777777" w:rsidR="003A46E8" w:rsidRDefault="003A46E8" w:rsidP="00710940">
            <w:pPr>
              <w:spacing w:before="120" w:after="120"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5262F3E5" w14:textId="3F6F1D77" w:rsidR="003A46E8" w:rsidRPr="00771DF9" w:rsidRDefault="003A46E8" w:rsidP="008F67F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i/>
                <w:sz w:val="16"/>
                <w:szCs w:val="16"/>
              </w:rPr>
            </w:pPr>
            <w:r>
              <w:rPr>
                <w:i/>
                <w:sz w:val="16"/>
              </w:rPr>
              <w:t xml:space="preserve">Anhand von Befragungen und Durchsicht von relevanten Dokumenten beurteilen, ob </w:t>
            </w:r>
            <w:r w:rsidR="008F67F3">
              <w:rPr>
                <w:i/>
                <w:sz w:val="16"/>
              </w:rPr>
              <w:t xml:space="preserve">die aus dem Geschäftsmodell des Instituts abgeleitete </w:t>
            </w:r>
            <w:r>
              <w:rPr>
                <w:i/>
                <w:sz w:val="16"/>
              </w:rPr>
              <w:t xml:space="preserve">interne Risikoanalyse </w:t>
            </w:r>
            <w:r w:rsidR="00EB3D51">
              <w:rPr>
                <w:i/>
                <w:sz w:val="16"/>
              </w:rPr>
              <w:t>zur</w:t>
            </w:r>
            <w:r w:rsidR="007F043E">
              <w:rPr>
                <w:i/>
                <w:sz w:val="16"/>
              </w:rPr>
              <w:t xml:space="preserve"> </w:t>
            </w:r>
            <w:r w:rsidR="00EB3D51" w:rsidRPr="00EB3D51">
              <w:rPr>
                <w:i/>
                <w:sz w:val="16"/>
              </w:rPr>
              <w:t>Marktintegrität</w:t>
            </w:r>
            <w:r w:rsidR="00EB3D51">
              <w:rPr>
                <w:sz w:val="16"/>
              </w:rPr>
              <w:t xml:space="preserve"> </w:t>
            </w:r>
            <w:r>
              <w:rPr>
                <w:i/>
                <w:sz w:val="16"/>
              </w:rPr>
              <w:t>angemessen ist.</w:t>
            </w:r>
          </w:p>
        </w:tc>
        <w:tc>
          <w:tcPr>
            <w:tcW w:w="3260" w:type="dxa"/>
          </w:tcPr>
          <w:p w14:paraId="39336C7D" w14:textId="77777777" w:rsidR="003A46E8" w:rsidRDefault="003A46E8" w:rsidP="0071094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</w:tcPr>
          <w:p w14:paraId="04D5B827" w14:textId="77777777" w:rsidR="003A46E8" w:rsidRPr="007411F5" w:rsidRDefault="003A46E8" w:rsidP="00D1766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19" w:type="dxa"/>
          </w:tcPr>
          <w:p w14:paraId="16066140" w14:textId="77777777" w:rsidR="003A46E8" w:rsidRPr="007411F5" w:rsidRDefault="003A46E8" w:rsidP="00710940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3A46E8" w:rsidRPr="00315A8C" w14:paraId="71CEF771" w14:textId="77777777" w:rsidTr="00045A42">
        <w:tc>
          <w:tcPr>
            <w:tcW w:w="534" w:type="dxa"/>
          </w:tcPr>
          <w:p w14:paraId="20B75DED" w14:textId="77777777" w:rsidR="003A46E8" w:rsidRPr="005F6165" w:rsidRDefault="003A46E8" w:rsidP="00710940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14:paraId="359B0F56" w14:textId="77777777" w:rsidR="003A46E8" w:rsidRDefault="003A46E8" w:rsidP="00710940">
            <w:pPr>
              <w:spacing w:before="120" w:after="120"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18A81F9A" w14:textId="77777777" w:rsidR="003A46E8" w:rsidRPr="00DC5D61" w:rsidRDefault="003A46E8" w:rsidP="0071094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 w:val="16"/>
                <w:szCs w:val="16"/>
              </w:rPr>
            </w:pPr>
            <w:r w:rsidRPr="00DC5D61">
              <w:rPr>
                <w:sz w:val="16"/>
              </w:rPr>
              <w:t>Beurteilen, ob die Risikoanalyse des Instituts</w:t>
            </w:r>
            <w:r w:rsidR="00171627" w:rsidRPr="00DC5D61">
              <w:rPr>
                <w:sz w:val="16"/>
              </w:rPr>
              <w:t xml:space="preserve"> </w:t>
            </w:r>
            <w:r w:rsidR="00171627" w:rsidRPr="00DC5D61">
              <w:rPr>
                <w:sz w:val="16"/>
                <w:szCs w:val="16"/>
              </w:rPr>
              <w:t>im Hinblick auf folgende inhärente Risiken angemessen ist:</w:t>
            </w:r>
            <w:r w:rsidRPr="00DC5D61">
              <w:rPr>
                <w:sz w:val="16"/>
              </w:rPr>
              <w:t xml:space="preserve"> </w:t>
            </w:r>
          </w:p>
          <w:p w14:paraId="04D103C2" w14:textId="77777777" w:rsidR="003A46E8" w:rsidRPr="00DC5D61" w:rsidRDefault="003A46E8" w:rsidP="00710940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39"/>
              <w:rPr>
                <w:rFonts w:cs="Arial"/>
                <w:sz w:val="16"/>
                <w:szCs w:val="16"/>
              </w:rPr>
            </w:pPr>
            <w:r w:rsidRPr="00DC5D61">
              <w:rPr>
                <w:sz w:val="16"/>
              </w:rPr>
              <w:t>Handel auf eigene Rechnung (</w:t>
            </w:r>
            <w:r w:rsidRPr="00801977">
              <w:rPr>
                <w:i/>
                <w:iCs/>
                <w:sz w:val="16"/>
              </w:rPr>
              <w:t>Flow Trading</w:t>
            </w:r>
            <w:r w:rsidRPr="00DC5D61">
              <w:rPr>
                <w:sz w:val="16"/>
              </w:rPr>
              <w:t xml:space="preserve">, </w:t>
            </w:r>
            <w:r w:rsidR="00992A82" w:rsidRPr="00801977">
              <w:rPr>
                <w:i/>
                <w:iCs/>
                <w:sz w:val="16"/>
              </w:rPr>
              <w:t>Professional Trading</w:t>
            </w:r>
            <w:r w:rsidRPr="00DC5D61">
              <w:rPr>
                <w:sz w:val="16"/>
              </w:rPr>
              <w:t>, Eigenhandel)</w:t>
            </w:r>
            <w:r w:rsidRPr="00DC5D61">
              <w:rPr>
                <w:rStyle w:val="Appelnotedebasdep"/>
              </w:rPr>
              <w:footnoteReference w:id="3"/>
            </w:r>
          </w:p>
          <w:p w14:paraId="6189CE6A" w14:textId="77777777" w:rsidR="003A46E8" w:rsidRPr="00DC5D61" w:rsidRDefault="003A46E8" w:rsidP="00710940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39"/>
              <w:rPr>
                <w:rFonts w:cs="Arial"/>
                <w:sz w:val="16"/>
                <w:szCs w:val="16"/>
              </w:rPr>
            </w:pPr>
            <w:r w:rsidRPr="00DC5D61">
              <w:rPr>
                <w:sz w:val="16"/>
              </w:rPr>
              <w:t xml:space="preserve">Handel </w:t>
            </w:r>
            <w:r w:rsidR="00CA0751" w:rsidRPr="00DC5D61">
              <w:rPr>
                <w:sz w:val="16"/>
              </w:rPr>
              <w:t>mit</w:t>
            </w:r>
            <w:r w:rsidR="00962F8F" w:rsidRPr="00DC5D61">
              <w:rPr>
                <w:sz w:val="16"/>
              </w:rPr>
              <w:t xml:space="preserve"> eigenen </w:t>
            </w:r>
            <w:r w:rsidR="00171627" w:rsidRPr="00DC5D61">
              <w:rPr>
                <w:sz w:val="16"/>
              </w:rPr>
              <w:t>Beteiligungstiteln</w:t>
            </w:r>
          </w:p>
          <w:p w14:paraId="7EC0A766" w14:textId="57047979" w:rsidR="002D4163" w:rsidRPr="00DC5D61" w:rsidRDefault="00962F8F" w:rsidP="00710940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39"/>
              <w:rPr>
                <w:rFonts w:cs="Arial"/>
                <w:sz w:val="16"/>
                <w:szCs w:val="16"/>
              </w:rPr>
            </w:pPr>
            <w:r w:rsidRPr="00DC5D61">
              <w:rPr>
                <w:sz w:val="16"/>
              </w:rPr>
              <w:t xml:space="preserve"> Betreiben vo</w:t>
            </w:r>
            <w:r w:rsidR="00CA0751" w:rsidRPr="00DC5D61">
              <w:rPr>
                <w:sz w:val="16"/>
              </w:rPr>
              <w:t>n</w:t>
            </w:r>
            <w:r w:rsidRPr="00DC5D61">
              <w:rPr>
                <w:sz w:val="16"/>
              </w:rPr>
              <w:t xml:space="preserve"> algorithmische</w:t>
            </w:r>
            <w:r w:rsidR="00CA0751" w:rsidRPr="00DC5D61">
              <w:rPr>
                <w:sz w:val="16"/>
              </w:rPr>
              <w:t>m</w:t>
            </w:r>
            <w:r w:rsidRPr="00DC5D61">
              <w:rPr>
                <w:sz w:val="16"/>
              </w:rPr>
              <w:t xml:space="preserve"> Handel</w:t>
            </w:r>
            <w:r w:rsidR="00CA0751" w:rsidRPr="00DC5D61">
              <w:rPr>
                <w:sz w:val="16"/>
              </w:rPr>
              <w:t xml:space="preserve"> (</w:t>
            </w:r>
            <w:proofErr w:type="spellStart"/>
            <w:r w:rsidR="00A43648">
              <w:rPr>
                <w:i/>
                <w:iCs/>
                <w:sz w:val="16"/>
              </w:rPr>
              <w:t>A</w:t>
            </w:r>
            <w:r w:rsidR="00CA0751" w:rsidRPr="00801977">
              <w:rPr>
                <w:i/>
                <w:iCs/>
                <w:sz w:val="16"/>
              </w:rPr>
              <w:t>lgo</w:t>
            </w:r>
            <w:proofErr w:type="spellEnd"/>
            <w:r w:rsidR="00CA0751" w:rsidRPr="00801977">
              <w:rPr>
                <w:i/>
                <w:iCs/>
                <w:sz w:val="16"/>
              </w:rPr>
              <w:t xml:space="preserve"> </w:t>
            </w:r>
            <w:r w:rsidR="00A43648">
              <w:rPr>
                <w:i/>
                <w:iCs/>
                <w:sz w:val="16"/>
              </w:rPr>
              <w:t>T</w:t>
            </w:r>
            <w:r w:rsidR="00CA0751" w:rsidRPr="00801977">
              <w:rPr>
                <w:i/>
                <w:iCs/>
                <w:sz w:val="16"/>
              </w:rPr>
              <w:t>rading</w:t>
            </w:r>
            <w:r w:rsidR="00CA0751" w:rsidRPr="00DC5D61">
              <w:rPr>
                <w:sz w:val="16"/>
              </w:rPr>
              <w:t>)</w:t>
            </w:r>
            <w:r w:rsidRPr="00DC5D61">
              <w:rPr>
                <w:sz w:val="16"/>
              </w:rPr>
              <w:t xml:space="preserve"> oder Hochfrequenzhandel</w:t>
            </w:r>
            <w:r w:rsidR="00F444BC" w:rsidRPr="00DC5D61">
              <w:rPr>
                <w:sz w:val="16"/>
              </w:rPr>
              <w:t xml:space="preserve"> </w:t>
            </w:r>
          </w:p>
          <w:p w14:paraId="3FE2EDAA" w14:textId="003FCAB9" w:rsidR="002524E3" w:rsidRPr="008E4875" w:rsidRDefault="00F444BC" w:rsidP="003F15F5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39"/>
              <w:rPr>
                <w:rFonts w:cs="Arial"/>
                <w:sz w:val="16"/>
                <w:szCs w:val="16"/>
              </w:rPr>
            </w:pPr>
            <w:r w:rsidRPr="008E4875">
              <w:rPr>
                <w:sz w:val="16"/>
              </w:rPr>
              <w:t xml:space="preserve">Aktivitäten des Instituts im Bereich </w:t>
            </w:r>
            <w:r w:rsidRPr="00801977">
              <w:rPr>
                <w:i/>
                <w:iCs/>
                <w:sz w:val="16"/>
              </w:rPr>
              <w:t>Brokerage</w:t>
            </w:r>
            <w:r w:rsidR="00992A82" w:rsidRPr="008E4875">
              <w:rPr>
                <w:sz w:val="16"/>
              </w:rPr>
              <w:t xml:space="preserve"> </w:t>
            </w:r>
            <w:r w:rsidR="003A46E8" w:rsidRPr="008E4875">
              <w:rPr>
                <w:sz w:val="16"/>
              </w:rPr>
              <w:t xml:space="preserve">(Handel im Auftrag von </w:t>
            </w:r>
            <w:r w:rsidR="002810B2">
              <w:rPr>
                <w:sz w:val="16"/>
              </w:rPr>
              <w:t xml:space="preserve">Kundinnen und </w:t>
            </w:r>
            <w:r w:rsidR="003A46E8" w:rsidRPr="008E4875">
              <w:rPr>
                <w:sz w:val="16"/>
              </w:rPr>
              <w:t>Kunden)</w:t>
            </w:r>
          </w:p>
          <w:p w14:paraId="7FC4651A" w14:textId="61B4EB06" w:rsidR="003A46E8" w:rsidRPr="00745A49" w:rsidRDefault="002524E3" w:rsidP="003F15F5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39"/>
              <w:rPr>
                <w:rFonts w:cs="Arial"/>
                <w:sz w:val="16"/>
                <w:szCs w:val="16"/>
              </w:rPr>
            </w:pPr>
            <w:r w:rsidRPr="00745A49">
              <w:rPr>
                <w:sz w:val="16"/>
              </w:rPr>
              <w:t xml:space="preserve">Die verschiedenen angebotenen Dienstleitungen für </w:t>
            </w:r>
            <w:r w:rsidR="002810B2">
              <w:rPr>
                <w:sz w:val="16"/>
              </w:rPr>
              <w:t>Kundinnen und</w:t>
            </w:r>
            <w:r w:rsidR="002810B2" w:rsidRPr="00745A49">
              <w:rPr>
                <w:sz w:val="16"/>
              </w:rPr>
              <w:t xml:space="preserve"> </w:t>
            </w:r>
            <w:r w:rsidRPr="00745A49">
              <w:rPr>
                <w:sz w:val="16"/>
              </w:rPr>
              <w:t xml:space="preserve">Kunden (Vermögensverwaltung, Anlageberatung, externe Vermögensverwaltung sowie </w:t>
            </w:r>
            <w:proofErr w:type="spellStart"/>
            <w:r w:rsidR="00A43648">
              <w:rPr>
                <w:i/>
                <w:iCs/>
                <w:sz w:val="16"/>
              </w:rPr>
              <w:t>E</w:t>
            </w:r>
            <w:r w:rsidRPr="00801977">
              <w:rPr>
                <w:i/>
                <w:iCs/>
                <w:sz w:val="16"/>
              </w:rPr>
              <w:t>xecution</w:t>
            </w:r>
            <w:proofErr w:type="spellEnd"/>
            <w:r w:rsidRPr="00801977">
              <w:rPr>
                <w:i/>
                <w:iCs/>
                <w:sz w:val="16"/>
              </w:rPr>
              <w:t>-</w:t>
            </w:r>
            <w:proofErr w:type="spellStart"/>
            <w:r w:rsidRPr="00801977">
              <w:rPr>
                <w:i/>
                <w:iCs/>
                <w:sz w:val="16"/>
              </w:rPr>
              <w:t>only</w:t>
            </w:r>
            <w:proofErr w:type="spellEnd"/>
            <w:r w:rsidRPr="00745A49">
              <w:rPr>
                <w:sz w:val="16"/>
              </w:rPr>
              <w:t>-Kunden)</w:t>
            </w:r>
          </w:p>
          <w:p w14:paraId="2C678830" w14:textId="1C81AAF1" w:rsidR="003A46E8" w:rsidRPr="00DC5D61" w:rsidRDefault="003A46E8" w:rsidP="00710940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39"/>
              <w:rPr>
                <w:rFonts w:cs="Arial"/>
                <w:sz w:val="16"/>
                <w:szCs w:val="16"/>
              </w:rPr>
            </w:pPr>
            <w:r w:rsidRPr="00DC5D61">
              <w:rPr>
                <w:sz w:val="16"/>
              </w:rPr>
              <w:t xml:space="preserve">Umgang mit </w:t>
            </w:r>
            <w:r w:rsidR="002810B2">
              <w:rPr>
                <w:sz w:val="16"/>
              </w:rPr>
              <w:t>Kundinnen und</w:t>
            </w:r>
            <w:r w:rsidR="002810B2" w:rsidRPr="00DC5D61">
              <w:rPr>
                <w:sz w:val="16"/>
              </w:rPr>
              <w:t xml:space="preserve"> </w:t>
            </w:r>
            <w:r w:rsidRPr="00DC5D61">
              <w:rPr>
                <w:sz w:val="16"/>
              </w:rPr>
              <w:t>Kunden, die in börsenkotierten Unternehmen potenzielle Primärinsider sind (z.</w:t>
            </w:r>
            <w:r w:rsidR="003257EF" w:rsidRPr="00DC5D61">
              <w:rPr>
                <w:sz w:val="16"/>
              </w:rPr>
              <w:t> </w:t>
            </w:r>
            <w:r w:rsidRPr="00DC5D61">
              <w:rPr>
                <w:sz w:val="16"/>
              </w:rPr>
              <w:t xml:space="preserve">B. </w:t>
            </w:r>
            <w:r w:rsidR="003257EF" w:rsidRPr="00DC5D61">
              <w:rPr>
                <w:sz w:val="16"/>
              </w:rPr>
              <w:t>Eigentümer</w:t>
            </w:r>
            <w:r w:rsidRPr="00DC5D61">
              <w:rPr>
                <w:sz w:val="16"/>
              </w:rPr>
              <w:t>, Verwaltungsratsmitglieder)</w:t>
            </w:r>
          </w:p>
          <w:p w14:paraId="1AE06917" w14:textId="1D7C2A9A" w:rsidR="003A46E8" w:rsidRPr="00DC5D61" w:rsidRDefault="00F444BC" w:rsidP="00710940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39"/>
              <w:rPr>
                <w:rFonts w:cs="Arial"/>
                <w:sz w:val="16"/>
                <w:szCs w:val="16"/>
              </w:rPr>
            </w:pPr>
            <w:r w:rsidRPr="00DC5D61">
              <w:rPr>
                <w:sz w:val="16"/>
              </w:rPr>
              <w:t xml:space="preserve">Organisation </w:t>
            </w:r>
            <w:r w:rsidR="003257EF" w:rsidRPr="00DC5D61">
              <w:rPr>
                <w:sz w:val="16"/>
              </w:rPr>
              <w:t>der firmeneigenen Research-Abteilungen</w:t>
            </w:r>
            <w:r w:rsidR="003A46E8" w:rsidRPr="00DC5D61">
              <w:rPr>
                <w:sz w:val="16"/>
              </w:rPr>
              <w:t xml:space="preserve"> (z.</w:t>
            </w:r>
            <w:r w:rsidR="003257EF" w:rsidRPr="00DC5D61">
              <w:rPr>
                <w:sz w:val="16"/>
              </w:rPr>
              <w:t> </w:t>
            </w:r>
            <w:r w:rsidR="003A46E8" w:rsidRPr="00DC5D61">
              <w:rPr>
                <w:sz w:val="16"/>
              </w:rPr>
              <w:t xml:space="preserve">B. </w:t>
            </w:r>
            <w:r w:rsidR="003257EF" w:rsidRPr="00DC5D61">
              <w:rPr>
                <w:sz w:val="16"/>
              </w:rPr>
              <w:t>wirksame</w:t>
            </w:r>
            <w:r w:rsidR="003A46E8" w:rsidRPr="00DC5D61">
              <w:rPr>
                <w:sz w:val="16"/>
              </w:rPr>
              <w:t xml:space="preserve"> Informationsbarrieren </w:t>
            </w:r>
            <w:r w:rsidR="003257EF" w:rsidRPr="00DC5D61">
              <w:rPr>
                <w:sz w:val="16"/>
              </w:rPr>
              <w:t>„</w:t>
            </w:r>
            <w:r w:rsidR="003A46E8" w:rsidRPr="00801977">
              <w:rPr>
                <w:i/>
                <w:iCs/>
                <w:sz w:val="16"/>
              </w:rPr>
              <w:t>Chinese Walls</w:t>
            </w:r>
            <w:r w:rsidR="003257EF" w:rsidRPr="00DC5D61">
              <w:rPr>
                <w:sz w:val="16"/>
              </w:rPr>
              <w:t>“</w:t>
            </w:r>
            <w:r w:rsidR="003A46E8" w:rsidRPr="00DC5D61">
              <w:rPr>
                <w:sz w:val="16"/>
              </w:rPr>
              <w:t xml:space="preserve">, </w:t>
            </w:r>
            <w:r w:rsidR="003A46E8" w:rsidRPr="00801977">
              <w:rPr>
                <w:i/>
                <w:iCs/>
                <w:sz w:val="16"/>
              </w:rPr>
              <w:t>Need-</w:t>
            </w:r>
            <w:proofErr w:type="spellStart"/>
            <w:r w:rsidR="003A46E8" w:rsidRPr="00801977">
              <w:rPr>
                <w:i/>
                <w:iCs/>
                <w:sz w:val="16"/>
              </w:rPr>
              <w:t>To</w:t>
            </w:r>
            <w:proofErr w:type="spellEnd"/>
            <w:r w:rsidR="003A46E8" w:rsidRPr="00801977">
              <w:rPr>
                <w:i/>
                <w:iCs/>
                <w:sz w:val="16"/>
              </w:rPr>
              <w:t>-</w:t>
            </w:r>
            <w:proofErr w:type="spellStart"/>
            <w:r w:rsidR="003A46E8" w:rsidRPr="00801977">
              <w:rPr>
                <w:i/>
                <w:iCs/>
                <w:sz w:val="16"/>
              </w:rPr>
              <w:t>Know</w:t>
            </w:r>
            <w:proofErr w:type="spellEnd"/>
            <w:r w:rsidR="003A46E8" w:rsidRPr="00DC5D61">
              <w:rPr>
                <w:sz w:val="16"/>
              </w:rPr>
              <w:t xml:space="preserve">-Prinzip, </w:t>
            </w:r>
            <w:r w:rsidR="003A46E8" w:rsidRPr="00801977">
              <w:rPr>
                <w:i/>
                <w:iCs/>
                <w:sz w:val="16"/>
              </w:rPr>
              <w:t>Wall-</w:t>
            </w:r>
            <w:proofErr w:type="spellStart"/>
            <w:r w:rsidR="003A46E8" w:rsidRPr="00801977">
              <w:rPr>
                <w:i/>
                <w:iCs/>
                <w:sz w:val="16"/>
              </w:rPr>
              <w:t>Crossings</w:t>
            </w:r>
            <w:proofErr w:type="spellEnd"/>
            <w:r w:rsidR="007C6EDB" w:rsidRPr="00DC5D61">
              <w:rPr>
                <w:sz w:val="16"/>
              </w:rPr>
              <w:t xml:space="preserve">, Dokumentation der Kontakte mit </w:t>
            </w:r>
            <w:r w:rsidR="002810B2">
              <w:rPr>
                <w:sz w:val="16"/>
              </w:rPr>
              <w:t xml:space="preserve">Emittentinnen und </w:t>
            </w:r>
            <w:r w:rsidR="007C6EDB" w:rsidRPr="00DC5D61">
              <w:rPr>
                <w:sz w:val="16"/>
              </w:rPr>
              <w:t>Emittenten</w:t>
            </w:r>
            <w:r w:rsidR="003A46E8" w:rsidRPr="00DC5D61">
              <w:rPr>
                <w:sz w:val="16"/>
              </w:rPr>
              <w:t>)</w:t>
            </w:r>
          </w:p>
          <w:p w14:paraId="1F2419FA" w14:textId="07FF889B" w:rsidR="00EC7380" w:rsidRPr="00EC7380" w:rsidRDefault="00EC7380" w:rsidP="00EC7380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41"/>
              <w:rPr>
                <w:rFonts w:cs="Arial"/>
                <w:sz w:val="16"/>
                <w:szCs w:val="16"/>
              </w:rPr>
            </w:pPr>
            <w:r w:rsidRPr="00801977">
              <w:rPr>
                <w:i/>
                <w:iCs/>
                <w:sz w:val="16"/>
              </w:rPr>
              <w:t>Market Making</w:t>
            </w:r>
            <w:r>
              <w:rPr>
                <w:sz w:val="16"/>
              </w:rPr>
              <w:t xml:space="preserve"> in eigenen Produkten und für Dritte</w:t>
            </w:r>
          </w:p>
          <w:p w14:paraId="74BB397D" w14:textId="77777777" w:rsidR="003A46E8" w:rsidRPr="00DC5D61" w:rsidRDefault="003A46E8" w:rsidP="00710940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42"/>
              <w:rPr>
                <w:rFonts w:cs="Arial"/>
                <w:sz w:val="16"/>
                <w:szCs w:val="16"/>
              </w:rPr>
            </w:pPr>
            <w:r w:rsidRPr="00DC5D61">
              <w:rPr>
                <w:sz w:val="16"/>
              </w:rPr>
              <w:t xml:space="preserve">verschiedene gehandelte Produkte (standardisierte Produkte wie Aktien; nicht standardisierte Produkte wie FX, Rohstoffe, </w:t>
            </w:r>
            <w:r w:rsidRPr="00801977">
              <w:rPr>
                <w:i/>
                <w:iCs/>
                <w:sz w:val="16"/>
              </w:rPr>
              <w:t>Swaps</w:t>
            </w:r>
            <w:r w:rsidRPr="00DC5D61">
              <w:rPr>
                <w:sz w:val="16"/>
              </w:rPr>
              <w:t xml:space="preserve">; Hebelprodukte wie Optionen; </w:t>
            </w:r>
            <w:r w:rsidR="006E0AA0" w:rsidRPr="00DC5D61">
              <w:rPr>
                <w:sz w:val="16"/>
              </w:rPr>
              <w:t xml:space="preserve">stark gehebelte </w:t>
            </w:r>
            <w:r w:rsidRPr="00DC5D61">
              <w:rPr>
                <w:sz w:val="16"/>
              </w:rPr>
              <w:t>Produkte wie CFD)</w:t>
            </w:r>
          </w:p>
          <w:p w14:paraId="4D995869" w14:textId="74A93DBD" w:rsidR="003A46E8" w:rsidRPr="00DC5D61" w:rsidRDefault="003A46E8" w:rsidP="004A241C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42"/>
              <w:rPr>
                <w:rFonts w:cs="Arial"/>
                <w:sz w:val="16"/>
                <w:szCs w:val="16"/>
              </w:rPr>
            </w:pPr>
            <w:r w:rsidRPr="00DC5D61">
              <w:rPr>
                <w:sz w:val="16"/>
              </w:rPr>
              <w:t>verschiedene</w:t>
            </w:r>
            <w:r w:rsidR="002D4163" w:rsidRPr="00DC5D61">
              <w:rPr>
                <w:sz w:val="16"/>
              </w:rPr>
              <w:t xml:space="preserve"> Bereiche / </w:t>
            </w:r>
            <w:r w:rsidR="0094454A" w:rsidRPr="00DC5D61">
              <w:rPr>
                <w:sz w:val="16"/>
              </w:rPr>
              <w:t xml:space="preserve">Abteilungen </w:t>
            </w:r>
            <w:r w:rsidRPr="00DC5D61">
              <w:rPr>
                <w:sz w:val="16"/>
              </w:rPr>
              <w:t>(</w:t>
            </w:r>
            <w:r w:rsidR="0094454A" w:rsidRPr="00DC5D61">
              <w:rPr>
                <w:sz w:val="16"/>
              </w:rPr>
              <w:t>spezifische Teams</w:t>
            </w:r>
            <w:r w:rsidRPr="00DC5D61">
              <w:rPr>
                <w:sz w:val="16"/>
              </w:rPr>
              <w:t xml:space="preserve">, </w:t>
            </w:r>
            <w:proofErr w:type="spellStart"/>
            <w:r w:rsidR="00CD7A65" w:rsidRPr="00DC5D61">
              <w:rPr>
                <w:sz w:val="16"/>
              </w:rPr>
              <w:t>Desks</w:t>
            </w:r>
            <w:proofErr w:type="spellEnd"/>
            <w:r w:rsidRPr="00DC5D61">
              <w:rPr>
                <w:sz w:val="16"/>
              </w:rPr>
              <w:t xml:space="preserve">, </w:t>
            </w:r>
            <w:r w:rsidR="002810B2">
              <w:rPr>
                <w:sz w:val="16"/>
              </w:rPr>
              <w:t xml:space="preserve">Händlerinnen und </w:t>
            </w:r>
            <w:r w:rsidRPr="00DC5D61">
              <w:rPr>
                <w:sz w:val="16"/>
              </w:rPr>
              <w:t xml:space="preserve">Händler, </w:t>
            </w:r>
            <w:r w:rsidR="002810B2">
              <w:rPr>
                <w:sz w:val="16"/>
              </w:rPr>
              <w:t>Kundinnen und</w:t>
            </w:r>
            <w:r w:rsidR="002810B2" w:rsidRPr="00DC5D61">
              <w:rPr>
                <w:sz w:val="16"/>
              </w:rPr>
              <w:t xml:space="preserve"> </w:t>
            </w:r>
            <w:r w:rsidRPr="00DC5D61">
              <w:rPr>
                <w:sz w:val="16"/>
              </w:rPr>
              <w:t xml:space="preserve">Kunden) mit </w:t>
            </w:r>
            <w:r w:rsidR="00CD7A65" w:rsidRPr="00DC5D61">
              <w:rPr>
                <w:sz w:val="16"/>
              </w:rPr>
              <w:t>ungewöhnlich hohen</w:t>
            </w:r>
            <w:r w:rsidRPr="00DC5D61">
              <w:rPr>
                <w:sz w:val="16"/>
              </w:rPr>
              <w:t xml:space="preserve"> Handels</w:t>
            </w:r>
            <w:r w:rsidR="00CD7A65" w:rsidRPr="00DC5D61">
              <w:rPr>
                <w:sz w:val="16"/>
              </w:rPr>
              <w:t>erträgen</w:t>
            </w:r>
            <w:r w:rsidRPr="00DC5D61">
              <w:rPr>
                <w:sz w:val="16"/>
              </w:rPr>
              <w:t xml:space="preserve"> </w:t>
            </w:r>
            <w:r w:rsidR="006E5193" w:rsidRPr="00DC5D61">
              <w:rPr>
                <w:sz w:val="16"/>
              </w:rPr>
              <w:br/>
            </w:r>
            <w:r w:rsidRPr="00DC5D61">
              <w:rPr>
                <w:sz w:val="16"/>
              </w:rPr>
              <w:t>oder stark</w:t>
            </w:r>
            <w:r w:rsidR="00CD7A65" w:rsidRPr="00DC5D61">
              <w:rPr>
                <w:sz w:val="16"/>
              </w:rPr>
              <w:t xml:space="preserve"> volatilen </w:t>
            </w:r>
            <w:r w:rsidRPr="00DC5D61">
              <w:rPr>
                <w:sz w:val="16"/>
              </w:rPr>
              <w:t>Gewinnen/Verlusten</w:t>
            </w:r>
          </w:p>
          <w:p w14:paraId="0EE1927C" w14:textId="629A9211" w:rsidR="009473E3" w:rsidRPr="00DC5D61" w:rsidRDefault="009473E3" w:rsidP="006573BE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42"/>
              <w:rPr>
                <w:rFonts w:cs="Arial"/>
                <w:sz w:val="16"/>
                <w:szCs w:val="16"/>
              </w:rPr>
            </w:pPr>
            <w:r w:rsidRPr="00DC5D61">
              <w:rPr>
                <w:sz w:val="16"/>
              </w:rPr>
              <w:t>Überwachung der</w:t>
            </w:r>
            <w:r w:rsidR="006177CC" w:rsidRPr="00DC5D61">
              <w:rPr>
                <w:sz w:val="16"/>
              </w:rPr>
              <w:t xml:space="preserve"> Aktivitäten von </w:t>
            </w:r>
            <w:r w:rsidR="002810B2">
              <w:rPr>
                <w:sz w:val="16"/>
              </w:rPr>
              <w:t>Kundinnen und</w:t>
            </w:r>
            <w:r w:rsidR="002810B2" w:rsidRPr="00DC5D61">
              <w:rPr>
                <w:sz w:val="16"/>
              </w:rPr>
              <w:t xml:space="preserve"> </w:t>
            </w:r>
            <w:r w:rsidR="006177CC" w:rsidRPr="00DC5D61">
              <w:rPr>
                <w:sz w:val="16"/>
              </w:rPr>
              <w:t>Kunden mit</w:t>
            </w:r>
            <w:r w:rsidRPr="00DC5D61">
              <w:rPr>
                <w:sz w:val="16"/>
              </w:rPr>
              <w:t xml:space="preserve"> </w:t>
            </w:r>
            <w:proofErr w:type="spellStart"/>
            <w:r w:rsidR="004F0E7A" w:rsidRPr="00801977">
              <w:rPr>
                <w:i/>
                <w:iCs/>
                <w:sz w:val="16"/>
              </w:rPr>
              <w:t>dire</w:t>
            </w:r>
            <w:r w:rsidR="009C19C1" w:rsidRPr="00801977">
              <w:rPr>
                <w:i/>
                <w:iCs/>
                <w:sz w:val="16"/>
              </w:rPr>
              <w:t>c</w:t>
            </w:r>
            <w:r w:rsidR="004F0E7A" w:rsidRPr="00801977">
              <w:rPr>
                <w:i/>
                <w:iCs/>
                <w:sz w:val="16"/>
              </w:rPr>
              <w:t>t</w:t>
            </w:r>
            <w:proofErr w:type="spellEnd"/>
            <w:r w:rsidR="004F0E7A" w:rsidRPr="00801977">
              <w:rPr>
                <w:i/>
                <w:iCs/>
                <w:sz w:val="16"/>
              </w:rPr>
              <w:t xml:space="preserve"> </w:t>
            </w:r>
            <w:proofErr w:type="spellStart"/>
            <w:r w:rsidR="004F0E7A" w:rsidRPr="00801977">
              <w:rPr>
                <w:i/>
                <w:iCs/>
                <w:sz w:val="16"/>
              </w:rPr>
              <w:t>market</w:t>
            </w:r>
            <w:proofErr w:type="spellEnd"/>
            <w:r w:rsidR="004F0E7A" w:rsidRPr="00801977">
              <w:rPr>
                <w:i/>
                <w:iCs/>
                <w:sz w:val="16"/>
              </w:rPr>
              <w:t xml:space="preserve"> </w:t>
            </w:r>
            <w:proofErr w:type="spellStart"/>
            <w:r w:rsidR="004F0E7A" w:rsidRPr="00801977">
              <w:rPr>
                <w:i/>
                <w:iCs/>
                <w:sz w:val="16"/>
              </w:rPr>
              <w:t>access</w:t>
            </w:r>
            <w:proofErr w:type="spellEnd"/>
            <w:r w:rsidR="004F0E7A" w:rsidRPr="00DC5D61">
              <w:rPr>
                <w:sz w:val="16"/>
              </w:rPr>
              <w:t xml:space="preserve"> (</w:t>
            </w:r>
            <w:r w:rsidRPr="00DC5D61">
              <w:rPr>
                <w:sz w:val="16"/>
              </w:rPr>
              <w:t>DMA</w:t>
            </w:r>
            <w:r w:rsidR="004F0E7A" w:rsidRPr="00DC5D61">
              <w:rPr>
                <w:sz w:val="16"/>
              </w:rPr>
              <w:t>)</w:t>
            </w:r>
            <w:r w:rsidRPr="00DC5D61">
              <w:rPr>
                <w:sz w:val="16"/>
              </w:rPr>
              <w:t xml:space="preserve"> oder </w:t>
            </w:r>
            <w:proofErr w:type="spellStart"/>
            <w:r w:rsidR="004F0E7A" w:rsidRPr="00801977">
              <w:rPr>
                <w:i/>
                <w:iCs/>
                <w:sz w:val="16"/>
              </w:rPr>
              <w:t>direct</w:t>
            </w:r>
            <w:proofErr w:type="spellEnd"/>
            <w:r w:rsidR="004F0E7A" w:rsidRPr="00801977">
              <w:rPr>
                <w:i/>
                <w:iCs/>
                <w:sz w:val="16"/>
              </w:rPr>
              <w:t xml:space="preserve"> electronic </w:t>
            </w:r>
            <w:proofErr w:type="spellStart"/>
            <w:r w:rsidR="004F0E7A" w:rsidRPr="00801977">
              <w:rPr>
                <w:i/>
                <w:iCs/>
                <w:sz w:val="16"/>
              </w:rPr>
              <w:t>access</w:t>
            </w:r>
            <w:proofErr w:type="spellEnd"/>
            <w:r w:rsidR="004F0E7A" w:rsidRPr="00DC5D61">
              <w:rPr>
                <w:sz w:val="16"/>
              </w:rPr>
              <w:t xml:space="preserve"> (</w:t>
            </w:r>
            <w:r w:rsidRPr="00DC5D61">
              <w:rPr>
                <w:sz w:val="16"/>
              </w:rPr>
              <w:t>DEA</w:t>
            </w:r>
            <w:r w:rsidR="004F0E7A" w:rsidRPr="00DC5D61">
              <w:rPr>
                <w:sz w:val="16"/>
              </w:rPr>
              <w:t>)</w:t>
            </w:r>
            <w:r w:rsidR="006177CC" w:rsidRPr="00DC5D61">
              <w:rPr>
                <w:sz w:val="16"/>
              </w:rPr>
              <w:t>.</w:t>
            </w:r>
            <w:r w:rsidRPr="00DC5D61">
              <w:rPr>
                <w:sz w:val="16"/>
              </w:rPr>
              <w:t xml:space="preserve"> </w:t>
            </w:r>
          </w:p>
        </w:tc>
        <w:tc>
          <w:tcPr>
            <w:tcW w:w="3260" w:type="dxa"/>
          </w:tcPr>
          <w:p w14:paraId="7EBD4675" w14:textId="77777777" w:rsidR="003A46E8" w:rsidRDefault="003A46E8" w:rsidP="00710940">
            <w:pPr>
              <w:spacing w:before="120" w:after="120" w:line="240" w:lineRule="auto"/>
            </w:pPr>
          </w:p>
        </w:tc>
        <w:tc>
          <w:tcPr>
            <w:tcW w:w="2835" w:type="dxa"/>
          </w:tcPr>
          <w:p w14:paraId="3E44E52C" w14:textId="77777777" w:rsidR="003A46E8" w:rsidRPr="007411F5" w:rsidRDefault="003A46E8" w:rsidP="00710940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19" w:type="dxa"/>
          </w:tcPr>
          <w:p w14:paraId="7418ADC3" w14:textId="77777777" w:rsidR="003A46E8" w:rsidRPr="007411F5" w:rsidRDefault="003A46E8" w:rsidP="00710940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3A46E8" w:rsidRPr="003A46E8" w14:paraId="10A78497" w14:textId="77777777" w:rsidTr="00045A42">
        <w:tc>
          <w:tcPr>
            <w:tcW w:w="534" w:type="dxa"/>
          </w:tcPr>
          <w:p w14:paraId="2BF78F95" w14:textId="77777777" w:rsidR="003A46E8" w:rsidRPr="005F6165" w:rsidRDefault="003A46E8" w:rsidP="00710940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34BFF66" w14:textId="77777777" w:rsidR="003A46E8" w:rsidRDefault="003A46E8" w:rsidP="00710940">
            <w:pPr>
              <w:spacing w:before="120" w:after="120"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2591D5B5" w14:textId="77777777" w:rsidR="003A46E8" w:rsidRPr="00DC5D61" w:rsidRDefault="003A46E8" w:rsidP="00E24F81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  <w:r w:rsidRPr="00DC5D61">
              <w:rPr>
                <w:sz w:val="16"/>
              </w:rPr>
              <w:t>Prüfen, ob die Risikoanalyse</w:t>
            </w:r>
            <w:r w:rsidR="005C31A9" w:rsidRPr="00DC5D61">
              <w:rPr>
                <w:sz w:val="16"/>
              </w:rPr>
              <w:t xml:space="preserve"> </w:t>
            </w:r>
            <w:r w:rsidRPr="00DC5D61">
              <w:rPr>
                <w:sz w:val="16"/>
              </w:rPr>
              <w:t xml:space="preserve">jährlich </w:t>
            </w:r>
            <w:r w:rsidR="005C31A9" w:rsidRPr="00DC5D61">
              <w:rPr>
                <w:sz w:val="16"/>
              </w:rPr>
              <w:t xml:space="preserve">überprüft </w:t>
            </w:r>
            <w:r w:rsidRPr="00DC5D61">
              <w:rPr>
                <w:sz w:val="16"/>
              </w:rPr>
              <w:t>w</w:t>
            </w:r>
            <w:r w:rsidR="009D7722" w:rsidRPr="00DC5D61">
              <w:rPr>
                <w:sz w:val="16"/>
              </w:rPr>
              <w:t>i</w:t>
            </w:r>
            <w:r w:rsidRPr="00DC5D61">
              <w:rPr>
                <w:sz w:val="16"/>
              </w:rPr>
              <w:t>rd.</w:t>
            </w:r>
          </w:p>
        </w:tc>
        <w:tc>
          <w:tcPr>
            <w:tcW w:w="3260" w:type="dxa"/>
          </w:tcPr>
          <w:p w14:paraId="66C03893" w14:textId="77777777" w:rsidR="003A46E8" w:rsidRDefault="003A46E8" w:rsidP="00710940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747459A" w14:textId="77777777" w:rsidR="003A46E8" w:rsidRPr="003D149A" w:rsidRDefault="003A46E8" w:rsidP="00710940">
            <w:pPr>
              <w:spacing w:before="120" w:after="120" w:line="240" w:lineRule="auto"/>
              <w:rPr>
                <w:rStyle w:val="Marquedecommentaire"/>
              </w:rPr>
            </w:pPr>
          </w:p>
        </w:tc>
        <w:tc>
          <w:tcPr>
            <w:tcW w:w="1419" w:type="dxa"/>
          </w:tcPr>
          <w:p w14:paraId="04461BDC" w14:textId="77777777" w:rsidR="003A46E8" w:rsidRPr="007411F5" w:rsidRDefault="003A46E8" w:rsidP="00710940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3A46E8" w:rsidRPr="00315A8C" w14:paraId="3E0CF935" w14:textId="77777777" w:rsidTr="00045A42">
        <w:tc>
          <w:tcPr>
            <w:tcW w:w="534" w:type="dxa"/>
          </w:tcPr>
          <w:p w14:paraId="05965B24" w14:textId="77777777" w:rsidR="003A46E8" w:rsidRPr="005F6165" w:rsidRDefault="003A46E8" w:rsidP="00710940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14:paraId="74333616" w14:textId="77777777" w:rsidR="003A46E8" w:rsidRDefault="003A46E8" w:rsidP="00710940">
            <w:pPr>
              <w:spacing w:before="120" w:after="120"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6BAEEB2B" w14:textId="77777777" w:rsidR="003A46E8" w:rsidRPr="00F5791C" w:rsidRDefault="003A46E8" w:rsidP="0050188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Beurteilen, ob die Geschäfts</w:t>
            </w:r>
            <w:r w:rsidR="005C31A9">
              <w:rPr>
                <w:sz w:val="16"/>
              </w:rPr>
              <w:t>leitung</w:t>
            </w:r>
            <w:r>
              <w:rPr>
                <w:sz w:val="16"/>
              </w:rPr>
              <w:t xml:space="preserve"> </w:t>
            </w:r>
            <w:r w:rsidR="00EF24BA">
              <w:rPr>
                <w:sz w:val="16"/>
              </w:rPr>
              <w:t>in die</w:t>
            </w:r>
            <w:r>
              <w:rPr>
                <w:sz w:val="16"/>
              </w:rPr>
              <w:t xml:space="preserve"> mindestens jährlich</w:t>
            </w:r>
            <w:r w:rsidR="00EF24BA">
              <w:rPr>
                <w:sz w:val="16"/>
              </w:rPr>
              <w:t xml:space="preserve"> stattfindende</w:t>
            </w:r>
            <w:r>
              <w:rPr>
                <w:sz w:val="16"/>
              </w:rPr>
              <w:t xml:space="preserve"> Überprüfung</w:t>
            </w:r>
            <w:r w:rsidR="005D4B82">
              <w:rPr>
                <w:sz w:val="16"/>
              </w:rPr>
              <w:t xml:space="preserve"> und </w:t>
            </w:r>
            <w:r>
              <w:rPr>
                <w:sz w:val="16"/>
              </w:rPr>
              <w:t xml:space="preserve">Überarbeitung (falls nötig) </w:t>
            </w:r>
            <w:r w:rsidR="005D4B82">
              <w:rPr>
                <w:sz w:val="16"/>
              </w:rPr>
              <w:t xml:space="preserve">der Risikoanalyse angemessen einbezogen wird </w:t>
            </w:r>
            <w:r>
              <w:rPr>
                <w:sz w:val="16"/>
              </w:rPr>
              <w:t xml:space="preserve">und </w:t>
            </w:r>
            <w:r w:rsidR="00501889">
              <w:rPr>
                <w:sz w:val="16"/>
              </w:rPr>
              <w:t xml:space="preserve">die Risikoanalyse jeweils </w:t>
            </w:r>
            <w:r w:rsidR="005D4B82">
              <w:rPr>
                <w:sz w:val="16"/>
              </w:rPr>
              <w:t>genehmigt</w:t>
            </w:r>
            <w:r>
              <w:rPr>
                <w:sz w:val="16"/>
              </w:rPr>
              <w:t xml:space="preserve">. </w:t>
            </w:r>
          </w:p>
        </w:tc>
        <w:tc>
          <w:tcPr>
            <w:tcW w:w="3260" w:type="dxa"/>
          </w:tcPr>
          <w:p w14:paraId="3080B028" w14:textId="77777777" w:rsidR="003A46E8" w:rsidRPr="00F5791C" w:rsidRDefault="003A46E8" w:rsidP="0071094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3F2B8C9" w14:textId="77777777" w:rsidR="003A46E8" w:rsidRPr="00F5791C" w:rsidRDefault="003A46E8" w:rsidP="00710940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19" w:type="dxa"/>
          </w:tcPr>
          <w:p w14:paraId="21A7D116" w14:textId="77777777" w:rsidR="003A46E8" w:rsidRPr="007411F5" w:rsidRDefault="003A46E8" w:rsidP="00710940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3A46E8" w:rsidRPr="00315A8C" w14:paraId="3A61702E" w14:textId="77777777" w:rsidTr="00045A42">
        <w:tc>
          <w:tcPr>
            <w:tcW w:w="534" w:type="dxa"/>
          </w:tcPr>
          <w:p w14:paraId="12C13349" w14:textId="77777777" w:rsidR="003A46E8" w:rsidRPr="006C26A7" w:rsidRDefault="003A46E8" w:rsidP="00710940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14:paraId="18D92082" w14:textId="77777777" w:rsidR="003A46E8" w:rsidRPr="00927C9E" w:rsidRDefault="003A46E8" w:rsidP="004C69E6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  <w:r>
              <w:rPr>
                <w:b/>
                <w:sz w:val="16"/>
              </w:rPr>
              <w:t xml:space="preserve">Angemessenheit der </w:t>
            </w:r>
            <w:r w:rsidRPr="005D7A6B">
              <w:rPr>
                <w:b/>
                <w:sz w:val="16"/>
              </w:rPr>
              <w:t xml:space="preserve">organisatorischen Massnahmen und internen </w:t>
            </w:r>
            <w:r w:rsidR="004C69E6" w:rsidRPr="005D7A6B">
              <w:rPr>
                <w:b/>
                <w:sz w:val="16"/>
              </w:rPr>
              <w:t xml:space="preserve">Regelungen </w:t>
            </w:r>
            <w:r w:rsidR="00F260E5" w:rsidRPr="005D7A6B">
              <w:rPr>
                <w:b/>
                <w:sz w:val="16"/>
              </w:rPr>
              <w:t>unter Berücksichtigung der</w:t>
            </w:r>
            <w:r>
              <w:rPr>
                <w:b/>
                <w:sz w:val="16"/>
              </w:rPr>
              <w:t xml:space="preserve"> Risikoanalyse </w:t>
            </w:r>
          </w:p>
        </w:tc>
        <w:tc>
          <w:tcPr>
            <w:tcW w:w="3544" w:type="dxa"/>
          </w:tcPr>
          <w:p w14:paraId="5CC0DC6A" w14:textId="77777777" w:rsidR="003A46E8" w:rsidRPr="007411F5" w:rsidRDefault="003A46E8" w:rsidP="00D223B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i/>
                <w:sz w:val="16"/>
                <w:szCs w:val="16"/>
              </w:rPr>
            </w:pPr>
            <w:r>
              <w:rPr>
                <w:i/>
                <w:sz w:val="16"/>
              </w:rPr>
              <w:t>Anhand von Befragungen und Durchsicht von relevanten Dokumenten beurteilen, ob die organisatorischen Massnahmen, die auf de</w:t>
            </w:r>
            <w:r w:rsidR="00226037">
              <w:rPr>
                <w:i/>
                <w:sz w:val="16"/>
              </w:rPr>
              <w:t>r</w:t>
            </w:r>
            <w:r>
              <w:rPr>
                <w:i/>
                <w:sz w:val="16"/>
              </w:rPr>
              <w:t xml:space="preserve"> Risikoanalyse basieren und </w:t>
            </w:r>
            <w:r w:rsidR="00226037">
              <w:rPr>
                <w:i/>
                <w:sz w:val="16"/>
              </w:rPr>
              <w:t xml:space="preserve">davon </w:t>
            </w:r>
            <w:r>
              <w:rPr>
                <w:i/>
                <w:sz w:val="16"/>
              </w:rPr>
              <w:t>abgeleitet wurden</w:t>
            </w:r>
            <w:r w:rsidR="00226037">
              <w:rPr>
                <w:i/>
                <w:sz w:val="16"/>
              </w:rPr>
              <w:t>, angemessen sind.</w:t>
            </w:r>
          </w:p>
        </w:tc>
        <w:tc>
          <w:tcPr>
            <w:tcW w:w="3260" w:type="dxa"/>
          </w:tcPr>
          <w:p w14:paraId="6DD4A965" w14:textId="77777777" w:rsidR="003A46E8" w:rsidRPr="007411F5" w:rsidRDefault="003A46E8" w:rsidP="0071094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2736E32" w14:textId="77777777" w:rsidR="003A46E8" w:rsidRPr="007411F5" w:rsidRDefault="003A46E8" w:rsidP="00710940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19" w:type="dxa"/>
          </w:tcPr>
          <w:p w14:paraId="71573A38" w14:textId="77777777" w:rsidR="003A46E8" w:rsidRPr="007411F5" w:rsidRDefault="003A46E8" w:rsidP="00710940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3A46E8" w:rsidRPr="00315A8C" w14:paraId="7EDF4410" w14:textId="77777777" w:rsidTr="00045A42">
        <w:tc>
          <w:tcPr>
            <w:tcW w:w="534" w:type="dxa"/>
          </w:tcPr>
          <w:p w14:paraId="471955AC" w14:textId="77777777" w:rsidR="003A46E8" w:rsidRPr="007411F5" w:rsidRDefault="003A46E8" w:rsidP="00710940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14:paraId="31F893D5" w14:textId="77777777" w:rsidR="003A46E8" w:rsidRPr="00133AB4" w:rsidDel="007411F5" w:rsidRDefault="003A46E8" w:rsidP="00710940">
            <w:pPr>
              <w:spacing w:before="120" w:after="120"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284C1EE2" w14:textId="4483C89C" w:rsidR="003A46E8" w:rsidRPr="005D7A6B" w:rsidRDefault="003A46E8" w:rsidP="0071094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 w:val="16"/>
                <w:szCs w:val="16"/>
              </w:rPr>
            </w:pPr>
            <w:r w:rsidRPr="005D7A6B">
              <w:rPr>
                <w:sz w:val="16"/>
              </w:rPr>
              <w:t>Beurteil</w:t>
            </w:r>
            <w:r w:rsidR="00BA06F7" w:rsidRPr="005D7A6B">
              <w:rPr>
                <w:sz w:val="16"/>
              </w:rPr>
              <w:t>ung der Angemessenheit der</w:t>
            </w:r>
            <w:r w:rsidRPr="005D7A6B">
              <w:rPr>
                <w:sz w:val="16"/>
              </w:rPr>
              <w:t xml:space="preserve"> </w:t>
            </w:r>
            <w:r w:rsidR="00F9393D" w:rsidRPr="005D7A6B">
              <w:rPr>
                <w:sz w:val="16"/>
              </w:rPr>
              <w:t>Organisation</w:t>
            </w:r>
            <w:r w:rsidRPr="005D7A6B">
              <w:rPr>
                <w:sz w:val="16"/>
              </w:rPr>
              <w:t xml:space="preserve"> und </w:t>
            </w:r>
            <w:r w:rsidR="00BA06F7" w:rsidRPr="005D7A6B">
              <w:rPr>
                <w:sz w:val="16"/>
              </w:rPr>
              <w:t>Prozesse (Design)</w:t>
            </w:r>
            <w:r w:rsidRPr="005D7A6B">
              <w:rPr>
                <w:sz w:val="16"/>
              </w:rPr>
              <w:t xml:space="preserve"> </w:t>
            </w:r>
            <w:r w:rsidR="00BA06F7" w:rsidRPr="005D7A6B">
              <w:rPr>
                <w:sz w:val="16"/>
              </w:rPr>
              <w:t xml:space="preserve">des </w:t>
            </w:r>
            <w:r w:rsidRPr="005D7A6B">
              <w:rPr>
                <w:sz w:val="16"/>
              </w:rPr>
              <w:t>Institut</w:t>
            </w:r>
            <w:r w:rsidR="00BA06F7" w:rsidRPr="005D7A6B">
              <w:rPr>
                <w:sz w:val="16"/>
              </w:rPr>
              <w:t>s</w:t>
            </w:r>
            <w:r w:rsidRPr="005D7A6B">
              <w:rPr>
                <w:sz w:val="16"/>
              </w:rPr>
              <w:t xml:space="preserve"> sowie de</w:t>
            </w:r>
            <w:r w:rsidR="00BA06F7" w:rsidRPr="005D7A6B">
              <w:rPr>
                <w:sz w:val="16"/>
              </w:rPr>
              <w:t>r</w:t>
            </w:r>
            <w:r w:rsidRPr="005D7A6B">
              <w:rPr>
                <w:sz w:val="16"/>
              </w:rPr>
              <w:t xml:space="preserve"> internen </w:t>
            </w:r>
            <w:r w:rsidR="00F9393D" w:rsidRPr="005D7A6B">
              <w:rPr>
                <w:sz w:val="16"/>
              </w:rPr>
              <w:t xml:space="preserve">Weisungen </w:t>
            </w:r>
            <w:r w:rsidRPr="005D7A6B">
              <w:rPr>
                <w:sz w:val="16"/>
              </w:rPr>
              <w:t xml:space="preserve">und Richtlinien </w:t>
            </w:r>
            <w:r w:rsidR="00F9393D" w:rsidRPr="005D7A6B">
              <w:rPr>
                <w:sz w:val="16"/>
              </w:rPr>
              <w:t xml:space="preserve">zum Umgang mit </w:t>
            </w:r>
            <w:r w:rsidR="00BA06F7" w:rsidRPr="005D7A6B">
              <w:rPr>
                <w:sz w:val="16"/>
              </w:rPr>
              <w:t>Risiken im Bereich</w:t>
            </w:r>
            <w:r w:rsidRPr="005D7A6B">
              <w:rPr>
                <w:sz w:val="16"/>
              </w:rPr>
              <w:t xml:space="preserve"> </w:t>
            </w:r>
            <w:r w:rsidR="00EB3D51">
              <w:rPr>
                <w:sz w:val="16"/>
              </w:rPr>
              <w:t>Marktintegrität</w:t>
            </w:r>
            <w:r w:rsidRPr="005D7A6B">
              <w:t>.</w:t>
            </w:r>
            <w:r w:rsidRPr="005D7A6B">
              <w:rPr>
                <w:sz w:val="16"/>
              </w:rPr>
              <w:t xml:space="preserve"> </w:t>
            </w:r>
          </w:p>
          <w:p w14:paraId="0B49890A" w14:textId="77777777" w:rsidR="003A46E8" w:rsidRPr="005D7A6B" w:rsidRDefault="003A46E8" w:rsidP="0071094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  <w:p w14:paraId="1F1AFC4F" w14:textId="1271609C" w:rsidR="003A46E8" w:rsidRPr="005D7A6B" w:rsidRDefault="00F9393D" w:rsidP="0071094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 w:val="16"/>
                <w:szCs w:val="16"/>
              </w:rPr>
            </w:pPr>
            <w:r w:rsidRPr="005D7A6B">
              <w:rPr>
                <w:sz w:val="16"/>
              </w:rPr>
              <w:t>Namentlich</w:t>
            </w:r>
            <w:r w:rsidR="003A46E8" w:rsidRPr="005D7A6B">
              <w:rPr>
                <w:sz w:val="16"/>
              </w:rPr>
              <w:t xml:space="preserve"> ist zu beurteilen, ob die organisatorischen Massnahmen und Regeln die regulatorischen Anforderungen angemessen widerspiegeln und die Risikosituation des Instituts berücksichtigen. </w:t>
            </w:r>
          </w:p>
          <w:p w14:paraId="694E1499" w14:textId="77777777" w:rsidR="003A46E8" w:rsidRPr="005D7A6B" w:rsidRDefault="003A46E8" w:rsidP="0071094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  <w:p w14:paraId="737930BC" w14:textId="77777777" w:rsidR="003A46E8" w:rsidRPr="005D7A6B" w:rsidRDefault="003A46E8" w:rsidP="0071094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 w:val="16"/>
                <w:szCs w:val="16"/>
              </w:rPr>
            </w:pPr>
            <w:r w:rsidRPr="005D7A6B">
              <w:rPr>
                <w:sz w:val="16"/>
              </w:rPr>
              <w:t>Beurteilen, ob das Institut im Fall</w:t>
            </w:r>
            <w:r w:rsidR="005E43EC" w:rsidRPr="005D7A6B">
              <w:rPr>
                <w:sz w:val="16"/>
              </w:rPr>
              <w:t>e</w:t>
            </w:r>
            <w:r w:rsidRPr="005D7A6B">
              <w:rPr>
                <w:sz w:val="16"/>
              </w:rPr>
              <w:t xml:space="preserve"> einer erhöhten Risikosituation </w:t>
            </w:r>
            <w:r w:rsidR="005E43EC" w:rsidRPr="005D7A6B">
              <w:rPr>
                <w:sz w:val="16"/>
              </w:rPr>
              <w:t>entsprechende</w:t>
            </w:r>
            <w:r w:rsidR="000A2823" w:rsidRPr="005D7A6B">
              <w:rPr>
                <w:sz w:val="16"/>
              </w:rPr>
              <w:t xml:space="preserve"> erweiterte</w:t>
            </w:r>
            <w:r w:rsidR="005E43EC" w:rsidRPr="005D7A6B">
              <w:rPr>
                <w:sz w:val="16"/>
              </w:rPr>
              <w:t xml:space="preserve"> </w:t>
            </w:r>
            <w:r w:rsidRPr="005D7A6B">
              <w:rPr>
                <w:sz w:val="16"/>
              </w:rPr>
              <w:t xml:space="preserve">Massnahmen umgesetzt hat, </w:t>
            </w:r>
            <w:r w:rsidR="005E43EC" w:rsidRPr="005D7A6B">
              <w:rPr>
                <w:sz w:val="16"/>
                <w:u w:val="single"/>
              </w:rPr>
              <w:t>namentlich</w:t>
            </w:r>
            <w:r w:rsidRPr="005D7A6B">
              <w:rPr>
                <w:sz w:val="16"/>
              </w:rPr>
              <w:t>:</w:t>
            </w:r>
          </w:p>
          <w:p w14:paraId="03DB3E3A" w14:textId="77777777" w:rsidR="003A46E8" w:rsidRPr="004F3E70" w:rsidRDefault="003A46E8" w:rsidP="00213917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 w:val="16"/>
                <w:szCs w:val="16"/>
              </w:rPr>
            </w:pPr>
            <w:r w:rsidRPr="004F3E70">
              <w:rPr>
                <w:sz w:val="16"/>
              </w:rPr>
              <w:t xml:space="preserve">Beurteilen, ob angemessene Massnahmen </w:t>
            </w:r>
            <w:r w:rsidR="007123D3" w:rsidRPr="004F3E70">
              <w:rPr>
                <w:sz w:val="16"/>
              </w:rPr>
              <w:t xml:space="preserve">getroffen wurden, </w:t>
            </w:r>
            <w:r w:rsidRPr="004F3E70">
              <w:rPr>
                <w:sz w:val="16"/>
              </w:rPr>
              <w:t>um sicherzustellen, dass i) Informationsbarrieren und Vertraulichkeits</w:t>
            </w:r>
            <w:r w:rsidR="00DB32C7" w:rsidRPr="004F3E70">
              <w:rPr>
                <w:sz w:val="16"/>
              </w:rPr>
              <w:t>bereiche</w:t>
            </w:r>
            <w:r w:rsidRPr="004F3E70">
              <w:rPr>
                <w:sz w:val="16"/>
              </w:rPr>
              <w:t xml:space="preserve"> vorhanden sind und ii) </w:t>
            </w:r>
            <w:r w:rsidR="00DB32C7" w:rsidRPr="004F3E70">
              <w:rPr>
                <w:sz w:val="16"/>
              </w:rPr>
              <w:t xml:space="preserve">die </w:t>
            </w:r>
            <w:r w:rsidR="007123D3" w:rsidRPr="00801977">
              <w:rPr>
                <w:i/>
                <w:iCs/>
                <w:sz w:val="16"/>
              </w:rPr>
              <w:t>Watch List</w:t>
            </w:r>
            <w:r w:rsidR="007123D3" w:rsidRPr="004F3E70">
              <w:rPr>
                <w:sz w:val="16"/>
              </w:rPr>
              <w:t xml:space="preserve"> </w:t>
            </w:r>
            <w:r w:rsidRPr="004F3E70">
              <w:rPr>
                <w:sz w:val="16"/>
              </w:rPr>
              <w:t xml:space="preserve">und </w:t>
            </w:r>
            <w:proofErr w:type="spellStart"/>
            <w:r w:rsidR="007123D3" w:rsidRPr="00801977">
              <w:rPr>
                <w:i/>
                <w:iCs/>
                <w:sz w:val="16"/>
              </w:rPr>
              <w:t>Restricted</w:t>
            </w:r>
            <w:proofErr w:type="spellEnd"/>
            <w:r w:rsidR="007123D3" w:rsidRPr="00801977">
              <w:rPr>
                <w:i/>
                <w:iCs/>
                <w:sz w:val="16"/>
              </w:rPr>
              <w:t xml:space="preserve"> List</w:t>
            </w:r>
            <w:r w:rsidR="003E7957" w:rsidRPr="00801977">
              <w:rPr>
                <w:i/>
                <w:iCs/>
                <w:sz w:val="16"/>
              </w:rPr>
              <w:t xml:space="preserve"> </w:t>
            </w:r>
            <w:r w:rsidR="003E7957" w:rsidRPr="004F3E70">
              <w:rPr>
                <w:sz w:val="16"/>
              </w:rPr>
              <w:t>sorgfältig erstellt und gepfleg</w:t>
            </w:r>
            <w:r w:rsidR="00AF18F6" w:rsidRPr="004F3E70">
              <w:rPr>
                <w:sz w:val="16"/>
              </w:rPr>
              <w:t>t werden</w:t>
            </w:r>
            <w:r w:rsidRPr="004F3E70">
              <w:rPr>
                <w:sz w:val="16"/>
              </w:rPr>
              <w:t>.</w:t>
            </w:r>
          </w:p>
          <w:p w14:paraId="42220BA1" w14:textId="77777777" w:rsidR="003A46E8" w:rsidRPr="004F3E70" w:rsidRDefault="0094454A" w:rsidP="00213917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 w:val="16"/>
                <w:szCs w:val="16"/>
              </w:rPr>
            </w:pPr>
            <w:r w:rsidRPr="004F3E70">
              <w:rPr>
                <w:sz w:val="16"/>
              </w:rPr>
              <w:t>Beurteilen</w:t>
            </w:r>
            <w:r w:rsidR="003A46E8" w:rsidRPr="004F3E70">
              <w:rPr>
                <w:sz w:val="16"/>
              </w:rPr>
              <w:t xml:space="preserve">, ob eine Richtlinie besteht, die die Überwachung von Transaktionen </w:t>
            </w:r>
            <w:r w:rsidR="00C34521" w:rsidRPr="004F3E70">
              <w:rPr>
                <w:sz w:val="16"/>
              </w:rPr>
              <w:t xml:space="preserve">der </w:t>
            </w:r>
            <w:r w:rsidR="002360BD" w:rsidRPr="004F3E70">
              <w:rPr>
                <w:sz w:val="16"/>
              </w:rPr>
              <w:t>Mitglieder des Oberleitungsorgans</w:t>
            </w:r>
            <w:r w:rsidR="003A46E8" w:rsidRPr="004F3E70">
              <w:rPr>
                <w:sz w:val="16"/>
              </w:rPr>
              <w:t>, der Geschäfts</w:t>
            </w:r>
            <w:r w:rsidR="00B72AED" w:rsidRPr="004F3E70">
              <w:rPr>
                <w:sz w:val="16"/>
              </w:rPr>
              <w:t>leitung</w:t>
            </w:r>
            <w:r w:rsidR="00290B77" w:rsidRPr="004F3E70">
              <w:rPr>
                <w:sz w:val="16"/>
              </w:rPr>
              <w:t>smitglieder</w:t>
            </w:r>
            <w:r w:rsidR="003A46E8" w:rsidRPr="004F3E70">
              <w:rPr>
                <w:sz w:val="16"/>
              </w:rPr>
              <w:t xml:space="preserve"> und der Mitarbeitenden des Instituts regelt.</w:t>
            </w:r>
          </w:p>
          <w:p w14:paraId="3966B2B6" w14:textId="5EE28046" w:rsidR="003A46E8" w:rsidRPr="004F3E70" w:rsidRDefault="0094454A" w:rsidP="00C3586B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 w:val="16"/>
                <w:szCs w:val="16"/>
              </w:rPr>
            </w:pPr>
            <w:r w:rsidRPr="004F3E70">
              <w:rPr>
                <w:sz w:val="16"/>
              </w:rPr>
              <w:t>Beurteilen</w:t>
            </w:r>
            <w:r w:rsidR="00DB32C7" w:rsidRPr="004F3E70">
              <w:rPr>
                <w:sz w:val="16"/>
              </w:rPr>
              <w:t>,</w:t>
            </w:r>
            <w:r w:rsidR="003A46E8" w:rsidRPr="004F3E70">
              <w:rPr>
                <w:sz w:val="16"/>
              </w:rPr>
              <w:t xml:space="preserve"> ob angemessene technische Massnahmen umgesetzt wurden, </w:t>
            </w:r>
            <w:r w:rsidR="00E02BBB" w:rsidRPr="004F3E70">
              <w:rPr>
                <w:sz w:val="16"/>
              </w:rPr>
              <w:t xml:space="preserve">die gewährleisten, dass </w:t>
            </w:r>
            <w:r w:rsidR="003A46E8" w:rsidRPr="004F3E70">
              <w:rPr>
                <w:sz w:val="16"/>
              </w:rPr>
              <w:t xml:space="preserve">alle Telefongespräche </w:t>
            </w:r>
            <w:r w:rsidR="004F3E70">
              <w:rPr>
                <w:sz w:val="16"/>
              </w:rPr>
              <w:t xml:space="preserve">und andere </w:t>
            </w:r>
            <w:r w:rsidR="00EC7380">
              <w:rPr>
                <w:sz w:val="16"/>
              </w:rPr>
              <w:t>elektronische</w:t>
            </w:r>
            <w:r w:rsidR="00C3586B">
              <w:rPr>
                <w:sz w:val="16"/>
              </w:rPr>
              <w:t xml:space="preserve"> </w:t>
            </w:r>
            <w:r w:rsidR="004F3E70">
              <w:rPr>
                <w:sz w:val="16"/>
              </w:rPr>
              <w:t>Kommunikation (z.B. Chat</w:t>
            </w:r>
            <w:r w:rsidR="002810B2">
              <w:rPr>
                <w:sz w:val="16"/>
              </w:rPr>
              <w:t>-V</w:t>
            </w:r>
            <w:r w:rsidR="004F3E70">
              <w:rPr>
                <w:sz w:val="16"/>
              </w:rPr>
              <w:t>erläufe</w:t>
            </w:r>
            <w:r w:rsidR="00EC7380">
              <w:rPr>
                <w:sz w:val="16"/>
              </w:rPr>
              <w:t>, E-Mails</w:t>
            </w:r>
            <w:r w:rsidR="004F3E70">
              <w:rPr>
                <w:sz w:val="16"/>
              </w:rPr>
              <w:t xml:space="preserve">) </w:t>
            </w:r>
            <w:r w:rsidR="003A46E8" w:rsidRPr="004F3E70">
              <w:rPr>
                <w:sz w:val="16"/>
              </w:rPr>
              <w:t xml:space="preserve">von </w:t>
            </w:r>
            <w:r w:rsidR="00BB4998" w:rsidRPr="004F3E70">
              <w:rPr>
                <w:sz w:val="16"/>
              </w:rPr>
              <w:t>verantwortlichen</w:t>
            </w:r>
            <w:r w:rsidR="003A46E8" w:rsidRPr="004F3E70">
              <w:rPr>
                <w:sz w:val="16"/>
              </w:rPr>
              <w:t xml:space="preserve">, im Handel tätigen Mitarbeitenden aufgezeichnet und </w:t>
            </w:r>
            <w:r w:rsidR="004F6B2A">
              <w:rPr>
                <w:sz w:val="16"/>
              </w:rPr>
              <w:t>diese angemessen</w:t>
            </w:r>
            <w:r w:rsidR="003A46E8" w:rsidRPr="004F3E70">
              <w:rPr>
                <w:sz w:val="16"/>
              </w:rPr>
              <w:t xml:space="preserve"> überwacht werden.</w:t>
            </w:r>
          </w:p>
          <w:p w14:paraId="20111AAB" w14:textId="48F1A0B5" w:rsidR="003A46E8" w:rsidRPr="00A32A8E" w:rsidRDefault="003A46E8" w:rsidP="00213917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caps/>
                <w:sz w:val="16"/>
                <w:szCs w:val="16"/>
              </w:rPr>
            </w:pPr>
            <w:r w:rsidRPr="00A32A8E">
              <w:rPr>
                <w:sz w:val="16"/>
              </w:rPr>
              <w:t>Beurteilen, ob das Institut über ein angemessenes Schulungsprogramm zu</w:t>
            </w:r>
            <w:r w:rsidR="005C649A" w:rsidRPr="00A32A8E">
              <w:rPr>
                <w:sz w:val="16"/>
              </w:rPr>
              <w:t xml:space="preserve"> Risiken im Bereich</w:t>
            </w:r>
            <w:r w:rsidRPr="00A32A8E">
              <w:rPr>
                <w:sz w:val="16"/>
              </w:rPr>
              <w:t xml:space="preserve"> </w:t>
            </w:r>
            <w:r w:rsidR="004B1AAE" w:rsidRPr="00A32A8E">
              <w:rPr>
                <w:sz w:val="16"/>
              </w:rPr>
              <w:t xml:space="preserve">Marktintegrität </w:t>
            </w:r>
            <w:r w:rsidRPr="00A32A8E">
              <w:rPr>
                <w:sz w:val="16"/>
              </w:rPr>
              <w:t>verfügt.</w:t>
            </w:r>
          </w:p>
        </w:tc>
        <w:tc>
          <w:tcPr>
            <w:tcW w:w="3260" w:type="dxa"/>
          </w:tcPr>
          <w:p w14:paraId="4B38CD2A" w14:textId="77777777" w:rsidR="003A46E8" w:rsidRPr="005D7A6B" w:rsidDel="007411F5" w:rsidRDefault="003A46E8" w:rsidP="0071094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D23A331" w14:textId="77777777" w:rsidR="003A46E8" w:rsidRPr="00133AB4" w:rsidRDefault="003A46E8" w:rsidP="00710940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19" w:type="dxa"/>
          </w:tcPr>
          <w:p w14:paraId="3B386DF6" w14:textId="77777777" w:rsidR="003A46E8" w:rsidRPr="00133AB4" w:rsidRDefault="003A46E8" w:rsidP="00710940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3A46E8" w:rsidRPr="00315A8C" w14:paraId="4396AF49" w14:textId="77777777" w:rsidTr="00045A42">
        <w:tc>
          <w:tcPr>
            <w:tcW w:w="534" w:type="dxa"/>
          </w:tcPr>
          <w:p w14:paraId="564327E0" w14:textId="77777777" w:rsidR="003A46E8" w:rsidRPr="00DF4120" w:rsidRDefault="003A46E8" w:rsidP="00710940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95DA533" w14:textId="77777777" w:rsidR="003A46E8" w:rsidRPr="00927C9E" w:rsidRDefault="003A46E8" w:rsidP="00710940">
            <w:pPr>
              <w:spacing w:before="120" w:after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Kontrollen zur Prävention und Erkennung von Marktmissbrauch</w:t>
            </w:r>
          </w:p>
        </w:tc>
        <w:tc>
          <w:tcPr>
            <w:tcW w:w="3544" w:type="dxa"/>
          </w:tcPr>
          <w:p w14:paraId="489773C9" w14:textId="77777777" w:rsidR="003A46E8" w:rsidRPr="005D7A6B" w:rsidRDefault="00377CE8" w:rsidP="00377CE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i/>
                <w:sz w:val="16"/>
                <w:szCs w:val="16"/>
              </w:rPr>
            </w:pPr>
            <w:r w:rsidRPr="005D7A6B">
              <w:rPr>
                <w:i/>
                <w:sz w:val="16"/>
              </w:rPr>
              <w:t>Beurteilen</w:t>
            </w:r>
            <w:r w:rsidR="00597B03" w:rsidRPr="005D7A6B">
              <w:rPr>
                <w:i/>
                <w:sz w:val="16"/>
              </w:rPr>
              <w:t xml:space="preserve"> </w:t>
            </w:r>
            <w:r w:rsidR="003A46E8" w:rsidRPr="005D7A6B">
              <w:rPr>
                <w:i/>
                <w:sz w:val="16"/>
              </w:rPr>
              <w:t xml:space="preserve">oder </w:t>
            </w:r>
            <w:r w:rsidR="005C6983" w:rsidRPr="005D7A6B">
              <w:rPr>
                <w:i/>
                <w:sz w:val="16"/>
              </w:rPr>
              <w:t>p</w:t>
            </w:r>
            <w:r w:rsidRPr="005D7A6B">
              <w:rPr>
                <w:i/>
                <w:sz w:val="16"/>
              </w:rPr>
              <w:t>rüfen</w:t>
            </w:r>
            <w:r w:rsidR="003A46E8" w:rsidRPr="005D7A6B">
              <w:rPr>
                <w:i/>
                <w:sz w:val="16"/>
              </w:rPr>
              <w:t xml:space="preserve">, ob Kontrollen zur Prävention und Erkennung von Marktmissbrauch </w:t>
            </w:r>
            <w:r w:rsidR="00D223B4" w:rsidRPr="005D7A6B">
              <w:rPr>
                <w:i/>
                <w:sz w:val="16"/>
              </w:rPr>
              <w:t xml:space="preserve">auf Basis des Kontrolldesigns und der entsprechenden Prozesse angemessen </w:t>
            </w:r>
            <w:r w:rsidR="003A46E8" w:rsidRPr="005D7A6B">
              <w:rPr>
                <w:i/>
                <w:sz w:val="16"/>
              </w:rPr>
              <w:t>durchgeführt werden.</w:t>
            </w:r>
          </w:p>
        </w:tc>
        <w:tc>
          <w:tcPr>
            <w:tcW w:w="3260" w:type="dxa"/>
          </w:tcPr>
          <w:p w14:paraId="7541D330" w14:textId="77777777" w:rsidR="003A46E8" w:rsidRPr="005D7A6B" w:rsidRDefault="003A46E8" w:rsidP="00710940">
            <w:pPr>
              <w:pStyle w:val="Bullet"/>
              <w:numPr>
                <w:ilvl w:val="0"/>
                <w:numId w:val="0"/>
              </w:numPr>
              <w:spacing w:before="120" w:after="120"/>
              <w:ind w:left="63"/>
            </w:pPr>
          </w:p>
        </w:tc>
        <w:tc>
          <w:tcPr>
            <w:tcW w:w="2835" w:type="dxa"/>
          </w:tcPr>
          <w:p w14:paraId="794FCB39" w14:textId="77777777" w:rsidR="003A46E8" w:rsidRPr="00133AB4" w:rsidRDefault="003A46E8" w:rsidP="00710940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19" w:type="dxa"/>
          </w:tcPr>
          <w:p w14:paraId="05345467" w14:textId="77777777" w:rsidR="003A46E8" w:rsidRPr="00133AB4" w:rsidRDefault="003A46E8" w:rsidP="00710940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3A46E8" w:rsidRPr="003A46E8" w14:paraId="56FF4BD0" w14:textId="77777777" w:rsidTr="00045A42">
        <w:tc>
          <w:tcPr>
            <w:tcW w:w="534" w:type="dxa"/>
          </w:tcPr>
          <w:p w14:paraId="06CF6262" w14:textId="77777777" w:rsidR="003A46E8" w:rsidRPr="002E0311" w:rsidRDefault="003A46E8" w:rsidP="00710940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CFDFB6D" w14:textId="77777777" w:rsidR="003A46E8" w:rsidRPr="00133AB4" w:rsidRDefault="003A46E8" w:rsidP="00710940">
            <w:pPr>
              <w:spacing w:before="120" w:after="120"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16A37CC9" w14:textId="77777777" w:rsidR="003A46E8" w:rsidRPr="005D7A6B" w:rsidRDefault="0094454A" w:rsidP="00710940">
            <w:pPr>
              <w:pStyle w:val="Bullet"/>
              <w:numPr>
                <w:ilvl w:val="0"/>
                <w:numId w:val="0"/>
              </w:numPr>
              <w:spacing w:before="120" w:after="120"/>
            </w:pPr>
            <w:r w:rsidRPr="005D7A6B">
              <w:t>Verstehen</w:t>
            </w:r>
            <w:r w:rsidR="00597B03" w:rsidRPr="005D7A6B">
              <w:t xml:space="preserve"> und beurteilen</w:t>
            </w:r>
            <w:r w:rsidR="003A46E8" w:rsidRPr="005D7A6B">
              <w:t xml:space="preserve">, ob angemessene Kontrollen zur Prävention und Erkennung von Marktmissbrauch bestehen. </w:t>
            </w:r>
            <w:r w:rsidR="00A82180" w:rsidRPr="005D7A6B">
              <w:t>Beurteilung de</w:t>
            </w:r>
            <w:r w:rsidR="00BF3564" w:rsidRPr="005D7A6B">
              <w:t>r Wirksamkeit des</w:t>
            </w:r>
            <w:r w:rsidR="00A82180" w:rsidRPr="005D7A6B">
              <w:t xml:space="preserve"> Designs</w:t>
            </w:r>
            <w:r w:rsidRPr="005D7A6B">
              <w:t xml:space="preserve"> </w:t>
            </w:r>
            <w:r w:rsidR="00A82180" w:rsidRPr="005D7A6B">
              <w:t xml:space="preserve">der Kontrollen </w:t>
            </w:r>
            <w:r w:rsidR="003A46E8" w:rsidRPr="005D7A6B">
              <w:t>mithilfe von Befragungen des Managements und weiterer Mitarbeitenden sowie der Durchsicht von internen Berichten. Die Beurteilung sollte folgende Elemente einschliessen:</w:t>
            </w:r>
          </w:p>
          <w:p w14:paraId="18F6EBFC" w14:textId="77777777" w:rsidR="003A46E8" w:rsidRPr="005D7A6B" w:rsidRDefault="003A46E8" w:rsidP="00710940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39"/>
              <w:rPr>
                <w:rFonts w:cs="Arial"/>
                <w:sz w:val="16"/>
                <w:szCs w:val="16"/>
              </w:rPr>
            </w:pPr>
            <w:r w:rsidRPr="005D7A6B">
              <w:rPr>
                <w:sz w:val="16"/>
              </w:rPr>
              <w:t>Berichterstattung zur Prävention und Erkennung von Marktmissbrauch</w:t>
            </w:r>
            <w:r w:rsidR="00A82180" w:rsidRPr="005D7A6B">
              <w:rPr>
                <w:sz w:val="16"/>
              </w:rPr>
              <w:t xml:space="preserve"> an die</w:t>
            </w:r>
            <w:r w:rsidRPr="005D7A6B">
              <w:rPr>
                <w:sz w:val="16"/>
              </w:rPr>
              <w:t xml:space="preserve"> Geschäfts</w:t>
            </w:r>
            <w:r w:rsidR="00B72AED" w:rsidRPr="005D7A6B">
              <w:rPr>
                <w:sz w:val="16"/>
              </w:rPr>
              <w:t>leitung</w:t>
            </w:r>
            <w:r w:rsidRPr="005D7A6B">
              <w:rPr>
                <w:sz w:val="16"/>
              </w:rPr>
              <w:t>;</w:t>
            </w:r>
          </w:p>
          <w:p w14:paraId="53C7E887" w14:textId="094B817A" w:rsidR="003A46E8" w:rsidRPr="005D7A6B" w:rsidRDefault="004A626B" w:rsidP="00710940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39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</w:t>
            </w:r>
            <w:r w:rsidR="003A46E8" w:rsidRPr="005D7A6B">
              <w:rPr>
                <w:sz w:val="16"/>
              </w:rPr>
              <w:t>ngemessenheit von Systemen und Kontrollen zur Erkennung von Marktmissbrauch (</w:t>
            </w:r>
            <w:r w:rsidR="002810B2">
              <w:rPr>
                <w:sz w:val="16"/>
              </w:rPr>
              <w:t>Kundinnen bzw.</w:t>
            </w:r>
            <w:r w:rsidR="002810B2" w:rsidRPr="005D7A6B">
              <w:rPr>
                <w:sz w:val="16"/>
              </w:rPr>
              <w:t xml:space="preserve"> </w:t>
            </w:r>
            <w:r w:rsidR="003A46E8" w:rsidRPr="005D7A6B">
              <w:rPr>
                <w:sz w:val="16"/>
              </w:rPr>
              <w:t xml:space="preserve">Kunden/Depotbanken) in regulierten und nicht regulierten Märkten, inklusive angemessener Dokumentation aller Transaktionen, die aufgrund von Hinweisen auf möglichen </w:t>
            </w:r>
            <w:r w:rsidR="00A82180" w:rsidRPr="005D7A6B">
              <w:rPr>
                <w:sz w:val="16"/>
              </w:rPr>
              <w:t xml:space="preserve">Missbrauch </w:t>
            </w:r>
            <w:r w:rsidR="003A46E8" w:rsidRPr="005D7A6B">
              <w:rPr>
                <w:sz w:val="16"/>
              </w:rPr>
              <w:t xml:space="preserve">geprüft werden; </w:t>
            </w:r>
          </w:p>
          <w:p w14:paraId="373075E9" w14:textId="77777777" w:rsidR="003A46E8" w:rsidRPr="005D7A6B" w:rsidRDefault="003A46E8" w:rsidP="00710940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39"/>
              <w:rPr>
                <w:rFonts w:cs="Arial"/>
                <w:sz w:val="16"/>
                <w:szCs w:val="16"/>
              </w:rPr>
            </w:pPr>
            <w:r w:rsidRPr="005D7A6B">
              <w:rPr>
                <w:sz w:val="16"/>
              </w:rPr>
              <w:t>Angemessenheit von Mitarbeiterschulungs</w:t>
            </w:r>
            <w:r w:rsidR="00A82180" w:rsidRPr="005D7A6B">
              <w:rPr>
                <w:sz w:val="16"/>
              </w:rPr>
              <w:t>p</w:t>
            </w:r>
            <w:r w:rsidRPr="005D7A6B">
              <w:rPr>
                <w:sz w:val="16"/>
              </w:rPr>
              <w:t xml:space="preserve">rogrammen zu Marktmissbrauch, </w:t>
            </w:r>
            <w:proofErr w:type="gramStart"/>
            <w:r w:rsidR="00A82180" w:rsidRPr="005D7A6B">
              <w:rPr>
                <w:sz w:val="16"/>
              </w:rPr>
              <w:t>einschliesslich</w:t>
            </w:r>
            <w:r w:rsidRPr="005D7A6B">
              <w:rPr>
                <w:sz w:val="16"/>
              </w:rPr>
              <w:t xml:space="preserve"> obere</w:t>
            </w:r>
            <w:r w:rsidR="00A82180" w:rsidRPr="005D7A6B">
              <w:rPr>
                <w:sz w:val="16"/>
              </w:rPr>
              <w:t>s</w:t>
            </w:r>
            <w:r w:rsidR="00597B03" w:rsidRPr="005D7A6B">
              <w:rPr>
                <w:sz w:val="16"/>
              </w:rPr>
              <w:t xml:space="preserve"> Management</w:t>
            </w:r>
            <w:proofErr w:type="gramEnd"/>
            <w:r w:rsidRPr="005D7A6B">
              <w:rPr>
                <w:sz w:val="16"/>
              </w:rPr>
              <w:t xml:space="preserve"> und Topmanagement;</w:t>
            </w:r>
          </w:p>
          <w:p w14:paraId="59283094" w14:textId="77777777" w:rsidR="003A46E8" w:rsidRPr="005D7A6B" w:rsidRDefault="003A46E8" w:rsidP="00710940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39"/>
              <w:rPr>
                <w:rFonts w:cs="Arial"/>
                <w:sz w:val="16"/>
                <w:szCs w:val="16"/>
              </w:rPr>
            </w:pPr>
            <w:r w:rsidRPr="005D7A6B">
              <w:rPr>
                <w:sz w:val="16"/>
              </w:rPr>
              <w:t xml:space="preserve">Massnahmen zur Kontrolle der Handelsaktivitäten von </w:t>
            </w:r>
            <w:r w:rsidR="00C910B0" w:rsidRPr="005D7A6B">
              <w:rPr>
                <w:sz w:val="16"/>
              </w:rPr>
              <w:t>M</w:t>
            </w:r>
            <w:r w:rsidRPr="005D7A6B">
              <w:rPr>
                <w:sz w:val="16"/>
              </w:rPr>
              <w:t>itgliedern</w:t>
            </w:r>
            <w:r w:rsidR="00C910B0" w:rsidRPr="005D7A6B">
              <w:rPr>
                <w:sz w:val="16"/>
              </w:rPr>
              <w:t xml:space="preserve"> des Oberleitungsorgans</w:t>
            </w:r>
            <w:r w:rsidRPr="005D7A6B">
              <w:rPr>
                <w:sz w:val="16"/>
              </w:rPr>
              <w:t>, Geschäfts</w:t>
            </w:r>
            <w:r w:rsidR="00B72AED" w:rsidRPr="005D7A6B">
              <w:rPr>
                <w:sz w:val="16"/>
              </w:rPr>
              <w:t>leitung</w:t>
            </w:r>
            <w:r w:rsidR="00F36497" w:rsidRPr="005D7A6B">
              <w:rPr>
                <w:sz w:val="16"/>
              </w:rPr>
              <w:t>smitgliedern</w:t>
            </w:r>
            <w:r w:rsidRPr="005D7A6B">
              <w:rPr>
                <w:sz w:val="16"/>
              </w:rPr>
              <w:t xml:space="preserve"> und Mitarbeitenden;</w:t>
            </w:r>
          </w:p>
          <w:p w14:paraId="75DC7BCC" w14:textId="325FDF10" w:rsidR="003A46E8" w:rsidRPr="005D7A6B" w:rsidRDefault="003A46E8" w:rsidP="00710940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39"/>
              <w:rPr>
                <w:rFonts w:cs="Arial"/>
                <w:sz w:val="16"/>
                <w:szCs w:val="16"/>
              </w:rPr>
            </w:pPr>
            <w:r w:rsidRPr="005D7A6B">
              <w:rPr>
                <w:sz w:val="16"/>
              </w:rPr>
              <w:t xml:space="preserve">Existenz und regelmässige Aktualisierung </w:t>
            </w:r>
            <w:r w:rsidR="00597B03" w:rsidRPr="005D7A6B">
              <w:rPr>
                <w:sz w:val="16"/>
              </w:rPr>
              <w:t xml:space="preserve">der </w:t>
            </w:r>
            <w:r w:rsidR="00F60DFB" w:rsidRPr="00801977">
              <w:rPr>
                <w:i/>
                <w:iCs/>
                <w:sz w:val="16"/>
              </w:rPr>
              <w:t>Watch List</w:t>
            </w:r>
            <w:r w:rsidRPr="005D7A6B">
              <w:rPr>
                <w:sz w:val="16"/>
              </w:rPr>
              <w:t xml:space="preserve"> und</w:t>
            </w:r>
            <w:r w:rsidR="00F60DFB" w:rsidRPr="005D7A6B">
              <w:rPr>
                <w:sz w:val="16"/>
              </w:rPr>
              <w:t xml:space="preserve"> </w:t>
            </w:r>
            <w:proofErr w:type="gramStart"/>
            <w:r w:rsidR="008365F5" w:rsidRPr="008365F5">
              <w:rPr>
                <w:i/>
                <w:iCs/>
                <w:sz w:val="16"/>
              </w:rPr>
              <w:t>Erstritte</w:t>
            </w:r>
            <w:proofErr w:type="gramEnd"/>
            <w:r w:rsidR="00F60DFB" w:rsidRPr="00801977">
              <w:rPr>
                <w:i/>
                <w:iCs/>
                <w:sz w:val="16"/>
              </w:rPr>
              <w:t xml:space="preserve"> List</w:t>
            </w:r>
            <w:r w:rsidRPr="005D7A6B">
              <w:rPr>
                <w:sz w:val="16"/>
              </w:rPr>
              <w:t>;</w:t>
            </w:r>
          </w:p>
          <w:p w14:paraId="26863FBD" w14:textId="77777777" w:rsidR="003A46E8" w:rsidRPr="005D7A6B" w:rsidRDefault="003A46E8" w:rsidP="00710940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39"/>
              <w:rPr>
                <w:rFonts w:cs="Arial"/>
                <w:sz w:val="16"/>
                <w:szCs w:val="16"/>
              </w:rPr>
            </w:pPr>
            <w:r w:rsidRPr="005D7A6B">
              <w:rPr>
                <w:sz w:val="16"/>
              </w:rPr>
              <w:t xml:space="preserve">Überwachung von Transaktionen von </w:t>
            </w:r>
            <w:r w:rsidR="00C910B0" w:rsidRPr="005D7A6B">
              <w:rPr>
                <w:sz w:val="16"/>
              </w:rPr>
              <w:t>M</w:t>
            </w:r>
            <w:r w:rsidRPr="005D7A6B">
              <w:rPr>
                <w:sz w:val="16"/>
              </w:rPr>
              <w:t>itgliedern</w:t>
            </w:r>
            <w:r w:rsidR="00C910B0" w:rsidRPr="005D7A6B">
              <w:rPr>
                <w:sz w:val="16"/>
              </w:rPr>
              <w:t xml:space="preserve"> des Oberleitungsorgans</w:t>
            </w:r>
            <w:r w:rsidRPr="005D7A6B">
              <w:rPr>
                <w:sz w:val="16"/>
              </w:rPr>
              <w:t>, Geschäfts</w:t>
            </w:r>
            <w:r w:rsidR="00B72AED" w:rsidRPr="005D7A6B">
              <w:rPr>
                <w:sz w:val="16"/>
              </w:rPr>
              <w:t>leitung</w:t>
            </w:r>
            <w:r w:rsidR="000D6C33" w:rsidRPr="005D7A6B">
              <w:rPr>
                <w:sz w:val="16"/>
              </w:rPr>
              <w:t>smitgliedern</w:t>
            </w:r>
            <w:r w:rsidRPr="005D7A6B">
              <w:rPr>
                <w:sz w:val="16"/>
              </w:rPr>
              <w:t xml:space="preserve"> und Mitarbeitenden;</w:t>
            </w:r>
          </w:p>
          <w:p w14:paraId="07480E9B" w14:textId="77777777" w:rsidR="003A46E8" w:rsidRPr="005D7A6B" w:rsidRDefault="003A46E8" w:rsidP="00710940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39"/>
              <w:rPr>
                <w:rFonts w:cs="Arial"/>
                <w:sz w:val="16"/>
                <w:szCs w:val="16"/>
              </w:rPr>
            </w:pPr>
            <w:r w:rsidRPr="005D7A6B">
              <w:rPr>
                <w:sz w:val="16"/>
              </w:rPr>
              <w:t xml:space="preserve">Existenz und Angemessenheit von Informationsbarrieren (sofern </w:t>
            </w:r>
            <w:r w:rsidR="00F60DFB" w:rsidRPr="005D7A6B">
              <w:rPr>
                <w:sz w:val="16"/>
              </w:rPr>
              <w:t>anwendbar</w:t>
            </w:r>
            <w:r w:rsidRPr="005D7A6B">
              <w:rPr>
                <w:sz w:val="16"/>
              </w:rPr>
              <w:t>).</w:t>
            </w:r>
          </w:p>
          <w:p w14:paraId="7264F4B9" w14:textId="77777777" w:rsidR="003A46E8" w:rsidRPr="005D7A6B" w:rsidRDefault="003A46E8" w:rsidP="00710940">
            <w:pPr>
              <w:pStyle w:val="Bullet"/>
              <w:numPr>
                <w:ilvl w:val="0"/>
                <w:numId w:val="0"/>
              </w:numPr>
              <w:spacing w:before="120" w:after="120"/>
            </w:pPr>
          </w:p>
        </w:tc>
        <w:tc>
          <w:tcPr>
            <w:tcW w:w="3260" w:type="dxa"/>
          </w:tcPr>
          <w:p w14:paraId="260D41B0" w14:textId="6FAB1320" w:rsidR="003A46E8" w:rsidRPr="005D7A6B" w:rsidRDefault="004025BC" w:rsidP="0071094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 w:val="16"/>
                <w:szCs w:val="16"/>
              </w:rPr>
            </w:pPr>
            <w:r w:rsidRPr="005D7A6B">
              <w:rPr>
                <w:sz w:val="16"/>
              </w:rPr>
              <w:t xml:space="preserve">Durchführung von </w:t>
            </w:r>
            <w:r w:rsidR="00BF3564" w:rsidRPr="005D7A6B">
              <w:rPr>
                <w:sz w:val="16"/>
              </w:rPr>
              <w:t>Prüfungen</w:t>
            </w:r>
            <w:r w:rsidRPr="005D7A6B">
              <w:rPr>
                <w:sz w:val="16"/>
              </w:rPr>
              <w:t xml:space="preserve"> zur </w:t>
            </w:r>
            <w:r w:rsidR="00BF3564" w:rsidRPr="005D7A6B">
              <w:rPr>
                <w:sz w:val="16"/>
              </w:rPr>
              <w:t>Beurteilung</w:t>
            </w:r>
            <w:r w:rsidRPr="005D7A6B">
              <w:rPr>
                <w:sz w:val="16"/>
              </w:rPr>
              <w:t xml:space="preserve"> der </w:t>
            </w:r>
            <w:r w:rsidR="003A46E8" w:rsidRPr="005D7A6B">
              <w:rPr>
                <w:sz w:val="16"/>
              </w:rPr>
              <w:t>operative</w:t>
            </w:r>
            <w:r w:rsidRPr="005D7A6B">
              <w:rPr>
                <w:sz w:val="16"/>
              </w:rPr>
              <w:t xml:space="preserve">n Wirksamkeit </w:t>
            </w:r>
            <w:r w:rsidR="00BF3564" w:rsidRPr="005D7A6B">
              <w:rPr>
                <w:sz w:val="16"/>
              </w:rPr>
              <w:t>der</w:t>
            </w:r>
            <w:r w:rsidR="003A46E8" w:rsidRPr="005D7A6B">
              <w:rPr>
                <w:sz w:val="16"/>
              </w:rPr>
              <w:t xml:space="preserve"> internen Kontrollen zur Prävention und Erkennung von Marktmissbrauch und/oder </w:t>
            </w:r>
            <w:r w:rsidRPr="005D7A6B">
              <w:rPr>
                <w:sz w:val="16"/>
              </w:rPr>
              <w:t xml:space="preserve">Durchführung </w:t>
            </w:r>
            <w:r w:rsidR="0094454A" w:rsidRPr="005D7A6B">
              <w:rPr>
                <w:sz w:val="16"/>
              </w:rPr>
              <w:t>von aussagebezogenen Prüfungshandlungen</w:t>
            </w:r>
            <w:r w:rsidR="003A46E8" w:rsidRPr="005D7A6B">
              <w:rPr>
                <w:sz w:val="16"/>
              </w:rPr>
              <w:t xml:space="preserve"> </w:t>
            </w:r>
            <w:r w:rsidR="00975F48" w:rsidRPr="005D7A6B">
              <w:rPr>
                <w:rStyle w:val="Marquedecommentaire"/>
                <w:rFonts w:cs="Arial"/>
              </w:rPr>
              <w:t>in Bezug auf</w:t>
            </w:r>
            <w:r w:rsidR="003A46E8" w:rsidRPr="005D7A6B">
              <w:rPr>
                <w:sz w:val="16"/>
              </w:rPr>
              <w:t>:</w:t>
            </w:r>
          </w:p>
          <w:p w14:paraId="659DC6BD" w14:textId="77777777" w:rsidR="003A46E8" w:rsidRPr="005D7A6B" w:rsidRDefault="00975F48" w:rsidP="00710940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50" w:hanging="150"/>
              <w:rPr>
                <w:rFonts w:cs="Arial"/>
                <w:sz w:val="16"/>
                <w:szCs w:val="16"/>
              </w:rPr>
            </w:pPr>
            <w:r w:rsidRPr="005D7A6B">
              <w:rPr>
                <w:sz w:val="16"/>
              </w:rPr>
              <w:t>Die</w:t>
            </w:r>
            <w:r w:rsidR="00597B03" w:rsidRPr="005D7A6B">
              <w:rPr>
                <w:sz w:val="16"/>
              </w:rPr>
              <w:t xml:space="preserve"> </w:t>
            </w:r>
            <w:r w:rsidR="003A46E8" w:rsidRPr="005D7A6B">
              <w:rPr>
                <w:sz w:val="16"/>
              </w:rPr>
              <w:t>Berichte</w:t>
            </w:r>
            <w:r w:rsidR="004025BC" w:rsidRPr="005D7A6B">
              <w:rPr>
                <w:sz w:val="16"/>
              </w:rPr>
              <w:t>rstattung</w:t>
            </w:r>
            <w:r w:rsidR="003A46E8" w:rsidRPr="005D7A6B">
              <w:rPr>
                <w:sz w:val="16"/>
              </w:rPr>
              <w:t xml:space="preserve"> an die Geschäfts</w:t>
            </w:r>
            <w:r w:rsidR="00B72AED" w:rsidRPr="005D7A6B">
              <w:rPr>
                <w:sz w:val="16"/>
              </w:rPr>
              <w:t>leitung</w:t>
            </w:r>
            <w:r w:rsidR="003A46E8" w:rsidRPr="005D7A6B">
              <w:rPr>
                <w:sz w:val="16"/>
              </w:rPr>
              <w:t xml:space="preserve"> zu</w:t>
            </w:r>
            <w:r w:rsidR="004025BC" w:rsidRPr="005D7A6B">
              <w:rPr>
                <w:sz w:val="16"/>
              </w:rPr>
              <w:t>r</w:t>
            </w:r>
            <w:r w:rsidR="003A46E8" w:rsidRPr="005D7A6B">
              <w:rPr>
                <w:sz w:val="16"/>
              </w:rPr>
              <w:t xml:space="preserve"> Prävention und Erkennung von Marktmissbrauch;</w:t>
            </w:r>
          </w:p>
          <w:p w14:paraId="70DE3DA3" w14:textId="5F5A368A" w:rsidR="003A46E8" w:rsidRPr="005D7A6B" w:rsidRDefault="00597B03" w:rsidP="00710940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50" w:hanging="150"/>
              <w:rPr>
                <w:rFonts w:cs="Arial"/>
                <w:sz w:val="16"/>
                <w:szCs w:val="16"/>
              </w:rPr>
            </w:pPr>
            <w:r w:rsidRPr="005D7A6B">
              <w:rPr>
                <w:sz w:val="16"/>
              </w:rPr>
              <w:t xml:space="preserve">die </w:t>
            </w:r>
            <w:r w:rsidR="00377CE8" w:rsidRPr="005D7A6B">
              <w:rPr>
                <w:sz w:val="16"/>
              </w:rPr>
              <w:t xml:space="preserve">Angemessenheit der </w:t>
            </w:r>
            <w:r w:rsidR="003A46E8" w:rsidRPr="005D7A6B">
              <w:rPr>
                <w:sz w:val="16"/>
              </w:rPr>
              <w:t>Kontrollen zur Erkennung von Marktmissbrauch (</w:t>
            </w:r>
            <w:r w:rsidR="002810B2">
              <w:rPr>
                <w:sz w:val="16"/>
              </w:rPr>
              <w:t>Kundinnen bzw.</w:t>
            </w:r>
            <w:r w:rsidR="002810B2" w:rsidRPr="005D7A6B">
              <w:rPr>
                <w:sz w:val="16"/>
              </w:rPr>
              <w:t xml:space="preserve"> </w:t>
            </w:r>
            <w:r w:rsidR="003A46E8" w:rsidRPr="005D7A6B">
              <w:rPr>
                <w:sz w:val="16"/>
              </w:rPr>
              <w:t>Kunden/Depotbanken) in regulierten und nicht regulierten Märkten</w:t>
            </w:r>
            <w:r w:rsidR="00345202">
              <w:rPr>
                <w:sz w:val="16"/>
              </w:rPr>
              <w:t xml:space="preserve"> </w:t>
            </w:r>
            <w:r w:rsidR="003A46E8" w:rsidRPr="005D7A6B">
              <w:rPr>
                <w:sz w:val="16"/>
              </w:rPr>
              <w:t>(z.</w:t>
            </w:r>
            <w:r w:rsidR="004025BC" w:rsidRPr="005D7A6B">
              <w:rPr>
                <w:sz w:val="16"/>
              </w:rPr>
              <w:t> </w:t>
            </w:r>
            <w:r w:rsidR="003A46E8" w:rsidRPr="005D7A6B">
              <w:rPr>
                <w:sz w:val="16"/>
              </w:rPr>
              <w:t>B.</w:t>
            </w:r>
            <w:r w:rsidR="003A46E8" w:rsidRPr="005D7A6B">
              <w:t xml:space="preserve"> </w:t>
            </w:r>
            <w:r w:rsidR="003A46E8" w:rsidRPr="005D7A6B">
              <w:rPr>
                <w:sz w:val="16"/>
              </w:rPr>
              <w:t xml:space="preserve">dokumentierte Kontrollen, ob die </w:t>
            </w:r>
            <w:r w:rsidR="00631B3E" w:rsidRPr="005D7A6B">
              <w:rPr>
                <w:sz w:val="16"/>
              </w:rPr>
              <w:t>Unternehmensber</w:t>
            </w:r>
            <w:r w:rsidR="003A46E8" w:rsidRPr="005D7A6B">
              <w:rPr>
                <w:sz w:val="16"/>
              </w:rPr>
              <w:t>eiche/Depotbanken/</w:t>
            </w:r>
            <w:r w:rsidR="002810B2">
              <w:rPr>
                <w:sz w:val="16"/>
              </w:rPr>
              <w:t xml:space="preserve"> Kundinnen bzw.</w:t>
            </w:r>
            <w:r w:rsidR="002810B2" w:rsidRPr="005D7A6B">
              <w:rPr>
                <w:sz w:val="16"/>
              </w:rPr>
              <w:t xml:space="preserve"> </w:t>
            </w:r>
            <w:r w:rsidR="003A46E8" w:rsidRPr="005D7A6B">
              <w:rPr>
                <w:sz w:val="16"/>
              </w:rPr>
              <w:t xml:space="preserve">Kunden </w:t>
            </w:r>
            <w:r w:rsidR="00631B3E" w:rsidRPr="005D7A6B">
              <w:rPr>
                <w:sz w:val="16"/>
              </w:rPr>
              <w:t xml:space="preserve">mit der besten Performance hinsichtlich </w:t>
            </w:r>
            <w:r w:rsidR="003A46E8" w:rsidRPr="005D7A6B">
              <w:rPr>
                <w:sz w:val="16"/>
              </w:rPr>
              <w:t>ihre</w:t>
            </w:r>
            <w:r w:rsidR="00631B3E" w:rsidRPr="005D7A6B">
              <w:rPr>
                <w:sz w:val="16"/>
              </w:rPr>
              <w:t>r</w:t>
            </w:r>
            <w:r w:rsidR="003A46E8" w:rsidRPr="005D7A6B">
              <w:rPr>
                <w:sz w:val="16"/>
              </w:rPr>
              <w:t xml:space="preserve"> Marktintegrität </w:t>
            </w:r>
            <w:r w:rsidR="00BB40D0" w:rsidRPr="005D7A6B">
              <w:rPr>
                <w:sz w:val="16"/>
              </w:rPr>
              <w:t xml:space="preserve">beurteilt </w:t>
            </w:r>
            <w:r w:rsidR="003A46E8" w:rsidRPr="005D7A6B">
              <w:rPr>
                <w:sz w:val="16"/>
              </w:rPr>
              <w:t>w</w:t>
            </w:r>
            <w:r w:rsidR="00D223B4" w:rsidRPr="005D7A6B">
              <w:rPr>
                <w:sz w:val="16"/>
              </w:rPr>
              <w:t>e</w:t>
            </w:r>
            <w:r w:rsidR="003A46E8" w:rsidRPr="005D7A6B">
              <w:rPr>
                <w:sz w:val="16"/>
              </w:rPr>
              <w:t xml:space="preserve">rden); </w:t>
            </w:r>
          </w:p>
          <w:p w14:paraId="18EF9585" w14:textId="77777777" w:rsidR="001E05DE" w:rsidRPr="005D7A6B" w:rsidRDefault="00B45689" w:rsidP="00DB574A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50" w:hanging="150"/>
              <w:rPr>
                <w:rFonts w:cs="Arial"/>
                <w:sz w:val="16"/>
                <w:szCs w:val="16"/>
              </w:rPr>
            </w:pPr>
            <w:r w:rsidRPr="005D7A6B">
              <w:rPr>
                <w:sz w:val="16"/>
              </w:rPr>
              <w:t>d</w:t>
            </w:r>
            <w:r w:rsidR="00377CE8" w:rsidRPr="005D7A6B">
              <w:rPr>
                <w:sz w:val="16"/>
              </w:rPr>
              <w:t xml:space="preserve">ie </w:t>
            </w:r>
            <w:r w:rsidR="003A46E8" w:rsidRPr="005D7A6B">
              <w:rPr>
                <w:sz w:val="16"/>
              </w:rPr>
              <w:t>Mitarbeiterschulungs</w:t>
            </w:r>
            <w:r w:rsidR="002227DB" w:rsidRPr="005D7A6B">
              <w:rPr>
                <w:sz w:val="16"/>
              </w:rPr>
              <w:t>p</w:t>
            </w:r>
            <w:r w:rsidR="003A46E8" w:rsidRPr="005D7A6B">
              <w:rPr>
                <w:sz w:val="16"/>
              </w:rPr>
              <w:t>rogramme zu Marktmissbrauch;</w:t>
            </w:r>
          </w:p>
          <w:p w14:paraId="3A47DA2C" w14:textId="77777777" w:rsidR="003A46E8" w:rsidRPr="005D7A6B" w:rsidRDefault="00B45689" w:rsidP="00710940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50" w:hanging="150"/>
              <w:rPr>
                <w:rFonts w:cs="Arial"/>
                <w:sz w:val="16"/>
                <w:szCs w:val="16"/>
              </w:rPr>
            </w:pPr>
            <w:r w:rsidRPr="005D7A6B">
              <w:rPr>
                <w:sz w:val="16"/>
                <w:szCs w:val="16"/>
              </w:rPr>
              <w:t>d</w:t>
            </w:r>
            <w:r w:rsidR="00377CE8" w:rsidRPr="005D7A6B">
              <w:rPr>
                <w:sz w:val="16"/>
                <w:szCs w:val="16"/>
              </w:rPr>
              <w:t xml:space="preserve">ie angemessene Speicherung und Überwachung von </w:t>
            </w:r>
            <w:r w:rsidRPr="005D7A6B">
              <w:rPr>
                <w:sz w:val="16"/>
                <w:szCs w:val="16"/>
              </w:rPr>
              <w:t>T</w:t>
            </w:r>
            <w:r w:rsidR="00377CE8" w:rsidRPr="005D7A6B">
              <w:rPr>
                <w:sz w:val="16"/>
                <w:szCs w:val="16"/>
              </w:rPr>
              <w:t>elefongesprächen und ander</w:t>
            </w:r>
            <w:r w:rsidRPr="005D7A6B">
              <w:rPr>
                <w:sz w:val="16"/>
                <w:szCs w:val="16"/>
              </w:rPr>
              <w:t>er</w:t>
            </w:r>
            <w:r w:rsidR="00377CE8" w:rsidRPr="005D7A6B">
              <w:rPr>
                <w:sz w:val="16"/>
                <w:szCs w:val="16"/>
              </w:rPr>
              <w:t xml:space="preserve"> elektronische</w:t>
            </w:r>
            <w:r w:rsidRPr="005D7A6B">
              <w:rPr>
                <w:sz w:val="16"/>
                <w:szCs w:val="16"/>
              </w:rPr>
              <w:t>r</w:t>
            </w:r>
            <w:r w:rsidR="00377CE8" w:rsidRPr="005D7A6B">
              <w:rPr>
                <w:sz w:val="16"/>
                <w:szCs w:val="16"/>
              </w:rPr>
              <w:t xml:space="preserve"> Kommunikation</w:t>
            </w:r>
            <w:r w:rsidR="003A46E8" w:rsidRPr="005D7A6B">
              <w:rPr>
                <w:sz w:val="16"/>
              </w:rPr>
              <w:t>;</w:t>
            </w:r>
          </w:p>
          <w:p w14:paraId="71898F11" w14:textId="7086F139" w:rsidR="003A46E8" w:rsidRPr="005D7A6B" w:rsidRDefault="00840477" w:rsidP="00710940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50" w:hanging="150"/>
              <w:rPr>
                <w:rFonts w:cs="Arial"/>
                <w:sz w:val="16"/>
                <w:szCs w:val="16"/>
              </w:rPr>
            </w:pPr>
            <w:r w:rsidRPr="005D7A6B">
              <w:rPr>
                <w:sz w:val="16"/>
                <w:szCs w:val="16"/>
              </w:rPr>
              <w:t xml:space="preserve">Verletzungen von regulatorischen Vorgaben und internen Richtlinien </w:t>
            </w:r>
            <w:r w:rsidR="005D4B82">
              <w:rPr>
                <w:sz w:val="16"/>
                <w:szCs w:val="16"/>
              </w:rPr>
              <w:t xml:space="preserve">in Bezug auf </w:t>
            </w:r>
            <w:r w:rsidR="004B1AAE">
              <w:rPr>
                <w:sz w:val="16"/>
                <w:szCs w:val="16"/>
              </w:rPr>
              <w:t xml:space="preserve">die </w:t>
            </w:r>
            <w:r w:rsidR="004B1AAE">
              <w:rPr>
                <w:sz w:val="16"/>
              </w:rPr>
              <w:t xml:space="preserve">Marktintegrität </w:t>
            </w:r>
            <w:r w:rsidRPr="005D7A6B">
              <w:rPr>
                <w:sz w:val="16"/>
                <w:szCs w:val="16"/>
              </w:rPr>
              <w:t xml:space="preserve">führen zu angemessenen Sanktionen </w:t>
            </w:r>
            <w:r w:rsidR="00377CE8" w:rsidRPr="005D7A6B">
              <w:rPr>
                <w:sz w:val="16"/>
                <w:szCs w:val="16"/>
              </w:rPr>
              <w:t>gegenüber Mitarbeitende</w:t>
            </w:r>
            <w:r w:rsidR="0031459F" w:rsidRPr="005D7A6B">
              <w:rPr>
                <w:sz w:val="16"/>
                <w:szCs w:val="16"/>
              </w:rPr>
              <w:t>n</w:t>
            </w:r>
            <w:r w:rsidRPr="005D7A6B">
              <w:rPr>
                <w:sz w:val="16"/>
                <w:szCs w:val="16"/>
              </w:rPr>
              <w:t>;</w:t>
            </w:r>
          </w:p>
          <w:p w14:paraId="45426B26" w14:textId="77777777" w:rsidR="003A46E8" w:rsidRPr="005D7A6B" w:rsidRDefault="000D6C33" w:rsidP="00710940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50" w:hanging="150"/>
              <w:rPr>
                <w:rFonts w:cs="Arial"/>
                <w:sz w:val="16"/>
                <w:szCs w:val="16"/>
              </w:rPr>
            </w:pPr>
            <w:r w:rsidRPr="005D7A6B">
              <w:rPr>
                <w:sz w:val="16"/>
              </w:rPr>
              <w:t xml:space="preserve">die </w:t>
            </w:r>
            <w:r w:rsidR="00377CE8" w:rsidRPr="005D7A6B">
              <w:rPr>
                <w:sz w:val="16"/>
              </w:rPr>
              <w:t xml:space="preserve">Einhaltung </w:t>
            </w:r>
            <w:r w:rsidR="00EB5785" w:rsidRPr="005D7A6B">
              <w:rPr>
                <w:sz w:val="16"/>
              </w:rPr>
              <w:t>der</w:t>
            </w:r>
            <w:r w:rsidR="00377CE8" w:rsidRPr="005D7A6B">
              <w:rPr>
                <w:sz w:val="16"/>
              </w:rPr>
              <w:t xml:space="preserve"> </w:t>
            </w:r>
            <w:r w:rsidR="002227DB" w:rsidRPr="00801977">
              <w:rPr>
                <w:i/>
                <w:iCs/>
                <w:sz w:val="16"/>
              </w:rPr>
              <w:t>Watch List</w:t>
            </w:r>
            <w:r w:rsidR="002227DB" w:rsidRPr="005D7A6B">
              <w:rPr>
                <w:sz w:val="16"/>
              </w:rPr>
              <w:t xml:space="preserve"> und </w:t>
            </w:r>
            <w:proofErr w:type="spellStart"/>
            <w:r w:rsidR="002227DB" w:rsidRPr="00801977">
              <w:rPr>
                <w:i/>
                <w:iCs/>
                <w:sz w:val="16"/>
              </w:rPr>
              <w:t>Restricted</w:t>
            </w:r>
            <w:proofErr w:type="spellEnd"/>
            <w:r w:rsidR="002227DB" w:rsidRPr="00801977">
              <w:rPr>
                <w:i/>
                <w:iCs/>
                <w:sz w:val="16"/>
              </w:rPr>
              <w:t xml:space="preserve"> List</w:t>
            </w:r>
            <w:r w:rsidR="003A46E8" w:rsidRPr="005D7A6B">
              <w:rPr>
                <w:sz w:val="16"/>
              </w:rPr>
              <w:t xml:space="preserve">; </w:t>
            </w:r>
          </w:p>
          <w:p w14:paraId="201560E8" w14:textId="77777777" w:rsidR="003A46E8" w:rsidRPr="005D7A6B" w:rsidRDefault="000252E1" w:rsidP="00710940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50" w:hanging="150"/>
              <w:rPr>
                <w:rFonts w:cs="Arial"/>
                <w:sz w:val="16"/>
                <w:szCs w:val="16"/>
              </w:rPr>
            </w:pPr>
            <w:r w:rsidRPr="005D7A6B">
              <w:rPr>
                <w:sz w:val="16"/>
              </w:rPr>
              <w:t>d</w:t>
            </w:r>
            <w:r w:rsidR="00377CE8" w:rsidRPr="005D7A6B">
              <w:rPr>
                <w:sz w:val="16"/>
              </w:rPr>
              <w:t xml:space="preserve">ie </w:t>
            </w:r>
            <w:r w:rsidR="003A46E8" w:rsidRPr="005D7A6B">
              <w:rPr>
                <w:sz w:val="16"/>
              </w:rPr>
              <w:t xml:space="preserve">Massnahmen zur Überwachung von Transaktionen von </w:t>
            </w:r>
            <w:r w:rsidR="00C910B0" w:rsidRPr="005D7A6B">
              <w:rPr>
                <w:sz w:val="16"/>
              </w:rPr>
              <w:t>M</w:t>
            </w:r>
            <w:r w:rsidR="003A46E8" w:rsidRPr="005D7A6B">
              <w:rPr>
                <w:sz w:val="16"/>
              </w:rPr>
              <w:t>itgliedern</w:t>
            </w:r>
            <w:r w:rsidR="00C910B0" w:rsidRPr="005D7A6B">
              <w:rPr>
                <w:sz w:val="16"/>
              </w:rPr>
              <w:t xml:space="preserve"> des Oberleitungsorgans</w:t>
            </w:r>
            <w:r w:rsidR="003A46E8" w:rsidRPr="005D7A6B">
              <w:rPr>
                <w:sz w:val="16"/>
              </w:rPr>
              <w:t>, Geschäfts</w:t>
            </w:r>
            <w:r w:rsidR="00B72AED" w:rsidRPr="005D7A6B">
              <w:rPr>
                <w:sz w:val="16"/>
              </w:rPr>
              <w:t>leitung</w:t>
            </w:r>
            <w:r w:rsidR="000D6C33" w:rsidRPr="005D7A6B">
              <w:rPr>
                <w:sz w:val="16"/>
              </w:rPr>
              <w:t>smitgliedern</w:t>
            </w:r>
            <w:r w:rsidR="003A46E8" w:rsidRPr="005D7A6B">
              <w:rPr>
                <w:sz w:val="16"/>
              </w:rPr>
              <w:t xml:space="preserve"> und Mitarbeitenden</w:t>
            </w:r>
            <w:r w:rsidR="005D7A6B">
              <w:rPr>
                <w:sz w:val="16"/>
              </w:rPr>
              <w:t>;</w:t>
            </w:r>
            <w:r w:rsidR="003A46E8" w:rsidRPr="005D7A6B">
              <w:rPr>
                <w:sz w:val="16"/>
              </w:rPr>
              <w:t xml:space="preserve"> </w:t>
            </w:r>
          </w:p>
          <w:p w14:paraId="6F335E6C" w14:textId="77777777" w:rsidR="003A46E8" w:rsidRPr="005D7A6B" w:rsidRDefault="000252E1" w:rsidP="00710940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50" w:hanging="150"/>
              <w:rPr>
                <w:rFonts w:cs="Arial"/>
                <w:sz w:val="16"/>
                <w:szCs w:val="16"/>
              </w:rPr>
            </w:pPr>
            <w:r w:rsidRPr="005D7A6B">
              <w:rPr>
                <w:sz w:val="16"/>
              </w:rPr>
              <w:t>d</w:t>
            </w:r>
            <w:r w:rsidR="00377CE8" w:rsidRPr="005D7A6B">
              <w:rPr>
                <w:sz w:val="16"/>
              </w:rPr>
              <w:t xml:space="preserve">ie Einhaltung von </w:t>
            </w:r>
            <w:r w:rsidR="003A46E8" w:rsidRPr="005D7A6B">
              <w:rPr>
                <w:sz w:val="16"/>
              </w:rPr>
              <w:t xml:space="preserve">Informationsbarrieren (sofern </w:t>
            </w:r>
            <w:r w:rsidR="002227DB" w:rsidRPr="005D7A6B">
              <w:rPr>
                <w:sz w:val="16"/>
              </w:rPr>
              <w:t>anwendbar</w:t>
            </w:r>
            <w:r w:rsidR="003A46E8" w:rsidRPr="005D7A6B">
              <w:rPr>
                <w:sz w:val="16"/>
              </w:rPr>
              <w:t>);</w:t>
            </w:r>
          </w:p>
          <w:p w14:paraId="20BA53A4" w14:textId="22FD364A" w:rsidR="000A74AE" w:rsidRPr="005D7A6B" w:rsidRDefault="000252E1" w:rsidP="0038141D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50" w:hanging="150"/>
              <w:rPr>
                <w:rFonts w:cs="Arial"/>
                <w:sz w:val="16"/>
                <w:szCs w:val="16"/>
              </w:rPr>
            </w:pPr>
            <w:r w:rsidRPr="005D7A6B">
              <w:rPr>
                <w:sz w:val="16"/>
              </w:rPr>
              <w:t>d</w:t>
            </w:r>
            <w:r w:rsidR="00377CE8" w:rsidRPr="005D7A6B">
              <w:rPr>
                <w:sz w:val="16"/>
              </w:rPr>
              <w:t xml:space="preserve">ie Einhaltung der Meldepflicht gegenüber der </w:t>
            </w:r>
            <w:r w:rsidR="003A46E8" w:rsidRPr="005D7A6B">
              <w:rPr>
                <w:sz w:val="16"/>
              </w:rPr>
              <w:t>FINMA</w:t>
            </w:r>
            <w:r w:rsidR="00597B03" w:rsidRPr="005D7A6B">
              <w:rPr>
                <w:sz w:val="16"/>
              </w:rPr>
              <w:t xml:space="preserve"> </w:t>
            </w:r>
            <w:r w:rsidR="00377CE8" w:rsidRPr="005D7A6B">
              <w:rPr>
                <w:sz w:val="16"/>
              </w:rPr>
              <w:t xml:space="preserve">im Falle von </w:t>
            </w:r>
            <w:r w:rsidR="003A46E8" w:rsidRPr="005D7A6B">
              <w:rPr>
                <w:sz w:val="16"/>
              </w:rPr>
              <w:t>verdächtigen Transaktionen</w:t>
            </w:r>
            <w:r w:rsidR="00597B03" w:rsidRPr="005D7A6B">
              <w:rPr>
                <w:sz w:val="16"/>
              </w:rPr>
              <w:t xml:space="preserve"> </w:t>
            </w:r>
            <w:r w:rsidR="003A46E8" w:rsidRPr="005D7A6B">
              <w:rPr>
                <w:sz w:val="16"/>
              </w:rPr>
              <w:t>(gemäss Art.</w:t>
            </w:r>
            <w:r w:rsidR="007C6581" w:rsidRPr="005D7A6B">
              <w:rPr>
                <w:sz w:val="16"/>
              </w:rPr>
              <w:t> </w:t>
            </w:r>
            <w:r w:rsidR="003A46E8" w:rsidRPr="005D7A6B">
              <w:rPr>
                <w:sz w:val="16"/>
              </w:rPr>
              <w:t>29 Abs.</w:t>
            </w:r>
            <w:r w:rsidR="007C6581" w:rsidRPr="005D7A6B">
              <w:rPr>
                <w:sz w:val="16"/>
              </w:rPr>
              <w:t> </w:t>
            </w:r>
            <w:r w:rsidR="003A46E8" w:rsidRPr="005D7A6B">
              <w:rPr>
                <w:sz w:val="16"/>
              </w:rPr>
              <w:t>2 FINMAG).</w:t>
            </w:r>
          </w:p>
        </w:tc>
        <w:tc>
          <w:tcPr>
            <w:tcW w:w="2835" w:type="dxa"/>
          </w:tcPr>
          <w:p w14:paraId="27277E8A" w14:textId="77777777" w:rsidR="003A46E8" w:rsidRPr="00133AB4" w:rsidRDefault="003A46E8" w:rsidP="00710940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19" w:type="dxa"/>
          </w:tcPr>
          <w:p w14:paraId="312E444F" w14:textId="77777777" w:rsidR="003A46E8" w:rsidRPr="00133AB4" w:rsidRDefault="003A46E8" w:rsidP="00710940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3A46E8" w:rsidRPr="00315A8C" w14:paraId="69B51A1A" w14:textId="77777777" w:rsidTr="00045A42">
        <w:tc>
          <w:tcPr>
            <w:tcW w:w="534" w:type="dxa"/>
          </w:tcPr>
          <w:p w14:paraId="1B0C3E7C" w14:textId="77777777" w:rsidR="003A46E8" w:rsidRPr="002E0311" w:rsidRDefault="003A46E8" w:rsidP="00710940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14:paraId="3FC5DF4F" w14:textId="77777777" w:rsidR="003A46E8" w:rsidRPr="00133AB4" w:rsidRDefault="003A46E8" w:rsidP="00710940">
            <w:pPr>
              <w:spacing w:before="120" w:after="120"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14:paraId="25149F62" w14:textId="77777777" w:rsidR="006435B9" w:rsidRPr="00133AB4" w:rsidRDefault="003A46E8" w:rsidP="00F479BD">
            <w:pPr>
              <w:pStyle w:val="Bullet"/>
              <w:numPr>
                <w:ilvl w:val="0"/>
                <w:numId w:val="0"/>
              </w:numPr>
              <w:spacing w:before="120" w:after="120"/>
            </w:pPr>
            <w:r>
              <w:t>Protokolle und Berichte an die Geschäfts</w:t>
            </w:r>
            <w:r w:rsidR="00B72AED">
              <w:t>leitung</w:t>
            </w:r>
            <w:r>
              <w:t xml:space="preserve"> lesen und beurteilen, ob die Überwachung angemessen ist und ob die nötigen </w:t>
            </w:r>
            <w:r w:rsidR="00174B89">
              <w:t>Massnahmen definiert</w:t>
            </w:r>
            <w:r w:rsidR="00BF3564">
              <w:t xml:space="preserve"> </w:t>
            </w:r>
            <w:r>
              <w:t xml:space="preserve">wurden. </w:t>
            </w:r>
          </w:p>
        </w:tc>
        <w:tc>
          <w:tcPr>
            <w:tcW w:w="3260" w:type="dxa"/>
          </w:tcPr>
          <w:p w14:paraId="23334998" w14:textId="77777777" w:rsidR="003A46E8" w:rsidRDefault="003A46E8" w:rsidP="0071094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19B21A4" w14:textId="77777777" w:rsidR="003A46E8" w:rsidRPr="00133AB4" w:rsidRDefault="003A46E8" w:rsidP="00710940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19" w:type="dxa"/>
          </w:tcPr>
          <w:p w14:paraId="376646C1" w14:textId="77777777" w:rsidR="003A46E8" w:rsidRPr="00133AB4" w:rsidRDefault="003A46E8" w:rsidP="00710940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3A46E8" w:rsidRPr="00801977" w14:paraId="3784959F" w14:textId="77777777" w:rsidTr="00C7261B">
        <w:tc>
          <w:tcPr>
            <w:tcW w:w="14143" w:type="dxa"/>
            <w:gridSpan w:val="6"/>
            <w:shd w:val="clear" w:color="auto" w:fill="D9D9D9" w:themeFill="background1" w:themeFillShade="D9"/>
          </w:tcPr>
          <w:p w14:paraId="63B74164" w14:textId="77777777" w:rsidR="003A46E8" w:rsidRPr="00BA3D09" w:rsidRDefault="003A46E8" w:rsidP="00710940">
            <w:pPr>
              <w:spacing w:before="120" w:after="120" w:line="240" w:lineRule="auto"/>
              <w:rPr>
                <w:rFonts w:cs="Arial"/>
                <w:i/>
                <w:sz w:val="16"/>
                <w:szCs w:val="16"/>
                <w:lang w:val="en-US"/>
              </w:rPr>
            </w:pPr>
            <w:r w:rsidRPr="00BA3D09">
              <w:rPr>
                <w:i/>
                <w:sz w:val="16"/>
                <w:lang w:val="en-US"/>
              </w:rPr>
              <w:t>Confirmation that the methods/processes used to fulfil the record keeping and reporting duties were adequate and applied effectively where the audit depth is “audit”.</w:t>
            </w:r>
          </w:p>
          <w:p w14:paraId="08549364" w14:textId="77777777" w:rsidR="003A46E8" w:rsidRPr="008B5012" w:rsidRDefault="003A46E8" w:rsidP="00710940">
            <w:pPr>
              <w:spacing w:before="120" w:after="120" w:line="240" w:lineRule="auto"/>
              <w:rPr>
                <w:rFonts w:cs="Arial"/>
                <w:i/>
                <w:sz w:val="16"/>
                <w:szCs w:val="16"/>
              </w:rPr>
            </w:pPr>
            <w:r>
              <w:rPr>
                <w:i/>
                <w:sz w:val="16"/>
              </w:rPr>
              <w:t>Bestätigung, dass die Methoden / Prozesse zur Einhaltung der Erfordernisse im Bereich der Journal- und Meldepflichten angemessen waren und im Falle der Prüftiefe „Prüfung“ effektiv angewendet wurden.</w:t>
            </w:r>
          </w:p>
          <w:p w14:paraId="2FA712AF" w14:textId="671887AD" w:rsidR="003A46E8" w:rsidRPr="00BA3D09" w:rsidRDefault="003A46E8" w:rsidP="00710940">
            <w:pPr>
              <w:spacing w:before="120" w:after="120" w:line="240" w:lineRule="auto"/>
              <w:rPr>
                <w:rFonts w:cs="Arial"/>
                <w:sz w:val="16"/>
                <w:szCs w:val="16"/>
                <w:lang w:val="fr-CH"/>
              </w:rPr>
            </w:pPr>
            <w:r w:rsidRPr="00BA3D09">
              <w:rPr>
                <w:i/>
                <w:sz w:val="16"/>
                <w:lang w:val="fr-CH"/>
              </w:rPr>
              <w:t>Confirmation que les méthodes / processus relatifs au respect des obligations de tenue du journal et de déclarer ont été appropriés et en cas d’étendue d’audit « audit » effectivement appliqués.</w:t>
            </w:r>
          </w:p>
        </w:tc>
      </w:tr>
      <w:tr w:rsidR="003A46E8" w:rsidRPr="00315A8C" w14:paraId="617A2059" w14:textId="77777777" w:rsidTr="00045A42">
        <w:tc>
          <w:tcPr>
            <w:tcW w:w="534" w:type="dxa"/>
          </w:tcPr>
          <w:p w14:paraId="746CCAA0" w14:textId="77777777" w:rsidR="003A46E8" w:rsidRPr="00BA3D09" w:rsidRDefault="003A46E8" w:rsidP="00710940">
            <w:pPr>
              <w:spacing w:before="120" w:after="120" w:line="240" w:lineRule="auto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2551" w:type="dxa"/>
          </w:tcPr>
          <w:p w14:paraId="0CA6627A" w14:textId="3319ED09" w:rsidR="003A46E8" w:rsidRPr="00133AB4" w:rsidRDefault="003A46E8" w:rsidP="00710940">
            <w:pPr>
              <w:spacing w:before="120" w:after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Angemessenheit der organisatorischen Massnahmen und internen Regeln zur Einhaltung der Journal</w:t>
            </w:r>
            <w:r w:rsidR="00C3052E">
              <w:rPr>
                <w:b/>
                <w:sz w:val="16"/>
              </w:rPr>
              <w:t>führungs</w:t>
            </w:r>
            <w:r>
              <w:rPr>
                <w:b/>
                <w:sz w:val="16"/>
              </w:rPr>
              <w:t>- und Meldepflichten</w:t>
            </w:r>
            <w:r w:rsidR="00726606">
              <w:rPr>
                <w:b/>
                <w:sz w:val="16"/>
              </w:rPr>
              <w:t xml:space="preserve"> i.S.v. Art.</w:t>
            </w:r>
            <w:r w:rsidR="002810B2">
              <w:rPr>
                <w:b/>
                <w:sz w:val="16"/>
              </w:rPr>
              <w:t> </w:t>
            </w:r>
            <w:r w:rsidR="00460969">
              <w:rPr>
                <w:b/>
                <w:sz w:val="16"/>
              </w:rPr>
              <w:t xml:space="preserve">38 und </w:t>
            </w:r>
            <w:r w:rsidR="00726606">
              <w:rPr>
                <w:b/>
                <w:sz w:val="16"/>
              </w:rPr>
              <w:t xml:space="preserve">39 FinfraG bzw. Art. </w:t>
            </w:r>
            <w:r w:rsidR="00460969">
              <w:rPr>
                <w:b/>
                <w:sz w:val="16"/>
              </w:rPr>
              <w:t xml:space="preserve">50 und </w:t>
            </w:r>
            <w:r w:rsidR="00726606">
              <w:rPr>
                <w:b/>
                <w:sz w:val="16"/>
              </w:rPr>
              <w:t>51 FINIG</w:t>
            </w:r>
          </w:p>
        </w:tc>
        <w:tc>
          <w:tcPr>
            <w:tcW w:w="3544" w:type="dxa"/>
          </w:tcPr>
          <w:p w14:paraId="661C89A8" w14:textId="77777777" w:rsidR="003A46E8" w:rsidRDefault="003A46E8" w:rsidP="0071094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Beurteilen, ob die </w:t>
            </w:r>
            <w:r w:rsidR="002227DB">
              <w:rPr>
                <w:sz w:val="16"/>
              </w:rPr>
              <w:t xml:space="preserve">Strukturen </w:t>
            </w:r>
            <w:r>
              <w:rPr>
                <w:sz w:val="16"/>
              </w:rPr>
              <w:t xml:space="preserve">und </w:t>
            </w:r>
            <w:r w:rsidR="002227DB">
              <w:rPr>
                <w:sz w:val="16"/>
              </w:rPr>
              <w:t>Prozesse</w:t>
            </w:r>
            <w:r>
              <w:rPr>
                <w:sz w:val="16"/>
              </w:rPr>
              <w:t xml:space="preserve"> (</w:t>
            </w:r>
            <w:r w:rsidR="002227DB">
              <w:rPr>
                <w:sz w:val="16"/>
              </w:rPr>
              <w:t>Design</w:t>
            </w:r>
            <w:r>
              <w:rPr>
                <w:sz w:val="16"/>
              </w:rPr>
              <w:t>) sowie die internen Regeln und Richtlinien des Instituts zu den Journal</w:t>
            </w:r>
            <w:r w:rsidR="00C3052E">
              <w:rPr>
                <w:sz w:val="16"/>
              </w:rPr>
              <w:t>führungs</w:t>
            </w:r>
            <w:r>
              <w:rPr>
                <w:sz w:val="16"/>
              </w:rPr>
              <w:t>- und Meldepflichten angemessen sind.</w:t>
            </w:r>
          </w:p>
          <w:p w14:paraId="6FD9D9BB" w14:textId="77777777" w:rsidR="003A46E8" w:rsidRDefault="003A46E8" w:rsidP="0071094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  <w:p w14:paraId="1382C3C3" w14:textId="77777777" w:rsidR="003A46E8" w:rsidRDefault="003A46E8" w:rsidP="004A241C">
            <w:pPr>
              <w:pStyle w:val="Bullet"/>
              <w:numPr>
                <w:ilvl w:val="0"/>
                <w:numId w:val="0"/>
              </w:numPr>
              <w:spacing w:before="120" w:after="120"/>
            </w:pPr>
            <w:r>
              <w:rPr>
                <w:caps/>
              </w:rPr>
              <w:t>B</w:t>
            </w:r>
            <w:r>
              <w:t xml:space="preserve">eurteilen, ob die internen </w:t>
            </w:r>
            <w:r w:rsidR="00C3052E">
              <w:t xml:space="preserve">Weisungen </w:t>
            </w:r>
            <w:r>
              <w:t xml:space="preserve">und Richtlinien zur </w:t>
            </w:r>
            <w:r w:rsidR="00C3052E">
              <w:t xml:space="preserve">Nachvollziehbarkeit </w:t>
            </w:r>
            <w:r>
              <w:t>(</w:t>
            </w:r>
            <w:r w:rsidR="00377CE8" w:rsidRPr="004A241C">
              <w:t>Journalführung</w:t>
            </w:r>
            <w:r w:rsidRPr="004A241C">
              <w:t>, Zeitstempel usw.) von Aufträgen</w:t>
            </w:r>
            <w:r>
              <w:t xml:space="preserve"> und Transaktionen in nicht regulierten Märkten (z.</w:t>
            </w:r>
            <w:r w:rsidR="002227DB">
              <w:t> </w:t>
            </w:r>
            <w:r>
              <w:t>B. FX, PM) angemessen sind.</w:t>
            </w:r>
          </w:p>
        </w:tc>
        <w:tc>
          <w:tcPr>
            <w:tcW w:w="3260" w:type="dxa"/>
          </w:tcPr>
          <w:p w14:paraId="1A9CC7D0" w14:textId="77777777" w:rsidR="003A46E8" w:rsidRDefault="003A46E8" w:rsidP="0071094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BAA4457" w14:textId="77777777" w:rsidR="003A46E8" w:rsidRPr="00133AB4" w:rsidRDefault="003A46E8" w:rsidP="00710940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19" w:type="dxa"/>
          </w:tcPr>
          <w:p w14:paraId="1E0C85EA" w14:textId="77777777" w:rsidR="003A46E8" w:rsidRPr="00133AB4" w:rsidRDefault="003A46E8" w:rsidP="00710940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3A46E8" w:rsidRPr="00315A8C" w14:paraId="74724919" w14:textId="77777777" w:rsidTr="00045A42">
        <w:tc>
          <w:tcPr>
            <w:tcW w:w="534" w:type="dxa"/>
          </w:tcPr>
          <w:p w14:paraId="2537D4F8" w14:textId="77777777" w:rsidR="003A46E8" w:rsidRPr="00C30D87" w:rsidRDefault="003A46E8" w:rsidP="00710940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9F1F161" w14:textId="7B9880F6" w:rsidR="003A46E8" w:rsidRDefault="003A46E8" w:rsidP="002227DB">
            <w:pPr>
              <w:spacing w:before="120" w:after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 xml:space="preserve">Kontrollen </w:t>
            </w:r>
            <w:r w:rsidR="002227DB">
              <w:rPr>
                <w:b/>
                <w:sz w:val="16"/>
              </w:rPr>
              <w:t>zur Sicherstellung</w:t>
            </w:r>
            <w:r>
              <w:rPr>
                <w:b/>
                <w:sz w:val="16"/>
              </w:rPr>
              <w:t>, dass die Journal- und Meldepflichten</w:t>
            </w:r>
            <w:r w:rsidR="00726606">
              <w:rPr>
                <w:b/>
                <w:sz w:val="16"/>
              </w:rPr>
              <w:t xml:space="preserve"> i.S.v. Art. </w:t>
            </w:r>
            <w:r w:rsidR="00460969">
              <w:rPr>
                <w:b/>
                <w:sz w:val="16"/>
              </w:rPr>
              <w:t xml:space="preserve">38 und </w:t>
            </w:r>
            <w:r w:rsidR="00726606">
              <w:rPr>
                <w:b/>
                <w:sz w:val="16"/>
              </w:rPr>
              <w:t xml:space="preserve">39 FinfraG bzw. Art. </w:t>
            </w:r>
            <w:r w:rsidR="00460969">
              <w:rPr>
                <w:b/>
                <w:sz w:val="16"/>
              </w:rPr>
              <w:t xml:space="preserve">50 und </w:t>
            </w:r>
            <w:r w:rsidR="00726606">
              <w:rPr>
                <w:b/>
                <w:sz w:val="16"/>
              </w:rPr>
              <w:t>51 FINIG</w:t>
            </w:r>
            <w:r>
              <w:rPr>
                <w:b/>
                <w:sz w:val="16"/>
              </w:rPr>
              <w:t xml:space="preserve"> eingehalten werden</w:t>
            </w:r>
          </w:p>
        </w:tc>
        <w:tc>
          <w:tcPr>
            <w:tcW w:w="3544" w:type="dxa"/>
          </w:tcPr>
          <w:p w14:paraId="01C5F46D" w14:textId="77777777" w:rsidR="003A46E8" w:rsidRPr="005D7A6B" w:rsidRDefault="00377CE8" w:rsidP="00710940">
            <w:pPr>
              <w:pStyle w:val="Bullet"/>
              <w:numPr>
                <w:ilvl w:val="0"/>
                <w:numId w:val="0"/>
              </w:numPr>
              <w:spacing w:before="120" w:after="120"/>
              <w:rPr>
                <w:i/>
              </w:rPr>
            </w:pPr>
            <w:r w:rsidRPr="005D7A6B">
              <w:rPr>
                <w:i/>
              </w:rPr>
              <w:t>Beurteilen</w:t>
            </w:r>
            <w:r w:rsidR="00DB4EB8" w:rsidRPr="005D7A6B">
              <w:rPr>
                <w:i/>
              </w:rPr>
              <w:t xml:space="preserve"> oder </w:t>
            </w:r>
            <w:r w:rsidR="00E879F7" w:rsidRPr="005D7A6B">
              <w:rPr>
                <w:i/>
              </w:rPr>
              <w:t>p</w:t>
            </w:r>
            <w:r w:rsidRPr="005D7A6B">
              <w:rPr>
                <w:i/>
              </w:rPr>
              <w:t>rüfen</w:t>
            </w:r>
            <w:r w:rsidR="003A46E8" w:rsidRPr="005D7A6B">
              <w:rPr>
                <w:i/>
              </w:rPr>
              <w:t>, ob Kontrollen zur Einhaltung der Journal- und Meldepflichten und</w:t>
            </w:r>
            <w:r w:rsidR="00345202">
              <w:rPr>
                <w:i/>
              </w:rPr>
              <w:t xml:space="preserve"> d</w:t>
            </w:r>
            <w:r w:rsidR="002227DB" w:rsidRPr="005D7A6B">
              <w:rPr>
                <w:i/>
              </w:rPr>
              <w:t>ie damit verbundenen Prozesse</w:t>
            </w:r>
            <w:r w:rsidR="003A46E8" w:rsidRPr="005D7A6B">
              <w:rPr>
                <w:i/>
              </w:rPr>
              <w:t xml:space="preserve"> richtig durchgeführt werden.</w:t>
            </w:r>
          </w:p>
          <w:p w14:paraId="223EB970" w14:textId="77777777" w:rsidR="003A46E8" w:rsidRPr="005D7A6B" w:rsidRDefault="003A46E8" w:rsidP="00710940">
            <w:pPr>
              <w:pStyle w:val="Bullet"/>
              <w:numPr>
                <w:ilvl w:val="0"/>
                <w:numId w:val="0"/>
              </w:numPr>
              <w:spacing w:before="120" w:after="120"/>
            </w:pPr>
          </w:p>
          <w:p w14:paraId="3A694294" w14:textId="652EF25C" w:rsidR="003A46E8" w:rsidRDefault="002D2618" w:rsidP="00710940">
            <w:pPr>
              <w:pStyle w:val="Bullet"/>
              <w:numPr>
                <w:ilvl w:val="0"/>
                <w:numId w:val="0"/>
              </w:numPr>
              <w:spacing w:before="120" w:after="120"/>
            </w:pPr>
            <w:r w:rsidRPr="005D7A6B">
              <w:t>Auf der Basis</w:t>
            </w:r>
            <w:r w:rsidR="003A46E8" w:rsidRPr="005D7A6B">
              <w:t xml:space="preserve"> von Befragungen des Managements und der Durchsicht von internen Berichten beurteilen, ob die Kontrollen der Journal</w:t>
            </w:r>
            <w:r w:rsidR="00CB3002" w:rsidRPr="005D7A6B">
              <w:t>führungs</w:t>
            </w:r>
            <w:r w:rsidR="003A46E8" w:rsidRPr="005D7A6B">
              <w:t xml:space="preserve">- und Meldepflichten </w:t>
            </w:r>
            <w:r w:rsidR="002227DB" w:rsidRPr="005D7A6B">
              <w:t xml:space="preserve">angemessen </w:t>
            </w:r>
            <w:r w:rsidR="003A46E8" w:rsidRPr="005D7A6B">
              <w:t>durchgeführt werden</w:t>
            </w:r>
            <w:r w:rsidR="007C6581" w:rsidRPr="005D7A6B">
              <w:t xml:space="preserve"> sowie </w:t>
            </w:r>
            <w:r w:rsidR="000D6C33" w:rsidRPr="005D7A6B">
              <w:t>beurteilen, ob</w:t>
            </w:r>
            <w:r w:rsidR="00086917" w:rsidRPr="005D7A6B">
              <w:t xml:space="preserve"> deren Ausgestaltung angemessen ist</w:t>
            </w:r>
            <w:r w:rsidR="003A46E8" w:rsidRPr="005D7A6B">
              <w:t>.</w:t>
            </w:r>
          </w:p>
          <w:p w14:paraId="5514A96F" w14:textId="77777777" w:rsidR="00213917" w:rsidRPr="005D7A6B" w:rsidRDefault="00213917" w:rsidP="00710940">
            <w:pPr>
              <w:pStyle w:val="Bullet"/>
              <w:numPr>
                <w:ilvl w:val="0"/>
                <w:numId w:val="0"/>
              </w:numPr>
              <w:spacing w:before="120" w:after="120"/>
            </w:pPr>
          </w:p>
          <w:p w14:paraId="732BEF65" w14:textId="3B79723D" w:rsidR="003A46E8" w:rsidRPr="005D7A6B" w:rsidRDefault="003A46E8" w:rsidP="00883BF6">
            <w:pPr>
              <w:pStyle w:val="Bullet"/>
              <w:numPr>
                <w:ilvl w:val="0"/>
                <w:numId w:val="0"/>
              </w:numPr>
              <w:spacing w:before="120" w:after="120"/>
            </w:pPr>
            <w:r w:rsidRPr="005D7A6B">
              <w:t>Beurteil</w:t>
            </w:r>
            <w:r w:rsidR="002227DB" w:rsidRPr="005D7A6B">
              <w:t>ung der</w:t>
            </w:r>
            <w:r w:rsidRPr="005D7A6B">
              <w:t xml:space="preserve"> </w:t>
            </w:r>
            <w:r w:rsidR="00126DA7">
              <w:t xml:space="preserve">Angemessenheit der Systeme und </w:t>
            </w:r>
            <w:r w:rsidR="002227DB" w:rsidRPr="005D7A6B">
              <w:t xml:space="preserve">Prozesse </w:t>
            </w:r>
            <w:r w:rsidRPr="005D7A6B">
              <w:t xml:space="preserve">des Instituts </w:t>
            </w:r>
            <w:r w:rsidR="002227DB" w:rsidRPr="005D7A6B">
              <w:t xml:space="preserve">zur </w:t>
            </w:r>
            <w:r w:rsidR="00883BF6">
              <w:t>Erfüllung</w:t>
            </w:r>
            <w:r w:rsidR="00883BF6" w:rsidRPr="005D7A6B">
              <w:t xml:space="preserve"> </w:t>
            </w:r>
            <w:r w:rsidR="002227DB" w:rsidRPr="005D7A6B">
              <w:t xml:space="preserve">der </w:t>
            </w:r>
            <w:r w:rsidRPr="005D7A6B">
              <w:t>Meldepflic</w:t>
            </w:r>
            <w:r w:rsidRPr="00DC5D61">
              <w:t xml:space="preserve">ht für </w:t>
            </w:r>
            <w:r w:rsidR="006173C4" w:rsidRPr="00DC5D61">
              <w:t>Effekten- und Derivatetransaktionen</w:t>
            </w:r>
            <w:r w:rsidR="00883BF6">
              <w:t xml:space="preserve"> und deren fristgerechte Einreichung</w:t>
            </w:r>
            <w:r w:rsidR="006173C4" w:rsidRPr="00DC5D61">
              <w:t xml:space="preserve"> </w:t>
            </w:r>
            <w:r w:rsidR="002227DB" w:rsidRPr="00DC5D61">
              <w:t xml:space="preserve">an </w:t>
            </w:r>
            <w:r w:rsidR="00566208" w:rsidRPr="00DC5D61">
              <w:t>die</w:t>
            </w:r>
            <w:r w:rsidR="00566208" w:rsidRPr="005D7A6B">
              <w:t xml:space="preserve"> </w:t>
            </w:r>
            <w:r w:rsidR="00460730" w:rsidRPr="005D7A6B">
              <w:t>zuständigen Handelsplätze</w:t>
            </w:r>
            <w:r w:rsidR="002227DB" w:rsidRPr="005D7A6B">
              <w:t>.</w:t>
            </w:r>
          </w:p>
        </w:tc>
        <w:tc>
          <w:tcPr>
            <w:tcW w:w="3260" w:type="dxa"/>
          </w:tcPr>
          <w:p w14:paraId="778BE867" w14:textId="77777777" w:rsidR="006D56B1" w:rsidRPr="005D7A6B" w:rsidRDefault="006D56B1" w:rsidP="006D56B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6"/>
                <w:szCs w:val="16"/>
              </w:rPr>
            </w:pPr>
          </w:p>
          <w:p w14:paraId="4D5FBB37" w14:textId="77777777" w:rsidR="006D56B1" w:rsidRPr="005D7A6B" w:rsidRDefault="006D56B1" w:rsidP="006D56B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6"/>
                <w:szCs w:val="16"/>
              </w:rPr>
            </w:pPr>
          </w:p>
          <w:p w14:paraId="6C9E1A4C" w14:textId="77777777" w:rsidR="006D56B1" w:rsidRPr="005D7A6B" w:rsidRDefault="006D56B1" w:rsidP="006D56B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6"/>
                <w:szCs w:val="16"/>
              </w:rPr>
            </w:pPr>
          </w:p>
          <w:p w14:paraId="0863D657" w14:textId="77777777" w:rsidR="006D56B1" w:rsidRPr="005D7A6B" w:rsidRDefault="006D56B1" w:rsidP="006D56B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6"/>
                <w:szCs w:val="16"/>
              </w:rPr>
            </w:pPr>
          </w:p>
          <w:p w14:paraId="79227D7A" w14:textId="77777777" w:rsidR="006D56B1" w:rsidRPr="005D7A6B" w:rsidRDefault="006D56B1" w:rsidP="006D56B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6"/>
                <w:szCs w:val="16"/>
              </w:rPr>
            </w:pPr>
          </w:p>
          <w:p w14:paraId="3B34A22A" w14:textId="77777777" w:rsidR="006D56B1" w:rsidRDefault="006D56B1" w:rsidP="006D56B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6"/>
                <w:szCs w:val="16"/>
              </w:rPr>
            </w:pPr>
          </w:p>
          <w:p w14:paraId="5192196E" w14:textId="40EB299A" w:rsidR="00213917" w:rsidRPr="00670DF9" w:rsidRDefault="00213917" w:rsidP="0021391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Durchführung von Funktionsprüfungen in Bezug auf:</w:t>
            </w:r>
          </w:p>
          <w:p w14:paraId="6CE668A0" w14:textId="77777777" w:rsidR="00213917" w:rsidRPr="005D7A6B" w:rsidRDefault="00213917" w:rsidP="00213917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39"/>
              <w:rPr>
                <w:rFonts w:cs="Arial"/>
                <w:sz w:val="16"/>
                <w:szCs w:val="16"/>
              </w:rPr>
            </w:pPr>
            <w:r w:rsidRPr="005D7A6B">
              <w:rPr>
                <w:sz w:val="16"/>
              </w:rPr>
              <w:t xml:space="preserve">die Wirksamkeit </w:t>
            </w:r>
            <w:r>
              <w:rPr>
                <w:sz w:val="16"/>
              </w:rPr>
              <w:t xml:space="preserve">der internen </w:t>
            </w:r>
            <w:r w:rsidRPr="005D7A6B">
              <w:rPr>
                <w:sz w:val="16"/>
              </w:rPr>
              <w:t>Kontrollen</w:t>
            </w:r>
            <w:r>
              <w:rPr>
                <w:sz w:val="16"/>
              </w:rPr>
              <w:t xml:space="preserve"> des Instituts</w:t>
            </w:r>
            <w:r w:rsidRPr="005D7A6B">
              <w:rPr>
                <w:sz w:val="16"/>
              </w:rPr>
              <w:t xml:space="preserve"> zur Überprüfung der </w:t>
            </w:r>
            <w:r>
              <w:rPr>
                <w:sz w:val="16"/>
              </w:rPr>
              <w:t xml:space="preserve">Vollständigkeit, </w:t>
            </w:r>
            <w:r w:rsidRPr="005D7A6B">
              <w:rPr>
                <w:sz w:val="16"/>
              </w:rPr>
              <w:t>Korrektheit des Inhalts und der zeitnahen</w:t>
            </w:r>
            <w:r>
              <w:rPr>
                <w:sz w:val="16"/>
              </w:rPr>
              <w:t xml:space="preserve"> bzw. fristgerechten</w:t>
            </w:r>
            <w:r w:rsidRPr="005D7A6B">
              <w:rPr>
                <w:sz w:val="16"/>
              </w:rPr>
              <w:t xml:space="preserve"> Berichterstattung</w:t>
            </w:r>
            <w:r>
              <w:rPr>
                <w:sz w:val="16"/>
              </w:rPr>
              <w:t xml:space="preserve"> (Journalführungs- und Meldepflicht), auch bei Rückweisungen von Meldungen durch den zuständigen Handelsplatz (Meldepflicht)</w:t>
            </w:r>
            <w:r w:rsidRPr="005D7A6B">
              <w:rPr>
                <w:sz w:val="16"/>
              </w:rPr>
              <w:t>.</w:t>
            </w:r>
          </w:p>
          <w:p w14:paraId="5E48AFE5" w14:textId="77777777" w:rsidR="00213917" w:rsidRDefault="00213917" w:rsidP="00213917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  <w:p w14:paraId="2590C214" w14:textId="77777777" w:rsidR="00213917" w:rsidRPr="005D7A6B" w:rsidRDefault="00213917" w:rsidP="00213917">
            <w:pPr>
              <w:autoSpaceDE w:val="0"/>
              <w:autoSpaceDN w:val="0"/>
              <w:adjustRightInd w:val="0"/>
              <w:spacing w:line="240" w:lineRule="auto"/>
              <w:rPr>
                <w:sz w:val="16"/>
              </w:rPr>
            </w:pPr>
            <w:r w:rsidRPr="005D7A6B">
              <w:rPr>
                <w:sz w:val="16"/>
              </w:rPr>
              <w:t>Durchführung von aussagebezogenen</w:t>
            </w:r>
            <w:r>
              <w:rPr>
                <w:sz w:val="16"/>
              </w:rPr>
              <w:t>, stichprobeweisen Einzelfallprüfungen</w:t>
            </w:r>
            <w:r w:rsidRPr="005D7A6B">
              <w:rPr>
                <w:sz w:val="16"/>
              </w:rPr>
              <w:t xml:space="preserve"> in Bezug auf:</w:t>
            </w:r>
          </w:p>
          <w:p w14:paraId="1C6FFE6F" w14:textId="77777777" w:rsidR="00213917" w:rsidRPr="00213917" w:rsidRDefault="00213917" w:rsidP="00213917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39"/>
            </w:pPr>
            <w:r>
              <w:rPr>
                <w:sz w:val="16"/>
              </w:rPr>
              <w:t xml:space="preserve">die Vollständigkeit und </w:t>
            </w:r>
            <w:r w:rsidRPr="001F30E0">
              <w:rPr>
                <w:sz w:val="16"/>
              </w:rPr>
              <w:t xml:space="preserve">den korrekten Inhalt (Effekten, Derivate und andere Instrumente) sowie die Darstellung der Aufzeichnungen im </w:t>
            </w:r>
            <w:r w:rsidRPr="00670DF9">
              <w:rPr>
                <w:sz w:val="16"/>
              </w:rPr>
              <w:t>Journal</w:t>
            </w:r>
            <w:r>
              <w:rPr>
                <w:sz w:val="16"/>
              </w:rPr>
              <w:t xml:space="preserve">, </w:t>
            </w:r>
            <w:r w:rsidRPr="005D7A6B">
              <w:rPr>
                <w:sz w:val="16"/>
              </w:rPr>
              <w:t>inklusive al</w:t>
            </w:r>
            <w:r>
              <w:rPr>
                <w:sz w:val="16"/>
              </w:rPr>
              <w:t>lfälliger</w:t>
            </w:r>
            <w:r w:rsidRPr="005D7A6B">
              <w:rPr>
                <w:sz w:val="16"/>
              </w:rPr>
              <w:t xml:space="preserve"> Ausnahmen</w:t>
            </w:r>
            <w:r w:rsidRPr="00670DF9">
              <w:rPr>
                <w:sz w:val="16"/>
              </w:rPr>
              <w:t>;</w:t>
            </w:r>
          </w:p>
          <w:p w14:paraId="40083C1E" w14:textId="29722E89" w:rsidR="003A46E8" w:rsidRPr="005D7A6B" w:rsidRDefault="00213917" w:rsidP="00213917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142" w:hanging="139"/>
            </w:pPr>
            <w:r>
              <w:rPr>
                <w:sz w:val="16"/>
              </w:rPr>
              <w:t>die Vollständigkeit und den korrekten Inhalt (meldepflichtige Effekten und insbesondere der daraus abgeleiteten Derivate) der an die zuständigen Handelsplätze gemeldeten Abschlüsse.</w:t>
            </w:r>
          </w:p>
        </w:tc>
        <w:tc>
          <w:tcPr>
            <w:tcW w:w="2835" w:type="dxa"/>
          </w:tcPr>
          <w:p w14:paraId="46AE9301" w14:textId="77777777" w:rsidR="003A46E8" w:rsidRDefault="003A46E8" w:rsidP="00710940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  <w:p w14:paraId="16F70F9C" w14:textId="0C2B9759" w:rsidR="00763BC1" w:rsidRPr="00133AB4" w:rsidRDefault="00763BC1" w:rsidP="00213917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19" w:type="dxa"/>
          </w:tcPr>
          <w:p w14:paraId="1F1E9CCE" w14:textId="77777777" w:rsidR="003A46E8" w:rsidRPr="00133AB4" w:rsidRDefault="003A46E8" w:rsidP="00710940">
            <w:pPr>
              <w:spacing w:before="120" w:after="12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5F6B421C" w14:textId="77777777" w:rsidR="003A46E8" w:rsidRPr="003A46E8" w:rsidRDefault="003A46E8" w:rsidP="008066BB">
      <w:pPr>
        <w:spacing w:before="120" w:after="120" w:line="240" w:lineRule="auto"/>
        <w:jc w:val="center"/>
        <w:rPr>
          <w:rFonts w:cs="Arial"/>
        </w:rPr>
      </w:pPr>
      <w:r>
        <w:rPr>
          <w:sz w:val="16"/>
        </w:rPr>
        <w:t>********************************</w:t>
      </w:r>
    </w:p>
    <w:bookmarkEnd w:id="0"/>
    <w:p w14:paraId="30D41A18" w14:textId="77777777" w:rsidR="002A48CF" w:rsidRPr="00315A8C" w:rsidRDefault="002A48CF" w:rsidP="00315A8C">
      <w:pPr>
        <w:spacing w:line="240" w:lineRule="auto"/>
        <w:rPr>
          <w:sz w:val="2"/>
        </w:rPr>
      </w:pPr>
    </w:p>
    <w:sectPr w:rsidR="002A48CF" w:rsidRPr="00315A8C" w:rsidSect="00963F0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6838" w:h="11906" w:orient="landscape" w:code="9"/>
      <w:pgMar w:top="1701" w:right="1134" w:bottom="1418" w:left="1701" w:header="397" w:footer="5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04FCD" w14:textId="77777777" w:rsidR="003F15F5" w:rsidRDefault="003F15F5">
      <w:r>
        <w:separator/>
      </w:r>
    </w:p>
  </w:endnote>
  <w:endnote w:type="continuationSeparator" w:id="0">
    <w:p w14:paraId="3396EB0F" w14:textId="77777777" w:rsidR="003F15F5" w:rsidRDefault="003F15F5">
      <w:r>
        <w:continuationSeparator/>
      </w:r>
    </w:p>
  </w:endnote>
  <w:endnote w:type="continuationNotice" w:id="1">
    <w:p w14:paraId="6B39E345" w14:textId="77777777" w:rsidR="00B03E22" w:rsidRDefault="00B03E2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YInterstate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YInterstate">
    <w:altName w:val="Times New Roman"/>
    <w:charset w:val="00"/>
    <w:family w:val="auto"/>
    <w:pitch w:val="variable"/>
    <w:sig w:usb0="00000001" w:usb1="5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72" w:type="pct"/>
      <w:tblCellMar>
        <w:right w:w="0" w:type="dxa"/>
      </w:tblCellMar>
      <w:tblLook w:val="04A0" w:firstRow="1" w:lastRow="0" w:firstColumn="1" w:lastColumn="0" w:noHBand="0" w:noVBand="1"/>
    </w:tblPr>
    <w:tblGrid>
      <w:gridCol w:w="14173"/>
      <w:gridCol w:w="7850"/>
      <w:gridCol w:w="2264"/>
    </w:tblGrid>
    <w:tr w:rsidR="003F15F5" w14:paraId="585815C2" w14:textId="77777777" w:rsidTr="00FE7FD5">
      <w:tc>
        <w:tcPr>
          <w:tcW w:w="2918" w:type="pct"/>
          <w:tcMar>
            <w:left w:w="0" w:type="dxa"/>
          </w:tcMar>
        </w:tcPr>
        <w:p w14:paraId="2B4431FA" w14:textId="04A74F69" w:rsidR="003F15F5" w:rsidRDefault="003F15F5" w:rsidP="00EC206B">
          <w:pPr>
            <w:tabs>
              <w:tab w:val="left" w:pos="1859"/>
              <w:tab w:val="left" w:pos="11970"/>
            </w:tabs>
            <w:spacing w:before="60" w:after="60" w:line="240" w:lineRule="auto"/>
            <w:rPr>
              <w:sz w:val="16"/>
            </w:rPr>
          </w:pPr>
          <w:r w:rsidRPr="00EC206B">
            <w:rPr>
              <w:sz w:val="16"/>
            </w:rPr>
            <w:t>Für das Prüf</w:t>
          </w:r>
          <w:r w:rsidR="0018594D">
            <w:rPr>
              <w:sz w:val="16"/>
            </w:rPr>
            <w:t>feld</w:t>
          </w:r>
          <w:r w:rsidRPr="00EC206B">
            <w:rPr>
              <w:sz w:val="16"/>
            </w:rPr>
            <w:t xml:space="preserve"> „Geschäftsrisiken – Risikomanagement / Einhaltung der Verhaltensregeln zur Marktintegrität“ anwendbare Prüfungshandlungen.</w:t>
          </w:r>
        </w:p>
        <w:p w14:paraId="723E06BB" w14:textId="0D2CC124" w:rsidR="003F15F5" w:rsidRPr="00EC206B" w:rsidRDefault="003F15F5" w:rsidP="00EC206B">
          <w:pPr>
            <w:tabs>
              <w:tab w:val="left" w:pos="1859"/>
              <w:tab w:val="right" w:pos="14034"/>
            </w:tabs>
            <w:spacing w:before="60" w:after="60" w:line="240" w:lineRule="auto"/>
            <w:rPr>
              <w:sz w:val="16"/>
            </w:rPr>
          </w:pPr>
          <w:r w:rsidRPr="00EC206B">
            <w:rPr>
              <w:sz w:val="16"/>
            </w:rPr>
            <w:t xml:space="preserve">Version vom </w:t>
          </w:r>
          <w:r w:rsidR="00A43648">
            <w:rPr>
              <w:sz w:val="16"/>
            </w:rPr>
            <w:t>15. März </w:t>
          </w:r>
          <w:r w:rsidR="0018594D">
            <w:rPr>
              <w:sz w:val="16"/>
            </w:rPr>
            <w:t>2025</w:t>
          </w:r>
          <w:r w:rsidRPr="00EC206B">
            <w:rPr>
              <w:sz w:val="16"/>
            </w:rPr>
            <w:t>, anwendbar ab Prüfperiode 202</w:t>
          </w:r>
          <w:r w:rsidR="0018594D">
            <w:rPr>
              <w:sz w:val="16"/>
            </w:rPr>
            <w:t>5</w:t>
          </w:r>
          <w:r w:rsidRPr="00EC206B">
            <w:rPr>
              <w:sz w:val="16"/>
            </w:rPr>
            <w:t xml:space="preserve"> (Prüfjahre beginnend am 1.</w:t>
          </w:r>
          <w:r w:rsidR="0018594D">
            <w:rPr>
              <w:sz w:val="16"/>
            </w:rPr>
            <w:t xml:space="preserve"> Januar 2025</w:t>
          </w:r>
          <w:r w:rsidRPr="00EC206B">
            <w:rPr>
              <w:sz w:val="16"/>
            </w:rPr>
            <w:t xml:space="preserve"> oder später)</w:t>
          </w:r>
          <w:sdt>
            <w:sdtPr>
              <w:rPr>
                <w:sz w:val="16"/>
                <w:szCs w:val="16"/>
              </w:rPr>
              <w:id w:val="-1584903620"/>
              <w:docPartObj>
                <w:docPartGallery w:val="Page Numbers (Bottom of Page)"/>
                <w:docPartUnique/>
              </w:docPartObj>
            </w:sdtPr>
            <w:sdtEndPr>
              <w:rPr>
                <w:szCs w:val="20"/>
              </w:rPr>
            </w:sdtEndPr>
            <w:sdtContent>
              <w:r>
                <w:rPr>
                  <w:sz w:val="16"/>
                  <w:szCs w:val="16"/>
                </w:rPr>
                <w:tab/>
              </w:r>
              <w:r>
                <w:rPr>
                  <w:sz w:val="16"/>
                </w:rPr>
                <w:t xml:space="preserve">Seite </w:t>
              </w:r>
              <w:r w:rsidRPr="00EC206B">
                <w:rPr>
                  <w:sz w:val="16"/>
                </w:rPr>
                <w:fldChar w:fldCharType="begin"/>
              </w:r>
              <w:r w:rsidRPr="00EC206B">
                <w:rPr>
                  <w:sz w:val="16"/>
                </w:rPr>
                <w:instrText xml:space="preserve"> PAGE   \* MERGEFORMAT </w:instrText>
              </w:r>
              <w:r w:rsidRPr="00EC206B">
                <w:rPr>
                  <w:sz w:val="16"/>
                </w:rPr>
                <w:fldChar w:fldCharType="separate"/>
              </w:r>
              <w:r w:rsidR="00BD474C">
                <w:rPr>
                  <w:noProof/>
                  <w:sz w:val="16"/>
                </w:rPr>
                <w:t>8</w:t>
              </w:r>
              <w:r w:rsidRPr="00EC206B">
                <w:rPr>
                  <w:sz w:val="16"/>
                </w:rPr>
                <w:fldChar w:fldCharType="end"/>
              </w:r>
            </w:sdtContent>
          </w:sdt>
        </w:p>
        <w:p w14:paraId="509515A4" w14:textId="77777777" w:rsidR="003F15F5" w:rsidRPr="00FE7FD5" w:rsidRDefault="003F15F5" w:rsidP="00455E44">
          <w:pPr>
            <w:pStyle w:val="Pieddepage"/>
            <w:tabs>
              <w:tab w:val="clear" w:pos="8618"/>
            </w:tabs>
          </w:pPr>
        </w:p>
      </w:tc>
      <w:tc>
        <w:tcPr>
          <w:tcW w:w="1616" w:type="pct"/>
          <w:tcMar>
            <w:left w:w="0" w:type="dxa"/>
          </w:tcMar>
        </w:tcPr>
        <w:p w14:paraId="026C0907" w14:textId="77777777" w:rsidR="003F15F5" w:rsidRPr="00FE7FD5" w:rsidRDefault="003F15F5" w:rsidP="00455E44">
          <w:pPr>
            <w:pStyle w:val="Pieddepage"/>
            <w:tabs>
              <w:tab w:val="clear" w:pos="8618"/>
            </w:tabs>
          </w:pPr>
        </w:p>
      </w:tc>
      <w:tc>
        <w:tcPr>
          <w:tcW w:w="466" w:type="pct"/>
          <w:tcMar>
            <w:left w:w="0" w:type="dxa"/>
          </w:tcMar>
        </w:tcPr>
        <w:p w14:paraId="05A2F9DC" w14:textId="4D77FC65" w:rsidR="003F15F5" w:rsidRPr="00D81961" w:rsidRDefault="003F15F5" w:rsidP="00D81961">
          <w:pPr>
            <w:pStyle w:val="Pieddepage"/>
            <w:tabs>
              <w:tab w:val="clear" w:pos="8618"/>
              <w:tab w:val="left" w:pos="1473"/>
            </w:tabs>
            <w:ind w:right="29"/>
            <w:rPr>
              <w:sz w:val="15"/>
              <w:szCs w:val="15"/>
            </w:rPr>
          </w:pPr>
          <w:r w:rsidRPr="00D81961">
            <w:rPr>
              <w:sz w:val="15"/>
              <w:szCs w:val="15"/>
            </w:rPr>
            <w:fldChar w:fldCharType="begin"/>
          </w:r>
          <w:r w:rsidRPr="00D81961">
            <w:rPr>
              <w:sz w:val="15"/>
              <w:szCs w:val="15"/>
            </w:rPr>
            <w:instrText xml:space="preserve"> PAGE </w:instrText>
          </w:r>
          <w:r w:rsidRPr="00D81961">
            <w:rPr>
              <w:sz w:val="15"/>
              <w:szCs w:val="15"/>
            </w:rPr>
            <w:fldChar w:fldCharType="separate"/>
          </w:r>
          <w:r w:rsidR="00BD474C">
            <w:rPr>
              <w:noProof/>
              <w:sz w:val="15"/>
              <w:szCs w:val="15"/>
            </w:rPr>
            <w:t>8</w:t>
          </w:r>
          <w:r w:rsidRPr="00D81961">
            <w:rPr>
              <w:noProof/>
              <w:sz w:val="15"/>
              <w:szCs w:val="15"/>
            </w:rPr>
            <w:fldChar w:fldCharType="end"/>
          </w:r>
          <w:r>
            <w:rPr>
              <w:sz w:val="15"/>
            </w:rPr>
            <w:t>/</w:t>
          </w:r>
          <w:r w:rsidRPr="00D81961">
            <w:rPr>
              <w:sz w:val="15"/>
              <w:szCs w:val="15"/>
            </w:rPr>
            <w:fldChar w:fldCharType="begin"/>
          </w:r>
          <w:r w:rsidRPr="00D81961">
            <w:rPr>
              <w:sz w:val="15"/>
              <w:szCs w:val="15"/>
            </w:rPr>
            <w:instrText xml:space="preserve"> NUMPAGES </w:instrText>
          </w:r>
          <w:r w:rsidRPr="00D81961">
            <w:rPr>
              <w:sz w:val="15"/>
              <w:szCs w:val="15"/>
            </w:rPr>
            <w:fldChar w:fldCharType="separate"/>
          </w:r>
          <w:r w:rsidR="00BD474C">
            <w:rPr>
              <w:noProof/>
              <w:sz w:val="15"/>
              <w:szCs w:val="15"/>
            </w:rPr>
            <w:t>8</w:t>
          </w:r>
          <w:r w:rsidRPr="00D81961">
            <w:rPr>
              <w:noProof/>
              <w:sz w:val="15"/>
              <w:szCs w:val="15"/>
            </w:rPr>
            <w:fldChar w:fldCharType="end"/>
          </w:r>
        </w:p>
      </w:tc>
    </w:tr>
  </w:tbl>
  <w:p w14:paraId="4647A416" w14:textId="77777777" w:rsidR="003F15F5" w:rsidRDefault="003F15F5" w:rsidP="009A031D">
    <w:pPr>
      <w:pStyle w:val="Pieddepage"/>
      <w:tabs>
        <w:tab w:val="clear" w:pos="8618"/>
        <w:tab w:val="right" w:pos="146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4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75"/>
    </w:tblGrid>
    <w:tr w:rsidR="003F15F5" w:rsidRPr="00345202" w14:paraId="76923A3B" w14:textId="77777777" w:rsidTr="00524135">
      <w:tc>
        <w:tcPr>
          <w:tcW w:w="14175" w:type="dxa"/>
        </w:tcPr>
        <w:p w14:paraId="4A95F985" w14:textId="77777777" w:rsidR="003F15F5" w:rsidRPr="007E3D7C" w:rsidRDefault="003F15F5" w:rsidP="000642FF">
          <w:pPr>
            <w:pStyle w:val="Pieddepage"/>
            <w:spacing w:line="240" w:lineRule="auto"/>
          </w:pPr>
          <w:bookmarkStart w:id="2" w:name="BkmBarcode01" w:colFirst="1" w:colLast="1"/>
        </w:p>
      </w:tc>
    </w:tr>
    <w:tr w:rsidR="003F15F5" w:rsidRPr="00345202" w14:paraId="2918EEDC" w14:textId="77777777" w:rsidTr="00524135">
      <w:tc>
        <w:tcPr>
          <w:tcW w:w="14175" w:type="dxa"/>
        </w:tcPr>
        <w:p w14:paraId="62D0DE3F" w14:textId="77777777" w:rsidR="003F15F5" w:rsidRDefault="003F15F5" w:rsidP="00524135">
          <w:pPr>
            <w:tabs>
              <w:tab w:val="left" w:pos="1859"/>
            </w:tabs>
            <w:spacing w:before="60" w:after="60" w:line="240" w:lineRule="auto"/>
            <w:rPr>
              <w:sz w:val="16"/>
            </w:rPr>
          </w:pPr>
          <w:r>
            <w:rPr>
              <w:sz w:val="16"/>
            </w:rPr>
            <w:t>Für das Prüfgebiet „Geschäftsrisiken – Risikomanagement / Einhaltung der Verhaltensregeln zur Marktintegrität“ anwendbare Prüfungshandlungen.</w:t>
          </w:r>
        </w:p>
        <w:p w14:paraId="01EAF7A0" w14:textId="77777777" w:rsidR="003F15F5" w:rsidRPr="005D5015" w:rsidRDefault="003F15F5" w:rsidP="00524135">
          <w:pPr>
            <w:tabs>
              <w:tab w:val="left" w:pos="1859"/>
              <w:tab w:val="right" w:pos="13925"/>
            </w:tabs>
            <w:spacing w:before="60" w:after="60" w:line="240" w:lineRule="auto"/>
            <w:rPr>
              <w:sz w:val="16"/>
              <w:szCs w:val="16"/>
            </w:rPr>
          </w:pPr>
          <w:r w:rsidRPr="00DC5D61">
            <w:rPr>
              <w:sz w:val="16"/>
              <w:szCs w:val="16"/>
            </w:rPr>
            <w:t xml:space="preserve">Version vom </w:t>
          </w:r>
          <w:proofErr w:type="spellStart"/>
          <w:r>
            <w:rPr>
              <w:sz w:val="16"/>
              <w:szCs w:val="16"/>
            </w:rPr>
            <w:t>xxxx</w:t>
          </w:r>
          <w:proofErr w:type="spellEnd"/>
          <w:r>
            <w:rPr>
              <w:sz w:val="16"/>
              <w:szCs w:val="16"/>
            </w:rPr>
            <w:t xml:space="preserve"> 2020</w:t>
          </w:r>
          <w:r w:rsidRPr="00DC5D61">
            <w:rPr>
              <w:sz w:val="16"/>
              <w:szCs w:val="16"/>
            </w:rPr>
            <w:t>, anwendbar ab der Prüfperiode 20</w:t>
          </w:r>
          <w:r>
            <w:rPr>
              <w:sz w:val="16"/>
              <w:szCs w:val="16"/>
            </w:rPr>
            <w:t>20 (Prüfjahre beginnend am 01.01.2020 oder später)</w:t>
          </w:r>
          <w:r>
            <w:tab/>
          </w:r>
          <w:sdt>
            <w:sdtPr>
              <w:rPr>
                <w:sz w:val="16"/>
                <w:szCs w:val="16"/>
              </w:rPr>
              <w:id w:val="-2082977238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>
                <w:rPr>
                  <w:sz w:val="16"/>
                </w:rPr>
                <w:t xml:space="preserve">Seite </w:t>
              </w:r>
              <w:r w:rsidRPr="005061E9">
                <w:rPr>
                  <w:sz w:val="16"/>
                  <w:szCs w:val="16"/>
                </w:rPr>
                <w:fldChar w:fldCharType="begin"/>
              </w:r>
              <w:r w:rsidRPr="005061E9">
                <w:rPr>
                  <w:sz w:val="16"/>
                  <w:szCs w:val="16"/>
                </w:rPr>
                <w:instrText xml:space="preserve"> PAGE   \* MERGEFORMAT </w:instrText>
              </w:r>
              <w:r w:rsidRPr="005061E9">
                <w:rPr>
                  <w:sz w:val="16"/>
                  <w:szCs w:val="16"/>
                </w:rPr>
                <w:fldChar w:fldCharType="separate"/>
              </w:r>
              <w:r>
                <w:rPr>
                  <w:noProof/>
                  <w:sz w:val="16"/>
                  <w:szCs w:val="16"/>
                </w:rPr>
                <w:t>1</w:t>
              </w:r>
              <w:r w:rsidRPr="005061E9">
                <w:rPr>
                  <w:noProof/>
                  <w:sz w:val="16"/>
                  <w:szCs w:val="16"/>
                </w:rPr>
                <w:fldChar w:fldCharType="end"/>
              </w:r>
            </w:sdtContent>
          </w:sdt>
        </w:p>
        <w:p w14:paraId="2E2A5558" w14:textId="77777777" w:rsidR="003F15F5" w:rsidRPr="007E3D7C" w:rsidRDefault="003F15F5" w:rsidP="00455E44">
          <w:pPr>
            <w:pStyle w:val="Pieddepage"/>
            <w:spacing w:line="240" w:lineRule="auto"/>
          </w:pPr>
        </w:p>
      </w:tc>
    </w:tr>
    <w:tr w:rsidR="003F15F5" w:rsidRPr="00680FFB" w14:paraId="017D8ACC" w14:textId="77777777" w:rsidTr="00524135">
      <w:tc>
        <w:tcPr>
          <w:tcW w:w="14175" w:type="dxa"/>
        </w:tcPr>
        <w:p w14:paraId="3C9028E4" w14:textId="3B5389D1" w:rsidR="003F15F5" w:rsidRPr="00D81961" w:rsidRDefault="003F15F5" w:rsidP="00524135">
          <w:pPr>
            <w:pStyle w:val="Pieddepage"/>
            <w:spacing w:line="240" w:lineRule="auto"/>
            <w:rPr>
              <w:rFonts w:cs="Arial"/>
              <w:sz w:val="12"/>
              <w:szCs w:val="12"/>
            </w:rPr>
          </w:pPr>
          <w:r w:rsidRPr="005D0B7C">
            <w:rPr>
              <w:sz w:val="12"/>
              <w:szCs w:val="12"/>
            </w:rPr>
            <w:fldChar w:fldCharType="begin"/>
          </w:r>
          <w:r w:rsidRPr="005D0B7C">
            <w:rPr>
              <w:sz w:val="12"/>
              <w:szCs w:val="12"/>
            </w:rPr>
            <w:instrText xml:space="preserve"> IF "</w:instrText>
          </w:r>
          <w:r w:rsidRPr="005D0B7C">
            <w:rPr>
              <w:sz w:val="12"/>
              <w:szCs w:val="12"/>
            </w:rPr>
            <w:fldChar w:fldCharType="begin"/>
          </w:r>
          <w:r w:rsidRPr="005D0B7C">
            <w:rPr>
              <w:sz w:val="12"/>
              <w:szCs w:val="12"/>
            </w:rPr>
            <w:instrText xml:space="preserve"> DOCPROPERTY "geschaeft_id" </w:instrText>
          </w:r>
          <w:r w:rsidRPr="005D0B7C">
            <w:rPr>
              <w:sz w:val="12"/>
              <w:szCs w:val="12"/>
            </w:rPr>
            <w:fldChar w:fldCharType="separate"/>
          </w:r>
          <w:r w:rsidR="002D1220">
            <w:rPr>
              <w:b/>
              <w:bCs/>
              <w:sz w:val="12"/>
              <w:szCs w:val="12"/>
              <w:lang w:val="de-DE"/>
            </w:rPr>
            <w:instrText>Fehler! Unbekannter Name für Dokument-Eigenschaft.</w:instrText>
          </w:r>
          <w:r w:rsidRPr="005D0B7C">
            <w:rPr>
              <w:sz w:val="12"/>
              <w:szCs w:val="12"/>
            </w:rPr>
            <w:fldChar w:fldCharType="end"/>
          </w:r>
          <w:r w:rsidRPr="005D0B7C">
            <w:rPr>
              <w:sz w:val="12"/>
              <w:szCs w:val="12"/>
            </w:rPr>
            <w:instrText>"="</w:instrText>
          </w:r>
          <w:r w:rsidRPr="005D0B7C">
            <w:rPr>
              <w:rStyle w:val="FINMARf-AktnrZchn"/>
              <w:sz w:val="12"/>
              <w:szCs w:val="12"/>
            </w:rPr>
            <w:fldChar w:fldCharType="begin"/>
          </w:r>
          <w:r w:rsidRPr="005D0B7C">
            <w:rPr>
              <w:rStyle w:val="FINMARf-AktnrZchn"/>
              <w:sz w:val="12"/>
              <w:szCs w:val="12"/>
            </w:rPr>
            <w:instrText xml:space="preserve"> DOCPROPERTY "NotExist" </w:instrText>
          </w:r>
          <w:r w:rsidRPr="005D0B7C">
            <w:rPr>
              <w:rStyle w:val="FINMARf-AktnrZchn"/>
              <w:sz w:val="12"/>
              <w:szCs w:val="12"/>
            </w:rPr>
            <w:fldChar w:fldCharType="separate"/>
          </w:r>
          <w:r w:rsidR="002D1220">
            <w:rPr>
              <w:rStyle w:val="FINMARf-AktnrZchn"/>
              <w:b/>
              <w:bCs/>
              <w:sz w:val="12"/>
              <w:szCs w:val="12"/>
              <w:lang w:val="de-DE"/>
            </w:rPr>
            <w:instrText>Fehler! Unbekannter Name für Dokument-Eigenschaft.</w:instrText>
          </w:r>
          <w:r w:rsidRPr="005D0B7C">
            <w:rPr>
              <w:rStyle w:val="FINMARf-AktnrZchn"/>
              <w:sz w:val="12"/>
              <w:szCs w:val="12"/>
            </w:rPr>
            <w:fldChar w:fldCharType="end"/>
          </w:r>
          <w:r w:rsidRPr="005D0B7C">
            <w:rPr>
              <w:sz w:val="12"/>
              <w:szCs w:val="12"/>
            </w:rPr>
            <w:instrText>" "" "</w:instrText>
          </w:r>
          <w:r w:rsidRPr="005D0B7C">
            <w:rPr>
              <w:sz w:val="12"/>
              <w:szCs w:val="12"/>
            </w:rPr>
            <w:fldChar w:fldCharType="begin"/>
          </w:r>
          <w:r w:rsidRPr="005D0B7C">
            <w:rPr>
              <w:sz w:val="12"/>
              <w:szCs w:val="12"/>
            </w:rPr>
            <w:instrText xml:space="preserve"> DOCPROPERTY "geschaeft_id" </w:instrText>
          </w:r>
          <w:r w:rsidRPr="005D0B7C">
            <w:rPr>
              <w:sz w:val="12"/>
              <w:szCs w:val="12"/>
            </w:rPr>
            <w:fldChar w:fldCharType="end"/>
          </w:r>
          <w:r w:rsidRPr="005D0B7C">
            <w:rPr>
              <w:sz w:val="12"/>
              <w:szCs w:val="12"/>
            </w:rPr>
            <w:instrText xml:space="preserve">" </w:instrText>
          </w:r>
          <w:r w:rsidRPr="005D0B7C">
            <w:rPr>
              <w:sz w:val="12"/>
              <w:szCs w:val="12"/>
            </w:rPr>
            <w:fldChar w:fldCharType="end"/>
          </w:r>
          <w:r w:rsidRPr="005D0B7C">
            <w:rPr>
              <w:sz w:val="12"/>
              <w:szCs w:val="12"/>
            </w:rPr>
            <w:fldChar w:fldCharType="begin"/>
          </w:r>
          <w:r w:rsidRPr="005D0B7C">
            <w:rPr>
              <w:sz w:val="12"/>
              <w:szCs w:val="12"/>
            </w:rPr>
            <w:instrText xml:space="preserve"> IF "</w:instrText>
          </w:r>
          <w:r w:rsidRPr="005D0B7C">
            <w:rPr>
              <w:sz w:val="12"/>
              <w:szCs w:val="12"/>
            </w:rPr>
            <w:fldChar w:fldCharType="begin"/>
          </w:r>
          <w:r w:rsidRPr="005D0B7C">
            <w:rPr>
              <w:sz w:val="12"/>
              <w:szCs w:val="12"/>
            </w:rPr>
            <w:instrText xml:space="preserve"> DOCPROPERTY "aktionswert" </w:instrText>
          </w:r>
          <w:r w:rsidRPr="005D0B7C">
            <w:rPr>
              <w:sz w:val="12"/>
              <w:szCs w:val="12"/>
            </w:rPr>
            <w:fldChar w:fldCharType="separate"/>
          </w:r>
          <w:r w:rsidR="002D1220">
            <w:rPr>
              <w:b/>
              <w:bCs/>
              <w:sz w:val="12"/>
              <w:szCs w:val="12"/>
              <w:lang w:val="de-DE"/>
            </w:rPr>
            <w:instrText>Fehler! Unbekannter Name für Dokument-Eigenschaft.</w:instrText>
          </w:r>
          <w:r w:rsidRPr="005D0B7C">
            <w:rPr>
              <w:sz w:val="12"/>
              <w:szCs w:val="12"/>
            </w:rPr>
            <w:fldChar w:fldCharType="end"/>
          </w:r>
          <w:r w:rsidRPr="005D0B7C">
            <w:rPr>
              <w:sz w:val="12"/>
              <w:szCs w:val="12"/>
            </w:rPr>
            <w:instrText>"="</w:instrText>
          </w:r>
          <w:r w:rsidRPr="005D0B7C">
            <w:rPr>
              <w:rStyle w:val="FINMARf-AktnrZchn"/>
              <w:sz w:val="12"/>
              <w:szCs w:val="12"/>
            </w:rPr>
            <w:fldChar w:fldCharType="begin"/>
          </w:r>
          <w:r w:rsidRPr="005D0B7C">
            <w:rPr>
              <w:rStyle w:val="FINMARf-AktnrZchn"/>
              <w:sz w:val="12"/>
              <w:szCs w:val="12"/>
            </w:rPr>
            <w:instrText xml:space="preserve"> DOCPROPERTY "NotExist" </w:instrText>
          </w:r>
          <w:r w:rsidRPr="005D0B7C">
            <w:rPr>
              <w:rStyle w:val="FINMARf-AktnrZchn"/>
              <w:sz w:val="12"/>
              <w:szCs w:val="12"/>
            </w:rPr>
            <w:fldChar w:fldCharType="separate"/>
          </w:r>
          <w:r w:rsidR="002D1220">
            <w:rPr>
              <w:rStyle w:val="FINMARf-AktnrZchn"/>
              <w:b/>
              <w:bCs/>
              <w:sz w:val="12"/>
              <w:szCs w:val="12"/>
              <w:lang w:val="de-DE"/>
            </w:rPr>
            <w:instrText>Fehler! Unbekannter Name für Dokument-Eigenschaft.</w:instrText>
          </w:r>
          <w:r w:rsidRPr="005D0B7C">
            <w:rPr>
              <w:rStyle w:val="FINMARf-AktnrZchn"/>
              <w:sz w:val="12"/>
              <w:szCs w:val="12"/>
            </w:rPr>
            <w:fldChar w:fldCharType="end"/>
          </w:r>
          <w:r w:rsidRPr="005D0B7C">
            <w:rPr>
              <w:sz w:val="12"/>
              <w:szCs w:val="12"/>
            </w:rPr>
            <w:instrText>" "" "</w:instrText>
          </w:r>
          <w:r w:rsidRPr="005D0B7C">
            <w:rPr>
              <w:sz w:val="12"/>
              <w:szCs w:val="12"/>
            </w:rPr>
            <w:fldChar w:fldCharType="begin"/>
          </w:r>
          <w:r w:rsidRPr="005D0B7C">
            <w:rPr>
              <w:sz w:val="12"/>
              <w:szCs w:val="12"/>
            </w:rPr>
            <w:instrText xml:space="preserve"> DOCPROPERTY "aktionswert" </w:instrText>
          </w:r>
          <w:r w:rsidRPr="005D0B7C">
            <w:rPr>
              <w:sz w:val="12"/>
              <w:szCs w:val="12"/>
            </w:rPr>
            <w:fldChar w:fldCharType="end"/>
          </w:r>
          <w:r w:rsidRPr="005D0B7C">
            <w:rPr>
              <w:sz w:val="12"/>
              <w:szCs w:val="12"/>
            </w:rPr>
            <w:instrText xml:space="preserve">" </w:instrText>
          </w:r>
          <w:r w:rsidRPr="005D0B7C">
            <w:rPr>
              <w:sz w:val="12"/>
              <w:szCs w:val="12"/>
            </w:rPr>
            <w:fldChar w:fldCharType="end"/>
          </w:r>
          <w:r w:rsidRPr="005D0B7C">
            <w:rPr>
              <w:sz w:val="12"/>
              <w:szCs w:val="12"/>
            </w:rPr>
            <w:fldChar w:fldCharType="begin"/>
          </w:r>
          <w:r w:rsidRPr="005D0B7C">
            <w:rPr>
              <w:sz w:val="12"/>
              <w:szCs w:val="12"/>
            </w:rPr>
            <w:instrText xml:space="preserve"> IF "</w:instrText>
          </w:r>
          <w:r w:rsidRPr="005D0B7C">
            <w:rPr>
              <w:sz w:val="12"/>
              <w:szCs w:val="12"/>
            </w:rPr>
            <w:fldChar w:fldCharType="begin"/>
          </w:r>
          <w:r w:rsidRPr="005D0B7C">
            <w:rPr>
              <w:sz w:val="12"/>
              <w:szCs w:val="12"/>
            </w:rPr>
            <w:instrText xml:space="preserve"> DOCPROPERTY "aktionswert" </w:instrText>
          </w:r>
          <w:r w:rsidRPr="005D0B7C">
            <w:rPr>
              <w:sz w:val="12"/>
              <w:szCs w:val="12"/>
            </w:rPr>
            <w:fldChar w:fldCharType="separate"/>
          </w:r>
          <w:r w:rsidR="002D1220">
            <w:rPr>
              <w:b/>
              <w:bCs/>
              <w:sz w:val="12"/>
              <w:szCs w:val="12"/>
              <w:lang w:val="de-DE"/>
            </w:rPr>
            <w:instrText>Fehler! Unbekannter Name für Dokument-Eigenschaft.</w:instrText>
          </w:r>
          <w:r w:rsidRPr="005D0B7C">
            <w:rPr>
              <w:sz w:val="12"/>
              <w:szCs w:val="12"/>
            </w:rPr>
            <w:fldChar w:fldCharType="end"/>
          </w:r>
          <w:r w:rsidRPr="005D0B7C">
            <w:rPr>
              <w:sz w:val="12"/>
              <w:szCs w:val="12"/>
            </w:rPr>
            <w:instrText xml:space="preserve">"="" ";" "" </w:instrText>
          </w:r>
          <w:r w:rsidR="00801977">
            <w:rPr>
              <w:sz w:val="12"/>
              <w:szCs w:val="12"/>
            </w:rPr>
            <w:fldChar w:fldCharType="separate"/>
          </w:r>
          <w:r w:rsidRPr="005D0B7C">
            <w:rPr>
              <w:sz w:val="12"/>
              <w:szCs w:val="12"/>
            </w:rPr>
            <w:fldChar w:fldCharType="end"/>
          </w:r>
        </w:p>
      </w:tc>
    </w:tr>
  </w:tbl>
  <w:bookmarkEnd w:id="2"/>
  <w:p w14:paraId="48427107" w14:textId="77777777" w:rsidR="003F15F5" w:rsidRPr="00F768F1" w:rsidRDefault="00801977" w:rsidP="00F768F1">
    <w:pPr>
      <w:pStyle w:val="Pieddepage"/>
      <w:spacing w:line="240" w:lineRule="auto"/>
      <w:rPr>
        <w:sz w:val="2"/>
        <w:szCs w:val="2"/>
      </w:rPr>
    </w:pPr>
    <w:sdt>
      <w:sdtPr>
        <w:rPr>
          <w:rFonts w:cs="Arial"/>
          <w:sz w:val="12"/>
          <w:szCs w:val="12"/>
        </w:rPr>
        <w:alias w:val="docid"/>
        <w:tag w:val="docid"/>
        <w:id w:val="-1710867897"/>
        <w:showingPlcHdr/>
      </w:sdtPr>
      <w:sdtEndPr/>
      <w:sdtContent>
        <w:r w:rsidR="003F15F5">
          <w:rPr>
            <w:sz w:val="12"/>
          </w:rPr>
          <w:t xml:space="preserve">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77731" w14:textId="77777777" w:rsidR="003F15F5" w:rsidRDefault="003F15F5">
      <w:r>
        <w:separator/>
      </w:r>
    </w:p>
  </w:footnote>
  <w:footnote w:type="continuationSeparator" w:id="0">
    <w:p w14:paraId="5AA426E2" w14:textId="77777777" w:rsidR="003F15F5" w:rsidRDefault="003F15F5">
      <w:r>
        <w:continuationSeparator/>
      </w:r>
    </w:p>
  </w:footnote>
  <w:footnote w:type="continuationNotice" w:id="1">
    <w:p w14:paraId="7A4CB9AC" w14:textId="77777777" w:rsidR="00B03E22" w:rsidRDefault="00B03E22">
      <w:pPr>
        <w:spacing w:line="240" w:lineRule="auto"/>
      </w:pPr>
    </w:p>
  </w:footnote>
  <w:footnote w:id="2">
    <w:p w14:paraId="4D2F0FB5" w14:textId="4E60FF61" w:rsidR="003F15F5" w:rsidRPr="00C43B9D" w:rsidRDefault="003F15F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bookmarkStart w:id="1" w:name="_Hlk191391812"/>
      <w:r w:rsidR="0018594D">
        <w:t xml:space="preserve">Art. 10 Abs. 2 und 3 </w:t>
      </w:r>
      <w:r w:rsidR="00491784" w:rsidRPr="00341473">
        <w:t>Aufsichtsprüfverordnung FINMA</w:t>
      </w:r>
      <w:r w:rsidR="00491784">
        <w:t xml:space="preserve"> </w:t>
      </w:r>
      <w:r w:rsidR="00491784" w:rsidRPr="00952962">
        <w:t>vom 31. Oktober 2024</w:t>
      </w:r>
      <w:r w:rsidR="00491784">
        <w:t xml:space="preserve"> (SR </w:t>
      </w:r>
      <w:r w:rsidR="00491784" w:rsidRPr="007A370C">
        <w:rPr>
          <w:i/>
          <w:iCs/>
        </w:rPr>
        <w:t>956.161.1</w:t>
      </w:r>
      <w:r w:rsidR="00491784">
        <w:t>)</w:t>
      </w:r>
      <w:bookmarkEnd w:id="1"/>
    </w:p>
  </w:footnote>
  <w:footnote w:id="3">
    <w:p w14:paraId="217A6BEC" w14:textId="26D633E6" w:rsidR="003F15F5" w:rsidRPr="00433BFE" w:rsidRDefault="003F15F5" w:rsidP="00DB574A">
      <w:pPr>
        <w:shd w:val="clear" w:color="auto" w:fill="FFFFFF"/>
        <w:spacing w:line="240" w:lineRule="auto"/>
        <w:rPr>
          <w:color w:val="222222"/>
          <w:sz w:val="16"/>
        </w:rPr>
      </w:pPr>
      <w:r>
        <w:rPr>
          <w:rStyle w:val="Appelnotedebasdep"/>
        </w:rPr>
        <w:footnoteRef/>
      </w:r>
      <w:r>
        <w:rPr>
          <w:sz w:val="16"/>
        </w:rPr>
        <w:t xml:space="preserve"> </w:t>
      </w:r>
      <w:r w:rsidRPr="00801977">
        <w:rPr>
          <w:b/>
          <w:i/>
          <w:iCs/>
          <w:color w:val="222222"/>
          <w:sz w:val="16"/>
        </w:rPr>
        <w:t>Flow Trading</w:t>
      </w:r>
      <w:r w:rsidRPr="00433BFE">
        <w:rPr>
          <w:color w:val="222222"/>
          <w:sz w:val="16"/>
        </w:rPr>
        <w:t xml:space="preserve"> </w:t>
      </w:r>
      <w:r>
        <w:rPr>
          <w:color w:val="222222"/>
          <w:sz w:val="16"/>
        </w:rPr>
        <w:t>bezeichnet den</w:t>
      </w:r>
      <w:r w:rsidRPr="00433BFE">
        <w:rPr>
          <w:color w:val="222222"/>
          <w:sz w:val="16"/>
        </w:rPr>
        <w:t xml:space="preserve"> sehr kurzfristige</w:t>
      </w:r>
      <w:r>
        <w:rPr>
          <w:color w:val="222222"/>
          <w:sz w:val="16"/>
        </w:rPr>
        <w:t>n</w:t>
      </w:r>
      <w:r w:rsidRPr="00433BFE">
        <w:rPr>
          <w:color w:val="222222"/>
          <w:sz w:val="16"/>
        </w:rPr>
        <w:t xml:space="preserve"> Kauf</w:t>
      </w:r>
      <w:r>
        <w:rPr>
          <w:color w:val="222222"/>
          <w:sz w:val="16"/>
        </w:rPr>
        <w:t xml:space="preserve"> oder Verkauf</w:t>
      </w:r>
      <w:r w:rsidRPr="00433BFE">
        <w:rPr>
          <w:color w:val="222222"/>
          <w:sz w:val="16"/>
        </w:rPr>
        <w:t xml:space="preserve"> von Produkten als Gegenpartei </w:t>
      </w:r>
      <w:r w:rsidR="002810B2">
        <w:rPr>
          <w:color w:val="222222"/>
          <w:sz w:val="16"/>
        </w:rPr>
        <w:t xml:space="preserve">der Kundin bzw. </w:t>
      </w:r>
      <w:r>
        <w:rPr>
          <w:color w:val="222222"/>
          <w:sz w:val="16"/>
        </w:rPr>
        <w:t>des</w:t>
      </w:r>
      <w:r w:rsidRPr="00433BFE">
        <w:rPr>
          <w:color w:val="222222"/>
          <w:sz w:val="16"/>
        </w:rPr>
        <w:t xml:space="preserve"> Kunden</w:t>
      </w:r>
      <w:r>
        <w:rPr>
          <w:color w:val="222222"/>
          <w:sz w:val="16"/>
        </w:rPr>
        <w:t xml:space="preserve"> ohne Absicht</w:t>
      </w:r>
      <w:r w:rsidRPr="00433BFE">
        <w:rPr>
          <w:color w:val="222222"/>
          <w:sz w:val="16"/>
        </w:rPr>
        <w:t xml:space="preserve">, </w:t>
      </w:r>
      <w:r>
        <w:rPr>
          <w:color w:val="222222"/>
          <w:sz w:val="16"/>
        </w:rPr>
        <w:t>die</w:t>
      </w:r>
      <w:r w:rsidRPr="00433BFE">
        <w:rPr>
          <w:color w:val="222222"/>
          <w:sz w:val="16"/>
        </w:rPr>
        <w:t xml:space="preserve"> Produkte</w:t>
      </w:r>
      <w:r>
        <w:rPr>
          <w:color w:val="222222"/>
          <w:sz w:val="16"/>
        </w:rPr>
        <w:t xml:space="preserve"> zu </w:t>
      </w:r>
      <w:r w:rsidRPr="00433BFE">
        <w:rPr>
          <w:color w:val="222222"/>
          <w:sz w:val="16"/>
        </w:rPr>
        <w:t xml:space="preserve">halten oder </w:t>
      </w:r>
      <w:r>
        <w:rPr>
          <w:color w:val="222222"/>
          <w:sz w:val="16"/>
        </w:rPr>
        <w:t xml:space="preserve">eine Risikoposition darauf </w:t>
      </w:r>
      <w:r w:rsidRPr="00433BFE">
        <w:rPr>
          <w:color w:val="222222"/>
          <w:sz w:val="16"/>
        </w:rPr>
        <w:t>ein</w:t>
      </w:r>
      <w:r>
        <w:rPr>
          <w:color w:val="222222"/>
          <w:sz w:val="16"/>
        </w:rPr>
        <w:t>zu</w:t>
      </w:r>
      <w:r w:rsidRPr="00433BFE">
        <w:rPr>
          <w:color w:val="222222"/>
          <w:sz w:val="16"/>
        </w:rPr>
        <w:t>gehen.</w:t>
      </w:r>
      <w:r>
        <w:rPr>
          <w:color w:val="222222"/>
          <w:sz w:val="16"/>
        </w:rPr>
        <w:t xml:space="preserve"> Das Ziel beim </w:t>
      </w:r>
      <w:r w:rsidRPr="00801977">
        <w:rPr>
          <w:i/>
          <w:iCs/>
          <w:color w:val="222222"/>
          <w:sz w:val="16"/>
        </w:rPr>
        <w:t>Flow Trading</w:t>
      </w:r>
      <w:r>
        <w:rPr>
          <w:color w:val="222222"/>
          <w:sz w:val="16"/>
        </w:rPr>
        <w:t xml:space="preserve"> besteht darin, über Geld-Brief-Spannen risikoarmen Ertrag zu erzielen. Die Positionen können länger als einen Tag im Bestand gehalten werden, aber wesentliche Risikopositionen müssen spätestens zum Ende des Handelstages abgesichert sein.</w:t>
      </w:r>
    </w:p>
    <w:p w14:paraId="708AF60D" w14:textId="242B9DAC" w:rsidR="003F15F5" w:rsidRPr="00433BFE" w:rsidRDefault="003F15F5" w:rsidP="00DB574A">
      <w:pPr>
        <w:shd w:val="clear" w:color="auto" w:fill="FFFFFF"/>
        <w:spacing w:line="240" w:lineRule="auto"/>
        <w:rPr>
          <w:rFonts w:cs="Arial"/>
          <w:color w:val="222222"/>
          <w:sz w:val="16"/>
          <w:szCs w:val="16"/>
          <w:lang w:eastAsia="en-GB"/>
        </w:rPr>
      </w:pPr>
      <w:r w:rsidRPr="00801977">
        <w:rPr>
          <w:b/>
          <w:i/>
          <w:iCs/>
          <w:color w:val="222222"/>
          <w:sz w:val="16"/>
        </w:rPr>
        <w:t>Professional Trading</w:t>
      </w:r>
      <w:r w:rsidRPr="00433BFE">
        <w:rPr>
          <w:color w:val="222222"/>
          <w:sz w:val="16"/>
        </w:rPr>
        <w:t xml:space="preserve"> ist eine Handelsstrategie, bei der </w:t>
      </w:r>
      <w:r w:rsidR="002810B2">
        <w:rPr>
          <w:color w:val="222222"/>
          <w:sz w:val="16"/>
        </w:rPr>
        <w:t xml:space="preserve">eine Händlerin oder </w:t>
      </w:r>
      <w:r w:rsidRPr="00433BFE">
        <w:rPr>
          <w:color w:val="222222"/>
          <w:sz w:val="16"/>
        </w:rPr>
        <w:t xml:space="preserve">ein Händler als </w:t>
      </w:r>
      <w:r w:rsidRPr="00801977">
        <w:rPr>
          <w:i/>
          <w:iCs/>
          <w:color w:val="222222"/>
          <w:sz w:val="16"/>
        </w:rPr>
        <w:t xml:space="preserve">Market Maker </w:t>
      </w:r>
      <w:r>
        <w:rPr>
          <w:color w:val="222222"/>
          <w:sz w:val="16"/>
        </w:rPr>
        <w:t>gegenüber</w:t>
      </w:r>
      <w:r w:rsidRPr="00433BFE">
        <w:rPr>
          <w:color w:val="222222"/>
          <w:sz w:val="16"/>
        </w:rPr>
        <w:t xml:space="preserve"> den </w:t>
      </w:r>
      <w:r w:rsidR="002810B2">
        <w:rPr>
          <w:color w:val="222222"/>
          <w:sz w:val="16"/>
        </w:rPr>
        <w:t xml:space="preserve">Kundinnen bzw. </w:t>
      </w:r>
      <w:r w:rsidRPr="00433BFE">
        <w:rPr>
          <w:color w:val="222222"/>
          <w:sz w:val="16"/>
        </w:rPr>
        <w:t xml:space="preserve">Kunden auftritt (wie beim </w:t>
      </w:r>
      <w:r w:rsidRPr="00801977">
        <w:rPr>
          <w:i/>
          <w:iCs/>
          <w:color w:val="222222"/>
          <w:sz w:val="16"/>
        </w:rPr>
        <w:t>Flow Trading</w:t>
      </w:r>
      <w:r w:rsidRPr="00433BFE">
        <w:rPr>
          <w:color w:val="222222"/>
          <w:sz w:val="16"/>
        </w:rPr>
        <w:t>), ohne die Positionen jeden Tag schliessen zu müssen.</w:t>
      </w:r>
      <w:r>
        <w:rPr>
          <w:color w:val="222222"/>
          <w:sz w:val="16"/>
        </w:rPr>
        <w:t xml:space="preserve"> Beim </w:t>
      </w:r>
      <w:r w:rsidRPr="00801977">
        <w:rPr>
          <w:i/>
          <w:iCs/>
          <w:color w:val="222222"/>
          <w:sz w:val="16"/>
        </w:rPr>
        <w:t>Professional Trading</w:t>
      </w:r>
      <w:r>
        <w:rPr>
          <w:color w:val="222222"/>
          <w:sz w:val="16"/>
        </w:rPr>
        <w:t xml:space="preserve"> werden die Positionen kurzfristig und innerhalb von vorgängig definierten Limiten gehalten. Es werden auch Positionen eingegangen, die sich nicht direkt auf ein Kundengeschäft beziehen.</w:t>
      </w:r>
    </w:p>
    <w:p w14:paraId="1E0E4F34" w14:textId="6B5C87BB" w:rsidR="003F15F5" w:rsidRPr="00433BFE" w:rsidRDefault="003F15F5" w:rsidP="00C937C4">
      <w:pPr>
        <w:shd w:val="clear" w:color="auto" w:fill="FFFFFF"/>
        <w:spacing w:line="240" w:lineRule="auto"/>
        <w:rPr>
          <w:rFonts w:cs="Arial"/>
          <w:color w:val="222222"/>
          <w:sz w:val="16"/>
          <w:szCs w:val="16"/>
          <w:lang w:eastAsia="en-GB"/>
        </w:rPr>
      </w:pPr>
      <w:r w:rsidRPr="00433BFE">
        <w:rPr>
          <w:b/>
          <w:color w:val="222222"/>
          <w:sz w:val="16"/>
        </w:rPr>
        <w:t>Eigenhandel</w:t>
      </w:r>
      <w:r w:rsidRPr="00433BFE">
        <w:rPr>
          <w:color w:val="222222"/>
          <w:sz w:val="16"/>
        </w:rPr>
        <w:t xml:space="preserve"> </w:t>
      </w:r>
      <w:r>
        <w:rPr>
          <w:color w:val="222222"/>
          <w:sz w:val="16"/>
        </w:rPr>
        <w:t>(</w:t>
      </w:r>
      <w:proofErr w:type="spellStart"/>
      <w:r w:rsidR="00A43648" w:rsidRPr="00801977">
        <w:rPr>
          <w:i/>
          <w:iCs/>
          <w:color w:val="222222"/>
          <w:sz w:val="16"/>
        </w:rPr>
        <w:t>P</w:t>
      </w:r>
      <w:r w:rsidRPr="00801977">
        <w:rPr>
          <w:i/>
          <w:iCs/>
          <w:color w:val="222222"/>
          <w:sz w:val="16"/>
        </w:rPr>
        <w:t>roprietary</w:t>
      </w:r>
      <w:proofErr w:type="spellEnd"/>
      <w:r w:rsidRPr="00801977">
        <w:rPr>
          <w:i/>
          <w:iCs/>
          <w:color w:val="222222"/>
          <w:sz w:val="16"/>
        </w:rPr>
        <w:t xml:space="preserve"> </w:t>
      </w:r>
      <w:r w:rsidR="00A43648">
        <w:rPr>
          <w:i/>
          <w:iCs/>
          <w:color w:val="222222"/>
          <w:sz w:val="16"/>
        </w:rPr>
        <w:t>T</w:t>
      </w:r>
      <w:r w:rsidRPr="00801977">
        <w:rPr>
          <w:i/>
          <w:iCs/>
          <w:color w:val="222222"/>
          <w:sz w:val="16"/>
        </w:rPr>
        <w:t>rading</w:t>
      </w:r>
      <w:r>
        <w:rPr>
          <w:color w:val="222222"/>
          <w:sz w:val="16"/>
        </w:rPr>
        <w:t xml:space="preserve">) </w:t>
      </w:r>
      <w:r w:rsidRPr="00433BFE">
        <w:rPr>
          <w:color w:val="222222"/>
          <w:sz w:val="16"/>
        </w:rPr>
        <w:t xml:space="preserve">ist </w:t>
      </w:r>
      <w:r>
        <w:rPr>
          <w:color w:val="222222"/>
          <w:sz w:val="16"/>
        </w:rPr>
        <w:t xml:space="preserve">die Bezeichnung für </w:t>
      </w:r>
      <w:r w:rsidRPr="00433BFE">
        <w:rPr>
          <w:color w:val="222222"/>
          <w:sz w:val="16"/>
        </w:rPr>
        <w:t>eine Handelsabteilung, die von allen anderen Handelsaktivitäten getrennt ist.</w:t>
      </w:r>
      <w:r>
        <w:rPr>
          <w:color w:val="222222"/>
          <w:sz w:val="16"/>
        </w:rPr>
        <w:t xml:space="preserve"> Sie wickelt keine Kundengeschäfte ab und erwirtschaftet Erträge ausschliesslich durch das Eingehen von Positionen. Beim Eigenhandel gibt es keinen Kundenkontakt und keinen Handel am Broker-Markt.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843"/>
      <w:gridCol w:w="9160"/>
    </w:tblGrid>
    <w:tr w:rsidR="003F15F5" w:rsidRPr="00315A8C" w14:paraId="3AA1A285" w14:textId="77777777" w:rsidTr="009A031D">
      <w:trPr>
        <w:trHeight w:val="567"/>
      </w:trPr>
      <w:tc>
        <w:tcPr>
          <w:tcW w:w="484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9853954" w14:textId="77777777" w:rsidR="003F15F5" w:rsidRDefault="003F15F5" w:rsidP="00AE0305">
          <w:pPr>
            <w:rPr>
              <w:b/>
              <w:sz w:val="16"/>
            </w:rPr>
          </w:pPr>
          <w:r>
            <w:rPr>
              <w:b/>
              <w:sz w:val="16"/>
              <w:highlight w:val="yellow"/>
            </w:rPr>
            <w:t>[Institut XY]</w:t>
          </w:r>
        </w:p>
        <w:p w14:paraId="06F54C9F" w14:textId="77777777" w:rsidR="003F15F5" w:rsidRPr="00D420F8" w:rsidRDefault="003F15F5" w:rsidP="009A031D">
          <w:r>
            <w:rPr>
              <w:sz w:val="16"/>
            </w:rPr>
            <w:t xml:space="preserve">Prüfperiode </w:t>
          </w:r>
          <w:r>
            <w:rPr>
              <w:sz w:val="16"/>
              <w:highlight w:val="yellow"/>
            </w:rPr>
            <w:t>20XX</w:t>
          </w:r>
        </w:p>
      </w:tc>
      <w:tc>
        <w:tcPr>
          <w:tcW w:w="9160" w:type="dxa"/>
          <w:tcBorders>
            <w:top w:val="nil"/>
            <w:left w:val="nil"/>
            <w:bottom w:val="nil"/>
            <w:right w:val="nil"/>
          </w:tcBorders>
        </w:tcPr>
        <w:p w14:paraId="0B89220B" w14:textId="77777777" w:rsidR="003F15F5" w:rsidRPr="009A031D" w:rsidRDefault="003F15F5" w:rsidP="009A031D">
          <w:pPr>
            <w:tabs>
              <w:tab w:val="right" w:pos="9360"/>
            </w:tabs>
            <w:ind w:right="40"/>
            <w:rPr>
              <w:sz w:val="16"/>
              <w:szCs w:val="16"/>
            </w:rPr>
          </w:pPr>
          <w:r w:rsidRPr="009A031D">
            <w:rPr>
              <w:noProof/>
              <w:sz w:val="16"/>
              <w:szCs w:val="16"/>
              <w:lang w:bidi="ar-SA"/>
            </w:rPr>
            <w:drawing>
              <wp:anchor distT="0" distB="0" distL="114300" distR="114300" simplePos="0" relativeHeight="251658241" behindDoc="0" locked="0" layoutInCell="1" allowOverlap="1" wp14:anchorId="2A4FB74B" wp14:editId="4F3783EC">
                <wp:simplePos x="0" y="0"/>
                <wp:positionH relativeFrom="column">
                  <wp:posOffset>3967480</wp:posOffset>
                </wp:positionH>
                <wp:positionV relativeFrom="paragraph">
                  <wp:posOffset>-4445</wp:posOffset>
                </wp:positionV>
                <wp:extent cx="1778000" cy="716280"/>
                <wp:effectExtent l="0" t="0" r="0" b="3810"/>
                <wp:wrapNone/>
                <wp:docPr id="16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6" descr="Logo_FIN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80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A031D">
            <w:rPr>
              <w:sz w:val="16"/>
              <w:szCs w:val="16"/>
            </w:rPr>
            <w:t xml:space="preserve">Referenz: </w:t>
          </w:r>
          <w:r w:rsidRPr="009A031D">
            <w:rPr>
              <w:sz w:val="16"/>
              <w:szCs w:val="16"/>
              <w:highlight w:val="yellow"/>
            </w:rPr>
            <w:t>[Referenz hinzufügen]</w:t>
          </w:r>
        </w:p>
        <w:p w14:paraId="26EBAEE7" w14:textId="77777777" w:rsidR="003F15F5" w:rsidRPr="009A031D" w:rsidRDefault="003F15F5" w:rsidP="009A031D">
          <w:pPr>
            <w:rPr>
              <w:b/>
              <w:sz w:val="16"/>
              <w:szCs w:val="16"/>
            </w:rPr>
          </w:pPr>
          <w:r w:rsidRPr="009A031D">
            <w:rPr>
              <w:b/>
              <w:sz w:val="16"/>
              <w:szCs w:val="16"/>
            </w:rPr>
            <w:t>Einhaltung der Verhaltensregeln zur Marktintegrität</w:t>
          </w:r>
        </w:p>
      </w:tc>
    </w:tr>
  </w:tbl>
  <w:p w14:paraId="65E4908C" w14:textId="77777777" w:rsidR="003F15F5" w:rsidRPr="00110559" w:rsidRDefault="003F15F5" w:rsidP="009A031D">
    <w:pPr>
      <w:tabs>
        <w:tab w:val="left" w:pos="6345"/>
      </w:tabs>
      <w:spacing w:after="120" w:line="240" w:lineRule="auto"/>
      <w:ind w:right="11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7005"/>
      <w:gridCol w:w="6998"/>
    </w:tblGrid>
    <w:tr w:rsidR="003F15F5" w:rsidRPr="00315A8C" w14:paraId="00D1E301" w14:textId="77777777" w:rsidTr="00AE5E7B">
      <w:trPr>
        <w:trHeight w:val="1789"/>
      </w:trPr>
      <w:tc>
        <w:tcPr>
          <w:tcW w:w="7110" w:type="dxa"/>
        </w:tcPr>
        <w:p w14:paraId="419A2C0C" w14:textId="77777777" w:rsidR="003F15F5" w:rsidRPr="007D72CA" w:rsidRDefault="003F15F5" w:rsidP="007D72CA">
          <w:pPr>
            <w:rPr>
              <w:rFonts w:cs="Arial"/>
              <w:sz w:val="16"/>
              <w:szCs w:val="16"/>
            </w:rPr>
          </w:pPr>
          <w:r>
            <w:rPr>
              <w:b/>
              <w:sz w:val="32"/>
              <w:szCs w:val="32"/>
            </w:rPr>
            <w:br/>
          </w:r>
          <w:r>
            <w:rPr>
              <w:b/>
              <w:sz w:val="16"/>
              <w:highlight w:val="yellow"/>
            </w:rPr>
            <w:t>[Institut XY]</w:t>
          </w:r>
          <w:r>
            <w:rPr>
              <w:b/>
              <w:sz w:val="32"/>
              <w:szCs w:val="32"/>
            </w:rPr>
            <w:br/>
          </w:r>
          <w:r>
            <w:rPr>
              <w:sz w:val="16"/>
            </w:rPr>
            <w:t xml:space="preserve">Prüfperiode </w:t>
          </w:r>
          <w:r>
            <w:rPr>
              <w:sz w:val="16"/>
              <w:highlight w:val="yellow"/>
            </w:rPr>
            <w:t>20XX</w:t>
          </w:r>
          <w:r>
            <w:rPr>
              <w:b/>
              <w:sz w:val="32"/>
            </w:rPr>
            <w:t xml:space="preserve"> </w:t>
          </w:r>
        </w:p>
        <w:p w14:paraId="52989217" w14:textId="77777777" w:rsidR="003F15F5" w:rsidRDefault="003F15F5" w:rsidP="007D72CA">
          <w:pPr>
            <w:pStyle w:val="En-tte"/>
            <w:tabs>
              <w:tab w:val="clear" w:pos="9072"/>
              <w:tab w:val="right" w:pos="14317"/>
            </w:tabs>
            <w:rPr>
              <w:rFonts w:cs="Arial"/>
              <w:sz w:val="16"/>
              <w:szCs w:val="16"/>
            </w:rPr>
          </w:pPr>
          <w:r>
            <w:rPr>
              <w:sz w:val="16"/>
            </w:rPr>
            <w:t xml:space="preserve">Referenz: </w:t>
          </w:r>
          <w:r>
            <w:rPr>
              <w:sz w:val="16"/>
              <w:highlight w:val="yellow"/>
            </w:rPr>
            <w:t>[Referenz hinzufügen]</w:t>
          </w:r>
        </w:p>
        <w:p w14:paraId="42294C01" w14:textId="77777777" w:rsidR="003F15F5" w:rsidRPr="007D72CA" w:rsidRDefault="003F15F5" w:rsidP="000444E8">
          <w:pPr>
            <w:pStyle w:val="En-tte"/>
            <w:tabs>
              <w:tab w:val="clear" w:pos="9072"/>
              <w:tab w:val="right" w:pos="14317"/>
            </w:tabs>
            <w:rPr>
              <w:rFonts w:cs="Arial"/>
              <w:sz w:val="14"/>
              <w:szCs w:val="16"/>
            </w:rPr>
          </w:pPr>
        </w:p>
      </w:tc>
      <w:tc>
        <w:tcPr>
          <w:tcW w:w="7109" w:type="dxa"/>
        </w:tcPr>
        <w:p w14:paraId="45559F6D" w14:textId="77777777" w:rsidR="003F15F5" w:rsidRPr="007D72CA" w:rsidRDefault="003F15F5" w:rsidP="00455E44">
          <w:r>
            <w:rPr>
              <w:noProof/>
              <w:lang w:bidi="ar-SA"/>
            </w:rPr>
            <w:drawing>
              <wp:anchor distT="0" distB="0" distL="114300" distR="114300" simplePos="0" relativeHeight="251658240" behindDoc="0" locked="0" layoutInCell="1" allowOverlap="1" wp14:anchorId="1FCCE01C" wp14:editId="11BE50D1">
                <wp:simplePos x="0" y="0"/>
                <wp:positionH relativeFrom="column">
                  <wp:posOffset>2726690</wp:posOffset>
                </wp:positionH>
                <wp:positionV relativeFrom="paragraph">
                  <wp:posOffset>250190</wp:posOffset>
                </wp:positionV>
                <wp:extent cx="1799590" cy="791845"/>
                <wp:effectExtent l="0" t="0" r="0" b="8255"/>
                <wp:wrapNone/>
                <wp:docPr id="17" name="Grafik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N_des_farbe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590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EFE5F01" w14:textId="77777777" w:rsidR="003F15F5" w:rsidRPr="007D72CA" w:rsidRDefault="003F15F5" w:rsidP="00110559">
    <w:pPr>
      <w:pStyle w:val="En-tte"/>
      <w:spacing w:after="12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0827"/>
    <w:multiLevelType w:val="multilevel"/>
    <w:tmpl w:val="9DDA428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99E2F74"/>
    <w:multiLevelType w:val="hybridMultilevel"/>
    <w:tmpl w:val="7882B036"/>
    <w:lvl w:ilvl="0" w:tplc="AB0EDA6C">
      <w:start w:val="1"/>
      <w:numFmt w:val="bullet"/>
      <w:pStyle w:val="FINMAAufzhlungEbene2"/>
      <w:lvlText w:val=""/>
      <w:lvlJc w:val="left"/>
      <w:pPr>
        <w:ind w:left="1128" w:hanging="360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18680276"/>
    <w:multiLevelType w:val="multilevel"/>
    <w:tmpl w:val="545A961C"/>
    <w:styleLink w:val="ListePP"/>
    <w:lvl w:ilvl="0">
      <w:start w:val="1"/>
      <w:numFmt w:val="upperLetter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357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3" w15:restartNumberingAfterBreak="0">
    <w:nsid w:val="203E20BD"/>
    <w:multiLevelType w:val="multilevel"/>
    <w:tmpl w:val="545A961C"/>
    <w:lvl w:ilvl="0">
      <w:start w:val="1"/>
      <w:numFmt w:val="upperLetter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357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4" w15:restartNumberingAfterBreak="0">
    <w:nsid w:val="21091258"/>
    <w:multiLevelType w:val="multilevel"/>
    <w:tmpl w:val="C9787858"/>
    <w:lvl w:ilvl="0">
      <w:start w:val="1"/>
      <w:numFmt w:val="decimal"/>
      <w:pStyle w:val="FINMAGliederungEben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FINMAGliederungEben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FINMAGliederungEben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FINMAGliederungEben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95F682E"/>
    <w:multiLevelType w:val="hybridMultilevel"/>
    <w:tmpl w:val="DA3CB0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D5BA5"/>
    <w:multiLevelType w:val="hybridMultilevel"/>
    <w:tmpl w:val="6A92CC2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FC5E30"/>
    <w:multiLevelType w:val="hybridMultilevel"/>
    <w:tmpl w:val="23DE582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38006E"/>
    <w:multiLevelType w:val="hybridMultilevel"/>
    <w:tmpl w:val="2AB60F6C"/>
    <w:lvl w:ilvl="0" w:tplc="BC6E659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07D97"/>
    <w:multiLevelType w:val="hybridMultilevel"/>
    <w:tmpl w:val="D7462C4A"/>
    <w:lvl w:ilvl="0" w:tplc="5F5EEE46">
      <w:start w:val="1"/>
      <w:numFmt w:val="bullet"/>
      <w:pStyle w:val="FINMAAufzhlungEbene4"/>
      <w:lvlText w:val=""/>
      <w:lvlJc w:val="left"/>
      <w:pPr>
        <w:ind w:left="1769" w:hanging="360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10" w15:restartNumberingAfterBreak="0">
    <w:nsid w:val="515E4567"/>
    <w:multiLevelType w:val="multilevel"/>
    <w:tmpl w:val="C4E285B0"/>
    <w:lvl w:ilvl="0">
      <w:start w:val="1"/>
      <w:numFmt w:val="bullet"/>
      <w:pStyle w:val="FINMAAufzhlungEbene1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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■"/>
      <w:lvlJc w:val="left"/>
      <w:pPr>
        <w:tabs>
          <w:tab w:val="num" w:pos="1486"/>
        </w:tabs>
        <w:ind w:left="1486" w:hanging="360"/>
      </w:pPr>
      <w:rPr>
        <w:rFonts w:ascii="Times New Roman" w:hAnsi="Times New Roman" w:cs="Times New Roman" w:hint="default"/>
        <w:sz w:val="18"/>
        <w:szCs w:val="18"/>
      </w:rPr>
    </w:lvl>
    <w:lvl w:ilvl="3">
      <w:start w:val="1"/>
      <w:numFmt w:val="bullet"/>
      <w:lvlText w:val="-"/>
      <w:lvlJc w:val="left"/>
      <w:pPr>
        <w:tabs>
          <w:tab w:val="num" w:pos="1846"/>
        </w:tabs>
        <w:ind w:left="1846" w:hanging="360"/>
      </w:pPr>
      <w:rPr>
        <w:rFonts w:ascii="Verdana" w:hAnsi="Verdana" w:hint="default"/>
      </w:rPr>
    </w:lvl>
    <w:lvl w:ilvl="4">
      <w:start w:val="1"/>
      <w:numFmt w:val="lowerLetter"/>
      <w:lvlText w:val="(%5)"/>
      <w:lvlJc w:val="left"/>
      <w:pPr>
        <w:tabs>
          <w:tab w:val="num" w:pos="2206"/>
        </w:tabs>
        <w:ind w:left="220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66"/>
        </w:tabs>
        <w:ind w:left="256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26"/>
        </w:tabs>
        <w:ind w:left="29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86"/>
        </w:tabs>
        <w:ind w:left="328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46"/>
        </w:tabs>
        <w:ind w:left="3646" w:hanging="360"/>
      </w:pPr>
      <w:rPr>
        <w:rFonts w:hint="default"/>
      </w:rPr>
    </w:lvl>
  </w:abstractNum>
  <w:abstractNum w:abstractNumId="11" w15:restartNumberingAfterBreak="0">
    <w:nsid w:val="5397003D"/>
    <w:multiLevelType w:val="hybridMultilevel"/>
    <w:tmpl w:val="69AEC8DE"/>
    <w:lvl w:ilvl="0" w:tplc="F3581A76">
      <w:start w:val="1"/>
      <w:numFmt w:val="decimal"/>
      <w:pStyle w:val="FINMAGliederungEbene5"/>
      <w:lvlText w:val="%1.1.1.1.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444" w:hanging="360"/>
      </w:pPr>
    </w:lvl>
    <w:lvl w:ilvl="2" w:tplc="0807001B" w:tentative="1">
      <w:start w:val="1"/>
      <w:numFmt w:val="lowerRoman"/>
      <w:lvlText w:val="%3."/>
      <w:lvlJc w:val="right"/>
      <w:pPr>
        <w:ind w:left="3164" w:hanging="180"/>
      </w:pPr>
    </w:lvl>
    <w:lvl w:ilvl="3" w:tplc="0807000F" w:tentative="1">
      <w:start w:val="1"/>
      <w:numFmt w:val="decimal"/>
      <w:lvlText w:val="%4."/>
      <w:lvlJc w:val="left"/>
      <w:pPr>
        <w:ind w:left="3884" w:hanging="360"/>
      </w:pPr>
    </w:lvl>
    <w:lvl w:ilvl="4" w:tplc="08070019" w:tentative="1">
      <w:start w:val="1"/>
      <w:numFmt w:val="lowerLetter"/>
      <w:lvlText w:val="%5."/>
      <w:lvlJc w:val="left"/>
      <w:pPr>
        <w:ind w:left="4604" w:hanging="360"/>
      </w:pPr>
    </w:lvl>
    <w:lvl w:ilvl="5" w:tplc="0807001B" w:tentative="1">
      <w:start w:val="1"/>
      <w:numFmt w:val="lowerRoman"/>
      <w:lvlText w:val="%6."/>
      <w:lvlJc w:val="right"/>
      <w:pPr>
        <w:ind w:left="5324" w:hanging="180"/>
      </w:pPr>
    </w:lvl>
    <w:lvl w:ilvl="6" w:tplc="0807000F" w:tentative="1">
      <w:start w:val="1"/>
      <w:numFmt w:val="decimal"/>
      <w:lvlText w:val="%7."/>
      <w:lvlJc w:val="left"/>
      <w:pPr>
        <w:ind w:left="6044" w:hanging="360"/>
      </w:pPr>
    </w:lvl>
    <w:lvl w:ilvl="7" w:tplc="08070019" w:tentative="1">
      <w:start w:val="1"/>
      <w:numFmt w:val="lowerLetter"/>
      <w:lvlText w:val="%8."/>
      <w:lvlJc w:val="left"/>
      <w:pPr>
        <w:ind w:left="6764" w:hanging="360"/>
      </w:pPr>
    </w:lvl>
    <w:lvl w:ilvl="8" w:tplc="0807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 w15:restartNumberingAfterBreak="0">
    <w:nsid w:val="59C931DC"/>
    <w:multiLevelType w:val="hybridMultilevel"/>
    <w:tmpl w:val="FDDEEA6C"/>
    <w:lvl w:ilvl="0" w:tplc="DB5CDA7E">
      <w:start w:val="1"/>
      <w:numFmt w:val="bullet"/>
      <w:pStyle w:val="FINMAAufzhlungEbene3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C65345"/>
    <w:multiLevelType w:val="hybridMultilevel"/>
    <w:tmpl w:val="2416A704"/>
    <w:lvl w:ilvl="0" w:tplc="08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C3FCB"/>
    <w:multiLevelType w:val="hybridMultilevel"/>
    <w:tmpl w:val="6C661F1A"/>
    <w:lvl w:ilvl="0" w:tplc="8ABE2DFE">
      <w:numFmt w:val="bullet"/>
      <w:pStyle w:val="Bullet"/>
      <w:lvlText w:val="-"/>
      <w:lvlJc w:val="left"/>
      <w:pPr>
        <w:ind w:left="720" w:hanging="360"/>
      </w:pPr>
      <w:rPr>
        <w:rFonts w:ascii="EYInterstate Light" w:eastAsiaTheme="minorHAnsi" w:hAnsi="EYInterstate 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670771">
    <w:abstractNumId w:val="10"/>
  </w:num>
  <w:num w:numId="2" w16cid:durableId="1123763828">
    <w:abstractNumId w:val="1"/>
  </w:num>
  <w:num w:numId="3" w16cid:durableId="1905721374">
    <w:abstractNumId w:val="12"/>
  </w:num>
  <w:num w:numId="4" w16cid:durableId="1135172991">
    <w:abstractNumId w:val="9"/>
  </w:num>
  <w:num w:numId="5" w16cid:durableId="1358576610">
    <w:abstractNumId w:val="4"/>
  </w:num>
  <w:num w:numId="6" w16cid:durableId="632520351">
    <w:abstractNumId w:val="0"/>
  </w:num>
  <w:num w:numId="7" w16cid:durableId="1203902284">
    <w:abstractNumId w:val="11"/>
  </w:num>
  <w:num w:numId="8" w16cid:durableId="393819003">
    <w:abstractNumId w:val="13"/>
  </w:num>
  <w:num w:numId="9" w16cid:durableId="1474638515">
    <w:abstractNumId w:val="7"/>
  </w:num>
  <w:num w:numId="10" w16cid:durableId="1671071">
    <w:abstractNumId w:val="14"/>
  </w:num>
  <w:num w:numId="11" w16cid:durableId="1493371976">
    <w:abstractNumId w:val="14"/>
  </w:num>
  <w:num w:numId="12" w16cid:durableId="809597383">
    <w:abstractNumId w:val="2"/>
  </w:num>
  <w:num w:numId="13" w16cid:durableId="1113205367">
    <w:abstractNumId w:val="3"/>
    <w:lvlOverride w:ilvl="0">
      <w:lvl w:ilvl="0">
        <w:start w:val="1"/>
        <w:numFmt w:val="upperLetter"/>
        <w:lvlText w:val="%1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1.%2"/>
        <w:lvlJc w:val="left"/>
        <w:pPr>
          <w:ind w:left="357" w:hanging="357"/>
        </w:pPr>
        <w:rPr>
          <w:rFonts w:ascii="EYInterstate" w:hAnsi="EYInterstate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357" w:hanging="35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14" w16cid:durableId="453909877">
    <w:abstractNumId w:val="5"/>
  </w:num>
  <w:num w:numId="15" w16cid:durableId="1248659920">
    <w:abstractNumId w:val="8"/>
  </w:num>
  <w:num w:numId="16" w16cid:durableId="2143645435">
    <w:abstractNumId w:val="13"/>
  </w:num>
  <w:num w:numId="17" w16cid:durableId="6036705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activeWritingStyle w:appName="MSWord" w:lang="it-IT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it-CH" w:vendorID="64" w:dllVersion="6" w:nlCheck="1" w:checkStyle="0"/>
  <w:activeWritingStyle w:appName="MSWord" w:lang="fr-FR" w:vendorID="64" w:dllVersion="6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stylePaneSortMethod w:val="0000"/>
  <w:defaultTabStop w:val="709"/>
  <w:autoHyphenation/>
  <w:hyphenationZone w:val="425"/>
  <w:doNotHyphenateCaps/>
  <w:drawingGridHorizontalSpacing w:val="11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xml_1" w:val="&lt;?xml version=&quot;1.0&quot; encoding=&quot;utf-8&quot;?&gt;&lt;docugate ResetInterfaceCacheAfterDocCreation=&quot;false&quot; FreeDocumentSelection=&quot;true&quot; xmlns=&quot;http://www.docugate.com/2014/dgxml&quot;&gt;&lt;template doclanguage=&quot;Deutsch&quot; id=&quot;&quot; workflowdocumentid=&quot;80e07dd4-b727-4957-9728-c381848b4f92&quot;&gt;&lt;docproperties&gt;&lt;saveaslocation&gt;https://org.finma.ch/sites/8010-T/Dossiers/Suitability/Neue Prüfprogramme Suitability&lt;/saveaslocation&gt;&lt;dossier_id&gt;8010-T-2-9515&lt;/dossier_id&gt;&lt;dossier_titel&gt;Suitability&lt;/dossier_titel&gt;&lt;dossier_aktenzeichen&gt;8010-T-2-9515 - 00 Allgemeines&lt;/dossier_aktenzeichen&gt;&lt;dossier_osp_nr&gt;00&lt;/dossier_osp_nr&gt;&lt;dossier_kategorie&gt;&lt;/dossier_kategorie&gt;&lt;geschaeft_id&gt;&lt;/geschaeft_id&gt;&lt;geschaeft_federfuehrende_oe&gt;M-GWS&lt;/geschaeft_federfuehrende_oe&gt;&lt;geschaeft_datum_eroeffnen&gt;&lt;/geschaeft_datum_eroeffnen&gt;&lt;aktionsname /&gt;&lt;aktionswert /&gt;&lt;addresses /&gt;&lt;/docproperties&gt;&lt;/template&gt;&lt;/docugate&gt;"/>
  </w:docVars>
  <w:rsids>
    <w:rsidRoot w:val="00DF574D"/>
    <w:rsid w:val="00001DEA"/>
    <w:rsid w:val="00002158"/>
    <w:rsid w:val="00003BF5"/>
    <w:rsid w:val="000042EB"/>
    <w:rsid w:val="0001718E"/>
    <w:rsid w:val="00017F57"/>
    <w:rsid w:val="000239AE"/>
    <w:rsid w:val="00024D4C"/>
    <w:rsid w:val="000252E1"/>
    <w:rsid w:val="000259BF"/>
    <w:rsid w:val="000339C7"/>
    <w:rsid w:val="0003730B"/>
    <w:rsid w:val="00044074"/>
    <w:rsid w:val="000444E8"/>
    <w:rsid w:val="00045A42"/>
    <w:rsid w:val="00054651"/>
    <w:rsid w:val="000550D5"/>
    <w:rsid w:val="000572FE"/>
    <w:rsid w:val="000632D8"/>
    <w:rsid w:val="000642FF"/>
    <w:rsid w:val="000678BA"/>
    <w:rsid w:val="00070974"/>
    <w:rsid w:val="00070A8C"/>
    <w:rsid w:val="00073282"/>
    <w:rsid w:val="00075CE8"/>
    <w:rsid w:val="0007658F"/>
    <w:rsid w:val="00077666"/>
    <w:rsid w:val="00080D01"/>
    <w:rsid w:val="000822DF"/>
    <w:rsid w:val="000837C2"/>
    <w:rsid w:val="00086917"/>
    <w:rsid w:val="00087AE3"/>
    <w:rsid w:val="000904A3"/>
    <w:rsid w:val="00094E88"/>
    <w:rsid w:val="00096365"/>
    <w:rsid w:val="000A2823"/>
    <w:rsid w:val="000A436A"/>
    <w:rsid w:val="000A4F31"/>
    <w:rsid w:val="000A6BF3"/>
    <w:rsid w:val="000A74AE"/>
    <w:rsid w:val="000B4554"/>
    <w:rsid w:val="000B5284"/>
    <w:rsid w:val="000C2C38"/>
    <w:rsid w:val="000C2E06"/>
    <w:rsid w:val="000C66F6"/>
    <w:rsid w:val="000D10F4"/>
    <w:rsid w:val="000D27E7"/>
    <w:rsid w:val="000D337E"/>
    <w:rsid w:val="000D6C33"/>
    <w:rsid w:val="000D6C35"/>
    <w:rsid w:val="000E40E6"/>
    <w:rsid w:val="000E612D"/>
    <w:rsid w:val="000F5774"/>
    <w:rsid w:val="00105FE5"/>
    <w:rsid w:val="00110559"/>
    <w:rsid w:val="00115168"/>
    <w:rsid w:val="00122506"/>
    <w:rsid w:val="0012436F"/>
    <w:rsid w:val="00126DA7"/>
    <w:rsid w:val="00133196"/>
    <w:rsid w:val="0013549E"/>
    <w:rsid w:val="001371AE"/>
    <w:rsid w:val="00141635"/>
    <w:rsid w:val="0014461A"/>
    <w:rsid w:val="00145E66"/>
    <w:rsid w:val="001479FA"/>
    <w:rsid w:val="00150782"/>
    <w:rsid w:val="00150E8B"/>
    <w:rsid w:val="0015410B"/>
    <w:rsid w:val="00161AE7"/>
    <w:rsid w:val="00161FB0"/>
    <w:rsid w:val="00163EAA"/>
    <w:rsid w:val="00164BF6"/>
    <w:rsid w:val="001656C2"/>
    <w:rsid w:val="0017124A"/>
    <w:rsid w:val="00171627"/>
    <w:rsid w:val="001749D6"/>
    <w:rsid w:val="00174AB7"/>
    <w:rsid w:val="00174B89"/>
    <w:rsid w:val="0018594D"/>
    <w:rsid w:val="0018719C"/>
    <w:rsid w:val="0019010A"/>
    <w:rsid w:val="001903CF"/>
    <w:rsid w:val="00190D92"/>
    <w:rsid w:val="001A0D35"/>
    <w:rsid w:val="001A6F40"/>
    <w:rsid w:val="001A758E"/>
    <w:rsid w:val="001B0BA4"/>
    <w:rsid w:val="001B4054"/>
    <w:rsid w:val="001B76E5"/>
    <w:rsid w:val="001C0489"/>
    <w:rsid w:val="001C1FC1"/>
    <w:rsid w:val="001C25B1"/>
    <w:rsid w:val="001C2ADC"/>
    <w:rsid w:val="001C303F"/>
    <w:rsid w:val="001C453C"/>
    <w:rsid w:val="001C5E3A"/>
    <w:rsid w:val="001C6A8C"/>
    <w:rsid w:val="001C7EE3"/>
    <w:rsid w:val="001D7720"/>
    <w:rsid w:val="001E05DE"/>
    <w:rsid w:val="001E78B6"/>
    <w:rsid w:val="001F0E1C"/>
    <w:rsid w:val="001F2706"/>
    <w:rsid w:val="001F5F4A"/>
    <w:rsid w:val="001F5FD4"/>
    <w:rsid w:val="001F6403"/>
    <w:rsid w:val="001F7678"/>
    <w:rsid w:val="002040C6"/>
    <w:rsid w:val="00204B23"/>
    <w:rsid w:val="00207046"/>
    <w:rsid w:val="0021274A"/>
    <w:rsid w:val="00213917"/>
    <w:rsid w:val="00214DC8"/>
    <w:rsid w:val="00217AA6"/>
    <w:rsid w:val="002206BB"/>
    <w:rsid w:val="00221F14"/>
    <w:rsid w:val="002227DB"/>
    <w:rsid w:val="00226037"/>
    <w:rsid w:val="00227FBC"/>
    <w:rsid w:val="002360BD"/>
    <w:rsid w:val="002436E4"/>
    <w:rsid w:val="00245584"/>
    <w:rsid w:val="00245CAC"/>
    <w:rsid w:val="00246058"/>
    <w:rsid w:val="00246290"/>
    <w:rsid w:val="002476AC"/>
    <w:rsid w:val="002515A0"/>
    <w:rsid w:val="002524E3"/>
    <w:rsid w:val="00256539"/>
    <w:rsid w:val="00256FE8"/>
    <w:rsid w:val="00264805"/>
    <w:rsid w:val="00265230"/>
    <w:rsid w:val="00273B66"/>
    <w:rsid w:val="00273EE9"/>
    <w:rsid w:val="002762D3"/>
    <w:rsid w:val="002810B2"/>
    <w:rsid w:val="00281B01"/>
    <w:rsid w:val="00282AA1"/>
    <w:rsid w:val="00283AA5"/>
    <w:rsid w:val="00284BA0"/>
    <w:rsid w:val="00284C59"/>
    <w:rsid w:val="002851F7"/>
    <w:rsid w:val="00286E08"/>
    <w:rsid w:val="002904A2"/>
    <w:rsid w:val="00290B77"/>
    <w:rsid w:val="00294A59"/>
    <w:rsid w:val="00296183"/>
    <w:rsid w:val="002A04DA"/>
    <w:rsid w:val="002A0835"/>
    <w:rsid w:val="002A48CF"/>
    <w:rsid w:val="002B0C66"/>
    <w:rsid w:val="002B137C"/>
    <w:rsid w:val="002B1CB8"/>
    <w:rsid w:val="002B20EB"/>
    <w:rsid w:val="002B246F"/>
    <w:rsid w:val="002B490E"/>
    <w:rsid w:val="002B4D96"/>
    <w:rsid w:val="002B60FE"/>
    <w:rsid w:val="002B6F3C"/>
    <w:rsid w:val="002B7513"/>
    <w:rsid w:val="002C2BEB"/>
    <w:rsid w:val="002C5C51"/>
    <w:rsid w:val="002D1220"/>
    <w:rsid w:val="002D2618"/>
    <w:rsid w:val="002D4163"/>
    <w:rsid w:val="002D5975"/>
    <w:rsid w:val="002E20C7"/>
    <w:rsid w:val="002E2B5D"/>
    <w:rsid w:val="002E4096"/>
    <w:rsid w:val="002E4B22"/>
    <w:rsid w:val="002E6021"/>
    <w:rsid w:val="002E6B63"/>
    <w:rsid w:val="002E6DD7"/>
    <w:rsid w:val="002F1A39"/>
    <w:rsid w:val="002F2B2C"/>
    <w:rsid w:val="002F4D83"/>
    <w:rsid w:val="002F705A"/>
    <w:rsid w:val="002F7187"/>
    <w:rsid w:val="003051D1"/>
    <w:rsid w:val="0031116A"/>
    <w:rsid w:val="0031459F"/>
    <w:rsid w:val="00315A8C"/>
    <w:rsid w:val="00316E19"/>
    <w:rsid w:val="003257EF"/>
    <w:rsid w:val="003304C8"/>
    <w:rsid w:val="00330C32"/>
    <w:rsid w:val="0033442E"/>
    <w:rsid w:val="00336E1C"/>
    <w:rsid w:val="00337E91"/>
    <w:rsid w:val="00345202"/>
    <w:rsid w:val="00346326"/>
    <w:rsid w:val="00346735"/>
    <w:rsid w:val="003508CB"/>
    <w:rsid w:val="00353F0F"/>
    <w:rsid w:val="003547FE"/>
    <w:rsid w:val="00355146"/>
    <w:rsid w:val="0037152B"/>
    <w:rsid w:val="00374FAF"/>
    <w:rsid w:val="00375D54"/>
    <w:rsid w:val="00377CE8"/>
    <w:rsid w:val="0038141D"/>
    <w:rsid w:val="003849F7"/>
    <w:rsid w:val="003915C5"/>
    <w:rsid w:val="0039235E"/>
    <w:rsid w:val="00392743"/>
    <w:rsid w:val="00395BE8"/>
    <w:rsid w:val="00395CC8"/>
    <w:rsid w:val="00396091"/>
    <w:rsid w:val="003979F8"/>
    <w:rsid w:val="003A46E8"/>
    <w:rsid w:val="003A59E1"/>
    <w:rsid w:val="003A7B8B"/>
    <w:rsid w:val="003B08C0"/>
    <w:rsid w:val="003B31A3"/>
    <w:rsid w:val="003B702C"/>
    <w:rsid w:val="003C4CB5"/>
    <w:rsid w:val="003C79A3"/>
    <w:rsid w:val="003D247A"/>
    <w:rsid w:val="003D3866"/>
    <w:rsid w:val="003D4AA3"/>
    <w:rsid w:val="003D7D00"/>
    <w:rsid w:val="003E231A"/>
    <w:rsid w:val="003E3CDF"/>
    <w:rsid w:val="003E495A"/>
    <w:rsid w:val="003E5765"/>
    <w:rsid w:val="003E7957"/>
    <w:rsid w:val="003F0C61"/>
    <w:rsid w:val="003F0F16"/>
    <w:rsid w:val="003F15F5"/>
    <w:rsid w:val="003F1AD1"/>
    <w:rsid w:val="003F2BD8"/>
    <w:rsid w:val="0040222E"/>
    <w:rsid w:val="004025BC"/>
    <w:rsid w:val="004040EA"/>
    <w:rsid w:val="004118FB"/>
    <w:rsid w:val="00413781"/>
    <w:rsid w:val="00413DFF"/>
    <w:rsid w:val="00413E4A"/>
    <w:rsid w:val="00426542"/>
    <w:rsid w:val="00433182"/>
    <w:rsid w:val="00433BFE"/>
    <w:rsid w:val="00434D41"/>
    <w:rsid w:val="00434E66"/>
    <w:rsid w:val="00437412"/>
    <w:rsid w:val="00442141"/>
    <w:rsid w:val="0045176F"/>
    <w:rsid w:val="00455E44"/>
    <w:rsid w:val="00457358"/>
    <w:rsid w:val="004576AD"/>
    <w:rsid w:val="00460730"/>
    <w:rsid w:val="00460969"/>
    <w:rsid w:val="004622A6"/>
    <w:rsid w:val="00462D3A"/>
    <w:rsid w:val="00463F41"/>
    <w:rsid w:val="00464D22"/>
    <w:rsid w:val="004653AF"/>
    <w:rsid w:val="00481261"/>
    <w:rsid w:val="00481503"/>
    <w:rsid w:val="00483662"/>
    <w:rsid w:val="00490FFE"/>
    <w:rsid w:val="00491784"/>
    <w:rsid w:val="00496E97"/>
    <w:rsid w:val="004A241C"/>
    <w:rsid w:val="004A246D"/>
    <w:rsid w:val="004A280D"/>
    <w:rsid w:val="004A3890"/>
    <w:rsid w:val="004A5CA4"/>
    <w:rsid w:val="004A626B"/>
    <w:rsid w:val="004A6911"/>
    <w:rsid w:val="004A6E1E"/>
    <w:rsid w:val="004A7D92"/>
    <w:rsid w:val="004B1AAE"/>
    <w:rsid w:val="004B2A5D"/>
    <w:rsid w:val="004B3060"/>
    <w:rsid w:val="004C4704"/>
    <w:rsid w:val="004C69E6"/>
    <w:rsid w:val="004E0524"/>
    <w:rsid w:val="004E0892"/>
    <w:rsid w:val="004E1F00"/>
    <w:rsid w:val="004E607E"/>
    <w:rsid w:val="004F0AAC"/>
    <w:rsid w:val="004F0E7A"/>
    <w:rsid w:val="004F3D4C"/>
    <w:rsid w:val="004F3E70"/>
    <w:rsid w:val="004F6312"/>
    <w:rsid w:val="004F6B2A"/>
    <w:rsid w:val="00501889"/>
    <w:rsid w:val="00501BCF"/>
    <w:rsid w:val="005061E9"/>
    <w:rsid w:val="00506263"/>
    <w:rsid w:val="005129AF"/>
    <w:rsid w:val="00513A2D"/>
    <w:rsid w:val="00522BD0"/>
    <w:rsid w:val="005235AC"/>
    <w:rsid w:val="00524135"/>
    <w:rsid w:val="00524470"/>
    <w:rsid w:val="005270D9"/>
    <w:rsid w:val="0053429C"/>
    <w:rsid w:val="00546E5E"/>
    <w:rsid w:val="00550786"/>
    <w:rsid w:val="005539F4"/>
    <w:rsid w:val="00560231"/>
    <w:rsid w:val="00562A89"/>
    <w:rsid w:val="00562E3C"/>
    <w:rsid w:val="00564295"/>
    <w:rsid w:val="00566208"/>
    <w:rsid w:val="00567C35"/>
    <w:rsid w:val="00567FFA"/>
    <w:rsid w:val="00575E70"/>
    <w:rsid w:val="005767B4"/>
    <w:rsid w:val="00577C59"/>
    <w:rsid w:val="00577E17"/>
    <w:rsid w:val="005864D0"/>
    <w:rsid w:val="00591E6F"/>
    <w:rsid w:val="0059210F"/>
    <w:rsid w:val="0059311E"/>
    <w:rsid w:val="00593545"/>
    <w:rsid w:val="00597B03"/>
    <w:rsid w:val="005A38F0"/>
    <w:rsid w:val="005A7056"/>
    <w:rsid w:val="005C31A9"/>
    <w:rsid w:val="005C649A"/>
    <w:rsid w:val="005C6983"/>
    <w:rsid w:val="005D1630"/>
    <w:rsid w:val="005D4B82"/>
    <w:rsid w:val="005D5B0E"/>
    <w:rsid w:val="005D6470"/>
    <w:rsid w:val="005D6615"/>
    <w:rsid w:val="005D6D65"/>
    <w:rsid w:val="005D7A6B"/>
    <w:rsid w:val="005E3CF0"/>
    <w:rsid w:val="005E43EC"/>
    <w:rsid w:val="005E54C6"/>
    <w:rsid w:val="005E5E1B"/>
    <w:rsid w:val="005E60B5"/>
    <w:rsid w:val="005E7938"/>
    <w:rsid w:val="00602D7F"/>
    <w:rsid w:val="00607956"/>
    <w:rsid w:val="00611174"/>
    <w:rsid w:val="00612B14"/>
    <w:rsid w:val="00615670"/>
    <w:rsid w:val="00615BBC"/>
    <w:rsid w:val="006173C4"/>
    <w:rsid w:val="006177CC"/>
    <w:rsid w:val="00620145"/>
    <w:rsid w:val="00623792"/>
    <w:rsid w:val="00631B3E"/>
    <w:rsid w:val="0063373E"/>
    <w:rsid w:val="0063696E"/>
    <w:rsid w:val="00636DCD"/>
    <w:rsid w:val="006415D9"/>
    <w:rsid w:val="006435B9"/>
    <w:rsid w:val="006438AE"/>
    <w:rsid w:val="0064776F"/>
    <w:rsid w:val="00650307"/>
    <w:rsid w:val="006573BE"/>
    <w:rsid w:val="0065740F"/>
    <w:rsid w:val="00663F13"/>
    <w:rsid w:val="00666DEC"/>
    <w:rsid w:val="0067305E"/>
    <w:rsid w:val="0067414F"/>
    <w:rsid w:val="00675FDB"/>
    <w:rsid w:val="00676C68"/>
    <w:rsid w:val="00677385"/>
    <w:rsid w:val="00680D72"/>
    <w:rsid w:val="00680FFB"/>
    <w:rsid w:val="00681923"/>
    <w:rsid w:val="00681971"/>
    <w:rsid w:val="00681A03"/>
    <w:rsid w:val="00683168"/>
    <w:rsid w:val="0068364B"/>
    <w:rsid w:val="00690971"/>
    <w:rsid w:val="0069568B"/>
    <w:rsid w:val="006965F8"/>
    <w:rsid w:val="0069682B"/>
    <w:rsid w:val="006B026D"/>
    <w:rsid w:val="006B79C7"/>
    <w:rsid w:val="006D2EED"/>
    <w:rsid w:val="006D4711"/>
    <w:rsid w:val="006D56B1"/>
    <w:rsid w:val="006D6960"/>
    <w:rsid w:val="006E0AA0"/>
    <w:rsid w:val="006E430F"/>
    <w:rsid w:val="006E437D"/>
    <w:rsid w:val="006E5193"/>
    <w:rsid w:val="00704500"/>
    <w:rsid w:val="00704539"/>
    <w:rsid w:val="00704F82"/>
    <w:rsid w:val="00710940"/>
    <w:rsid w:val="007123D3"/>
    <w:rsid w:val="007128B8"/>
    <w:rsid w:val="00713930"/>
    <w:rsid w:val="007143F3"/>
    <w:rsid w:val="00717ED2"/>
    <w:rsid w:val="00726606"/>
    <w:rsid w:val="00726BF6"/>
    <w:rsid w:val="00726ECF"/>
    <w:rsid w:val="007323C5"/>
    <w:rsid w:val="00732795"/>
    <w:rsid w:val="00734124"/>
    <w:rsid w:val="00735F1E"/>
    <w:rsid w:val="0073773A"/>
    <w:rsid w:val="00737AE2"/>
    <w:rsid w:val="00743E6C"/>
    <w:rsid w:val="00745A49"/>
    <w:rsid w:val="00746B4B"/>
    <w:rsid w:val="0074724E"/>
    <w:rsid w:val="00747BD5"/>
    <w:rsid w:val="00753103"/>
    <w:rsid w:val="007545F0"/>
    <w:rsid w:val="0075484F"/>
    <w:rsid w:val="007602A0"/>
    <w:rsid w:val="007616DB"/>
    <w:rsid w:val="00763BC1"/>
    <w:rsid w:val="00766405"/>
    <w:rsid w:val="00770DD1"/>
    <w:rsid w:val="00781522"/>
    <w:rsid w:val="0078347C"/>
    <w:rsid w:val="0078430B"/>
    <w:rsid w:val="00784402"/>
    <w:rsid w:val="00787B5E"/>
    <w:rsid w:val="00792048"/>
    <w:rsid w:val="00793A68"/>
    <w:rsid w:val="007942CE"/>
    <w:rsid w:val="007959C0"/>
    <w:rsid w:val="0079791A"/>
    <w:rsid w:val="007A4ED7"/>
    <w:rsid w:val="007B1D59"/>
    <w:rsid w:val="007B3C86"/>
    <w:rsid w:val="007B5F42"/>
    <w:rsid w:val="007C25D4"/>
    <w:rsid w:val="007C26DA"/>
    <w:rsid w:val="007C6581"/>
    <w:rsid w:val="007C6EDB"/>
    <w:rsid w:val="007D125C"/>
    <w:rsid w:val="007D72CA"/>
    <w:rsid w:val="007E3D7C"/>
    <w:rsid w:val="007E6551"/>
    <w:rsid w:val="007E67C6"/>
    <w:rsid w:val="007F043E"/>
    <w:rsid w:val="007F3A3E"/>
    <w:rsid w:val="007F3CE3"/>
    <w:rsid w:val="007F726C"/>
    <w:rsid w:val="00801977"/>
    <w:rsid w:val="008066BB"/>
    <w:rsid w:val="0080672E"/>
    <w:rsid w:val="00807D88"/>
    <w:rsid w:val="00811A09"/>
    <w:rsid w:val="00812FC1"/>
    <w:rsid w:val="0081331F"/>
    <w:rsid w:val="008134A1"/>
    <w:rsid w:val="00816E00"/>
    <w:rsid w:val="008178EA"/>
    <w:rsid w:val="008211AE"/>
    <w:rsid w:val="00821DC3"/>
    <w:rsid w:val="00822FD8"/>
    <w:rsid w:val="00833A93"/>
    <w:rsid w:val="008340E6"/>
    <w:rsid w:val="008365F5"/>
    <w:rsid w:val="00837421"/>
    <w:rsid w:val="00840477"/>
    <w:rsid w:val="008407CC"/>
    <w:rsid w:val="00841CE7"/>
    <w:rsid w:val="008513BA"/>
    <w:rsid w:val="00851C0B"/>
    <w:rsid w:val="00852539"/>
    <w:rsid w:val="00853200"/>
    <w:rsid w:val="008532AA"/>
    <w:rsid w:val="008620D4"/>
    <w:rsid w:val="00865782"/>
    <w:rsid w:val="0086701C"/>
    <w:rsid w:val="0086720C"/>
    <w:rsid w:val="008777C7"/>
    <w:rsid w:val="00880A2C"/>
    <w:rsid w:val="008828C9"/>
    <w:rsid w:val="00883BF6"/>
    <w:rsid w:val="00890536"/>
    <w:rsid w:val="00890BCB"/>
    <w:rsid w:val="008929EC"/>
    <w:rsid w:val="00895AB5"/>
    <w:rsid w:val="008A18C8"/>
    <w:rsid w:val="008A1D0D"/>
    <w:rsid w:val="008B1C50"/>
    <w:rsid w:val="008B5012"/>
    <w:rsid w:val="008C0E91"/>
    <w:rsid w:val="008D051F"/>
    <w:rsid w:val="008D1152"/>
    <w:rsid w:val="008D166D"/>
    <w:rsid w:val="008D5F59"/>
    <w:rsid w:val="008D7B74"/>
    <w:rsid w:val="008E1FE5"/>
    <w:rsid w:val="008E317F"/>
    <w:rsid w:val="008E3C27"/>
    <w:rsid w:val="008E4875"/>
    <w:rsid w:val="008F0BF9"/>
    <w:rsid w:val="008F1E68"/>
    <w:rsid w:val="008F67F3"/>
    <w:rsid w:val="00900F33"/>
    <w:rsid w:val="0090503F"/>
    <w:rsid w:val="00906CFC"/>
    <w:rsid w:val="009127DB"/>
    <w:rsid w:val="00932B5D"/>
    <w:rsid w:val="0093350E"/>
    <w:rsid w:val="0093395C"/>
    <w:rsid w:val="0094454A"/>
    <w:rsid w:val="009473E3"/>
    <w:rsid w:val="00947854"/>
    <w:rsid w:val="0095032D"/>
    <w:rsid w:val="0095322B"/>
    <w:rsid w:val="009549EA"/>
    <w:rsid w:val="00962F8F"/>
    <w:rsid w:val="00963F0B"/>
    <w:rsid w:val="00966957"/>
    <w:rsid w:val="00966ABD"/>
    <w:rsid w:val="009706E8"/>
    <w:rsid w:val="0097124B"/>
    <w:rsid w:val="00973CB9"/>
    <w:rsid w:val="00974C5A"/>
    <w:rsid w:val="00975547"/>
    <w:rsid w:val="00975F48"/>
    <w:rsid w:val="0097764B"/>
    <w:rsid w:val="00982844"/>
    <w:rsid w:val="0098479B"/>
    <w:rsid w:val="00986438"/>
    <w:rsid w:val="009867E7"/>
    <w:rsid w:val="009922AF"/>
    <w:rsid w:val="00992A82"/>
    <w:rsid w:val="00995791"/>
    <w:rsid w:val="00995A1B"/>
    <w:rsid w:val="0099609A"/>
    <w:rsid w:val="009A031D"/>
    <w:rsid w:val="009A11B4"/>
    <w:rsid w:val="009A248F"/>
    <w:rsid w:val="009C19C1"/>
    <w:rsid w:val="009C519A"/>
    <w:rsid w:val="009D04F8"/>
    <w:rsid w:val="009D108C"/>
    <w:rsid w:val="009D5631"/>
    <w:rsid w:val="009D7722"/>
    <w:rsid w:val="009F5A9B"/>
    <w:rsid w:val="009F7A84"/>
    <w:rsid w:val="00A00EE2"/>
    <w:rsid w:val="00A011DB"/>
    <w:rsid w:val="00A01B51"/>
    <w:rsid w:val="00A02DBD"/>
    <w:rsid w:val="00A05608"/>
    <w:rsid w:val="00A13952"/>
    <w:rsid w:val="00A23341"/>
    <w:rsid w:val="00A31916"/>
    <w:rsid w:val="00A31CF4"/>
    <w:rsid w:val="00A32A8E"/>
    <w:rsid w:val="00A3355E"/>
    <w:rsid w:val="00A359AF"/>
    <w:rsid w:val="00A36712"/>
    <w:rsid w:val="00A42E51"/>
    <w:rsid w:val="00A43648"/>
    <w:rsid w:val="00A45466"/>
    <w:rsid w:val="00A46806"/>
    <w:rsid w:val="00A57519"/>
    <w:rsid w:val="00A61F4F"/>
    <w:rsid w:val="00A67C00"/>
    <w:rsid w:val="00A739E8"/>
    <w:rsid w:val="00A740FE"/>
    <w:rsid w:val="00A75767"/>
    <w:rsid w:val="00A75884"/>
    <w:rsid w:val="00A77A7B"/>
    <w:rsid w:val="00A81D10"/>
    <w:rsid w:val="00A82180"/>
    <w:rsid w:val="00AA1345"/>
    <w:rsid w:val="00AA5551"/>
    <w:rsid w:val="00AA710D"/>
    <w:rsid w:val="00AB0357"/>
    <w:rsid w:val="00AB0FA9"/>
    <w:rsid w:val="00AB3066"/>
    <w:rsid w:val="00AB449A"/>
    <w:rsid w:val="00AB4C14"/>
    <w:rsid w:val="00AB7B8E"/>
    <w:rsid w:val="00AC4CA5"/>
    <w:rsid w:val="00AD02C4"/>
    <w:rsid w:val="00AD0E41"/>
    <w:rsid w:val="00AD31A1"/>
    <w:rsid w:val="00AD3D08"/>
    <w:rsid w:val="00AD6596"/>
    <w:rsid w:val="00AD76C4"/>
    <w:rsid w:val="00AE0305"/>
    <w:rsid w:val="00AE1FBB"/>
    <w:rsid w:val="00AE3F6D"/>
    <w:rsid w:val="00AE4B87"/>
    <w:rsid w:val="00AE5E7B"/>
    <w:rsid w:val="00AF10E0"/>
    <w:rsid w:val="00AF18F6"/>
    <w:rsid w:val="00AF4DE5"/>
    <w:rsid w:val="00AF6669"/>
    <w:rsid w:val="00B03E22"/>
    <w:rsid w:val="00B052A8"/>
    <w:rsid w:val="00B14CE1"/>
    <w:rsid w:val="00B2385A"/>
    <w:rsid w:val="00B25686"/>
    <w:rsid w:val="00B256FA"/>
    <w:rsid w:val="00B307D3"/>
    <w:rsid w:val="00B32F56"/>
    <w:rsid w:val="00B33285"/>
    <w:rsid w:val="00B36C2C"/>
    <w:rsid w:val="00B406E3"/>
    <w:rsid w:val="00B4457A"/>
    <w:rsid w:val="00B45689"/>
    <w:rsid w:val="00B47896"/>
    <w:rsid w:val="00B55794"/>
    <w:rsid w:val="00B70D16"/>
    <w:rsid w:val="00B72AED"/>
    <w:rsid w:val="00B7517C"/>
    <w:rsid w:val="00B75612"/>
    <w:rsid w:val="00B8153D"/>
    <w:rsid w:val="00B820E5"/>
    <w:rsid w:val="00B87DEA"/>
    <w:rsid w:val="00BA06F7"/>
    <w:rsid w:val="00BA17F9"/>
    <w:rsid w:val="00BA1EE6"/>
    <w:rsid w:val="00BA3D09"/>
    <w:rsid w:val="00BB00A8"/>
    <w:rsid w:val="00BB056A"/>
    <w:rsid w:val="00BB402D"/>
    <w:rsid w:val="00BB40D0"/>
    <w:rsid w:val="00BB4998"/>
    <w:rsid w:val="00BB4DD3"/>
    <w:rsid w:val="00BB5F4E"/>
    <w:rsid w:val="00BB6FAF"/>
    <w:rsid w:val="00BB73D3"/>
    <w:rsid w:val="00BB7A46"/>
    <w:rsid w:val="00BC1A89"/>
    <w:rsid w:val="00BC4208"/>
    <w:rsid w:val="00BC7F7C"/>
    <w:rsid w:val="00BD474C"/>
    <w:rsid w:val="00BD6E1C"/>
    <w:rsid w:val="00BE03D0"/>
    <w:rsid w:val="00BE0434"/>
    <w:rsid w:val="00BE1352"/>
    <w:rsid w:val="00BE1601"/>
    <w:rsid w:val="00BE3929"/>
    <w:rsid w:val="00BE606E"/>
    <w:rsid w:val="00BE6BDC"/>
    <w:rsid w:val="00BF107D"/>
    <w:rsid w:val="00BF3564"/>
    <w:rsid w:val="00BF426A"/>
    <w:rsid w:val="00C002A9"/>
    <w:rsid w:val="00C008CD"/>
    <w:rsid w:val="00C027CB"/>
    <w:rsid w:val="00C03B9A"/>
    <w:rsid w:val="00C04DC2"/>
    <w:rsid w:val="00C109AC"/>
    <w:rsid w:val="00C11981"/>
    <w:rsid w:val="00C24659"/>
    <w:rsid w:val="00C24948"/>
    <w:rsid w:val="00C279D6"/>
    <w:rsid w:val="00C3052E"/>
    <w:rsid w:val="00C3221B"/>
    <w:rsid w:val="00C32513"/>
    <w:rsid w:val="00C34521"/>
    <w:rsid w:val="00C3586B"/>
    <w:rsid w:val="00C405EB"/>
    <w:rsid w:val="00C40E27"/>
    <w:rsid w:val="00C43B9D"/>
    <w:rsid w:val="00C50442"/>
    <w:rsid w:val="00C5332C"/>
    <w:rsid w:val="00C56743"/>
    <w:rsid w:val="00C5701C"/>
    <w:rsid w:val="00C57E63"/>
    <w:rsid w:val="00C63247"/>
    <w:rsid w:val="00C66F9E"/>
    <w:rsid w:val="00C67FD9"/>
    <w:rsid w:val="00C70239"/>
    <w:rsid w:val="00C70711"/>
    <w:rsid w:val="00C7261B"/>
    <w:rsid w:val="00C76617"/>
    <w:rsid w:val="00C82116"/>
    <w:rsid w:val="00C82807"/>
    <w:rsid w:val="00C869AA"/>
    <w:rsid w:val="00C910B0"/>
    <w:rsid w:val="00C937C4"/>
    <w:rsid w:val="00C97F05"/>
    <w:rsid w:val="00CA0751"/>
    <w:rsid w:val="00CA3978"/>
    <w:rsid w:val="00CA4DC9"/>
    <w:rsid w:val="00CA6C7F"/>
    <w:rsid w:val="00CB3002"/>
    <w:rsid w:val="00CB49B0"/>
    <w:rsid w:val="00CC00DC"/>
    <w:rsid w:val="00CC1787"/>
    <w:rsid w:val="00CC3031"/>
    <w:rsid w:val="00CC3A14"/>
    <w:rsid w:val="00CC3C9E"/>
    <w:rsid w:val="00CC3EC5"/>
    <w:rsid w:val="00CC3F01"/>
    <w:rsid w:val="00CC4013"/>
    <w:rsid w:val="00CC4905"/>
    <w:rsid w:val="00CD1802"/>
    <w:rsid w:val="00CD2D3D"/>
    <w:rsid w:val="00CD54EF"/>
    <w:rsid w:val="00CD55EB"/>
    <w:rsid w:val="00CD6272"/>
    <w:rsid w:val="00CD7A65"/>
    <w:rsid w:val="00CE1E24"/>
    <w:rsid w:val="00CE1FE0"/>
    <w:rsid w:val="00CE31DA"/>
    <w:rsid w:val="00CE4AC6"/>
    <w:rsid w:val="00CE6751"/>
    <w:rsid w:val="00CF0221"/>
    <w:rsid w:val="00CF1F41"/>
    <w:rsid w:val="00D12051"/>
    <w:rsid w:val="00D157B2"/>
    <w:rsid w:val="00D16FD5"/>
    <w:rsid w:val="00D17665"/>
    <w:rsid w:val="00D17BC8"/>
    <w:rsid w:val="00D223B4"/>
    <w:rsid w:val="00D35EE7"/>
    <w:rsid w:val="00D373FA"/>
    <w:rsid w:val="00D40DE0"/>
    <w:rsid w:val="00D420F8"/>
    <w:rsid w:val="00D439BB"/>
    <w:rsid w:val="00D464C3"/>
    <w:rsid w:val="00D46B6D"/>
    <w:rsid w:val="00D507BA"/>
    <w:rsid w:val="00D55047"/>
    <w:rsid w:val="00D60DBF"/>
    <w:rsid w:val="00D64927"/>
    <w:rsid w:val="00D6575C"/>
    <w:rsid w:val="00D720D7"/>
    <w:rsid w:val="00D81961"/>
    <w:rsid w:val="00D87DBC"/>
    <w:rsid w:val="00D91816"/>
    <w:rsid w:val="00D923FD"/>
    <w:rsid w:val="00D95B9D"/>
    <w:rsid w:val="00DA53FB"/>
    <w:rsid w:val="00DB32C7"/>
    <w:rsid w:val="00DB4EB8"/>
    <w:rsid w:val="00DB574A"/>
    <w:rsid w:val="00DC5D61"/>
    <w:rsid w:val="00DD1E67"/>
    <w:rsid w:val="00DD2F77"/>
    <w:rsid w:val="00DF0C3B"/>
    <w:rsid w:val="00DF37EB"/>
    <w:rsid w:val="00DF495F"/>
    <w:rsid w:val="00DF574D"/>
    <w:rsid w:val="00E012B3"/>
    <w:rsid w:val="00E01547"/>
    <w:rsid w:val="00E0267C"/>
    <w:rsid w:val="00E02BBB"/>
    <w:rsid w:val="00E159AC"/>
    <w:rsid w:val="00E24749"/>
    <w:rsid w:val="00E24F81"/>
    <w:rsid w:val="00E2573D"/>
    <w:rsid w:val="00E31C9C"/>
    <w:rsid w:val="00E34E0D"/>
    <w:rsid w:val="00E379DA"/>
    <w:rsid w:val="00E41223"/>
    <w:rsid w:val="00E41B7A"/>
    <w:rsid w:val="00E4599C"/>
    <w:rsid w:val="00E52D20"/>
    <w:rsid w:val="00E64FFD"/>
    <w:rsid w:val="00E67F29"/>
    <w:rsid w:val="00E71FC5"/>
    <w:rsid w:val="00E76066"/>
    <w:rsid w:val="00E76C3A"/>
    <w:rsid w:val="00E77764"/>
    <w:rsid w:val="00E85F75"/>
    <w:rsid w:val="00E8656D"/>
    <w:rsid w:val="00E86E5D"/>
    <w:rsid w:val="00E870F8"/>
    <w:rsid w:val="00E879F7"/>
    <w:rsid w:val="00E9292D"/>
    <w:rsid w:val="00E97838"/>
    <w:rsid w:val="00EA0BD8"/>
    <w:rsid w:val="00EA340A"/>
    <w:rsid w:val="00EB0FDF"/>
    <w:rsid w:val="00EB2F65"/>
    <w:rsid w:val="00EB3D51"/>
    <w:rsid w:val="00EB5785"/>
    <w:rsid w:val="00EC0185"/>
    <w:rsid w:val="00EC206B"/>
    <w:rsid w:val="00EC376D"/>
    <w:rsid w:val="00EC4045"/>
    <w:rsid w:val="00EC5079"/>
    <w:rsid w:val="00EC6C49"/>
    <w:rsid w:val="00EC7380"/>
    <w:rsid w:val="00ED74B5"/>
    <w:rsid w:val="00ED79E4"/>
    <w:rsid w:val="00ED7C06"/>
    <w:rsid w:val="00EF24BA"/>
    <w:rsid w:val="00EF73D2"/>
    <w:rsid w:val="00F018A5"/>
    <w:rsid w:val="00F03866"/>
    <w:rsid w:val="00F05C8A"/>
    <w:rsid w:val="00F0628B"/>
    <w:rsid w:val="00F0725C"/>
    <w:rsid w:val="00F235C7"/>
    <w:rsid w:val="00F24906"/>
    <w:rsid w:val="00F25ED3"/>
    <w:rsid w:val="00F260E5"/>
    <w:rsid w:val="00F31890"/>
    <w:rsid w:val="00F32C28"/>
    <w:rsid w:val="00F3344A"/>
    <w:rsid w:val="00F36497"/>
    <w:rsid w:val="00F37A04"/>
    <w:rsid w:val="00F444BC"/>
    <w:rsid w:val="00F444DA"/>
    <w:rsid w:val="00F45240"/>
    <w:rsid w:val="00F47468"/>
    <w:rsid w:val="00F479BD"/>
    <w:rsid w:val="00F53358"/>
    <w:rsid w:val="00F541E6"/>
    <w:rsid w:val="00F56F44"/>
    <w:rsid w:val="00F60DFB"/>
    <w:rsid w:val="00F655EE"/>
    <w:rsid w:val="00F67019"/>
    <w:rsid w:val="00F7199A"/>
    <w:rsid w:val="00F72272"/>
    <w:rsid w:val="00F739E0"/>
    <w:rsid w:val="00F73EFE"/>
    <w:rsid w:val="00F75CB4"/>
    <w:rsid w:val="00F76057"/>
    <w:rsid w:val="00F768F1"/>
    <w:rsid w:val="00F905EB"/>
    <w:rsid w:val="00F9393D"/>
    <w:rsid w:val="00F94D69"/>
    <w:rsid w:val="00F968B0"/>
    <w:rsid w:val="00F97343"/>
    <w:rsid w:val="00F9773B"/>
    <w:rsid w:val="00FA142A"/>
    <w:rsid w:val="00FB12A7"/>
    <w:rsid w:val="00FB1AAC"/>
    <w:rsid w:val="00FB4118"/>
    <w:rsid w:val="00FC26D9"/>
    <w:rsid w:val="00FC2C37"/>
    <w:rsid w:val="00FC34F9"/>
    <w:rsid w:val="00FC59FA"/>
    <w:rsid w:val="00FD7B4C"/>
    <w:rsid w:val="00FE3758"/>
    <w:rsid w:val="00FE522D"/>
    <w:rsid w:val="00FE7FD5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F29C3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de-CH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FINMA Standard"/>
    <w:rsid w:val="00316E19"/>
    <w:pPr>
      <w:spacing w:line="260" w:lineRule="atLeast"/>
    </w:pPr>
    <w:rPr>
      <w:rFonts w:ascii="Arial" w:hAnsi="Arial"/>
    </w:rPr>
  </w:style>
  <w:style w:type="paragraph" w:styleId="Titre1">
    <w:name w:val="heading 1"/>
    <w:aliases w:val="FINMA Überschrift 1"/>
    <w:basedOn w:val="Normal"/>
    <w:next w:val="Normal"/>
    <w:qFormat/>
    <w:rsid w:val="00D87DBC"/>
    <w:pPr>
      <w:keepNext/>
      <w:numPr>
        <w:numId w:val="6"/>
      </w:numPr>
      <w:spacing w:before="600" w:after="480"/>
      <w:outlineLvl w:val="0"/>
    </w:pPr>
    <w:rPr>
      <w:rFonts w:cs="Arial"/>
      <w:b/>
      <w:bCs/>
      <w:kern w:val="32"/>
      <w:sz w:val="24"/>
      <w:szCs w:val="24"/>
    </w:rPr>
  </w:style>
  <w:style w:type="paragraph" w:styleId="Titre2">
    <w:name w:val="heading 2"/>
    <w:aliases w:val="FINMA Überschrift 2"/>
    <w:basedOn w:val="Normal"/>
    <w:next w:val="Normal"/>
    <w:qFormat/>
    <w:rsid w:val="00D87DBC"/>
    <w:pPr>
      <w:keepNext/>
      <w:numPr>
        <w:ilvl w:val="1"/>
        <w:numId w:val="6"/>
      </w:numPr>
      <w:spacing w:before="360" w:after="240"/>
      <w:ind w:right="-23"/>
      <w:outlineLvl w:val="1"/>
    </w:pPr>
    <w:rPr>
      <w:rFonts w:cs="Arial"/>
      <w:sz w:val="24"/>
    </w:rPr>
  </w:style>
  <w:style w:type="paragraph" w:styleId="Titre3">
    <w:name w:val="heading 3"/>
    <w:aliases w:val="FINMA Überschrift 3"/>
    <w:basedOn w:val="Normal"/>
    <w:next w:val="Normal"/>
    <w:uiPriority w:val="9"/>
    <w:qFormat/>
    <w:rsid w:val="00D87DBC"/>
    <w:pPr>
      <w:keepNext/>
      <w:numPr>
        <w:ilvl w:val="2"/>
        <w:numId w:val="6"/>
      </w:numPr>
      <w:spacing w:before="360" w:after="240"/>
      <w:outlineLvl w:val="2"/>
    </w:pPr>
    <w:rPr>
      <w:rFonts w:cs="Arial"/>
      <w:b/>
      <w:bCs/>
      <w:szCs w:val="26"/>
    </w:rPr>
  </w:style>
  <w:style w:type="paragraph" w:styleId="Titre4">
    <w:name w:val="heading 4"/>
    <w:aliases w:val="FINMA Überschrift 4"/>
    <w:basedOn w:val="Normal"/>
    <w:next w:val="Normal"/>
    <w:qFormat/>
    <w:rsid w:val="00D87DBC"/>
    <w:pPr>
      <w:keepNext/>
      <w:numPr>
        <w:ilvl w:val="3"/>
        <w:numId w:val="6"/>
      </w:numPr>
      <w:spacing w:before="360" w:after="240"/>
      <w:outlineLvl w:val="3"/>
    </w:pPr>
    <w:rPr>
      <w:rFonts w:cs="Arial"/>
      <w:bCs/>
      <w:szCs w:val="28"/>
    </w:rPr>
  </w:style>
  <w:style w:type="paragraph" w:styleId="Titre5">
    <w:name w:val="heading 5"/>
    <w:aliases w:val="FINMA Überschrift 5"/>
    <w:basedOn w:val="Normal"/>
    <w:next w:val="Normal"/>
    <w:qFormat/>
    <w:rsid w:val="00D87DBC"/>
    <w:pPr>
      <w:numPr>
        <w:ilvl w:val="4"/>
        <w:numId w:val="6"/>
      </w:numPr>
      <w:spacing w:before="360" w:after="240"/>
      <w:outlineLvl w:val="4"/>
    </w:pPr>
    <w:rPr>
      <w:bCs/>
      <w:szCs w:val="26"/>
    </w:rPr>
  </w:style>
  <w:style w:type="paragraph" w:styleId="Titre6">
    <w:name w:val="heading 6"/>
    <w:aliases w:val="FINMA Überschrift 6"/>
    <w:basedOn w:val="Normal"/>
    <w:next w:val="Normal"/>
    <w:qFormat/>
    <w:rsid w:val="00D87DBC"/>
    <w:pPr>
      <w:numPr>
        <w:ilvl w:val="5"/>
        <w:numId w:val="6"/>
      </w:numPr>
      <w:spacing w:before="360" w:after="240"/>
      <w:outlineLvl w:val="5"/>
    </w:pPr>
    <w:rPr>
      <w:rFonts w:cs="Arial"/>
      <w:bCs/>
    </w:rPr>
  </w:style>
  <w:style w:type="paragraph" w:styleId="Titre7">
    <w:name w:val="heading 7"/>
    <w:aliases w:val="FINMA Überschrift 7"/>
    <w:basedOn w:val="Normal"/>
    <w:next w:val="Normal"/>
    <w:qFormat/>
    <w:rsid w:val="00D87DBC"/>
    <w:pPr>
      <w:numPr>
        <w:ilvl w:val="6"/>
        <w:numId w:val="6"/>
      </w:numPr>
      <w:spacing w:before="360" w:after="240"/>
      <w:outlineLvl w:val="6"/>
    </w:pPr>
    <w:rPr>
      <w:rFonts w:cs="Arial"/>
      <w:bCs/>
      <w:szCs w:val="24"/>
    </w:rPr>
  </w:style>
  <w:style w:type="paragraph" w:styleId="Titre8">
    <w:name w:val="heading 8"/>
    <w:aliases w:val="FINMA Überschrift 8"/>
    <w:basedOn w:val="Normal"/>
    <w:next w:val="Normal"/>
    <w:qFormat/>
    <w:rsid w:val="00D87DBC"/>
    <w:pPr>
      <w:numPr>
        <w:ilvl w:val="7"/>
        <w:numId w:val="6"/>
      </w:numPr>
      <w:spacing w:before="360" w:after="240"/>
      <w:outlineLvl w:val="7"/>
    </w:pPr>
    <w:rPr>
      <w:rFonts w:cs="Arial"/>
      <w:bCs/>
      <w:szCs w:val="24"/>
    </w:rPr>
  </w:style>
  <w:style w:type="paragraph" w:styleId="Titre9">
    <w:name w:val="heading 9"/>
    <w:aliases w:val="FINMA Überschrift 9"/>
    <w:basedOn w:val="Normal"/>
    <w:next w:val="Normal"/>
    <w:qFormat/>
    <w:rsid w:val="00D87DBC"/>
    <w:pPr>
      <w:numPr>
        <w:ilvl w:val="8"/>
        <w:numId w:val="6"/>
      </w:numPr>
      <w:spacing w:before="360" w:after="240"/>
      <w:outlineLvl w:val="8"/>
    </w:pPr>
    <w:rPr>
      <w:rFonts w:cs="Arial"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lutations">
    <w:name w:val="Salutation"/>
    <w:aliases w:val="FINMA Anrede"/>
    <w:basedOn w:val="Normal"/>
    <w:next w:val="Normal"/>
    <w:link w:val="SalutationsCar"/>
    <w:rsid w:val="00D87DBC"/>
    <w:pPr>
      <w:spacing w:before="260" w:after="260"/>
    </w:pPr>
    <w:rPr>
      <w:noProof/>
    </w:rPr>
  </w:style>
  <w:style w:type="character" w:customStyle="1" w:styleId="SalutationsCar">
    <w:name w:val="Salutations Car"/>
    <w:aliases w:val="FINMA Anrede Car"/>
    <w:basedOn w:val="Policepardfaut"/>
    <w:link w:val="Salutations"/>
    <w:rsid w:val="00D87DBC"/>
    <w:rPr>
      <w:rFonts w:ascii="Arial" w:hAnsi="Arial"/>
      <w:noProof/>
      <w:lang w:eastAsia="de-CH"/>
    </w:rPr>
  </w:style>
  <w:style w:type="paragraph" w:customStyle="1" w:styleId="FINMAAufzhlungEbene1">
    <w:name w:val="FINMA Aufzählung Ebene 1"/>
    <w:basedOn w:val="Normal"/>
    <w:qFormat/>
    <w:rsid w:val="00483662"/>
    <w:pPr>
      <w:numPr>
        <w:numId w:val="1"/>
      </w:numPr>
      <w:spacing w:after="80"/>
    </w:pPr>
  </w:style>
  <w:style w:type="paragraph" w:customStyle="1" w:styleId="FINMAAufzhlungEbene2">
    <w:name w:val="FINMA Aufzählung Ebene 2"/>
    <w:basedOn w:val="Normal"/>
    <w:qFormat/>
    <w:rsid w:val="00483662"/>
    <w:pPr>
      <w:numPr>
        <w:numId w:val="2"/>
      </w:numPr>
      <w:tabs>
        <w:tab w:val="left" w:pos="312"/>
      </w:tabs>
      <w:spacing w:after="80"/>
      <w:ind w:left="765" w:hanging="357"/>
    </w:pPr>
  </w:style>
  <w:style w:type="paragraph" w:customStyle="1" w:styleId="FINMAAufzhlungEbene3">
    <w:name w:val="FINMA Aufzählung Ebene 3"/>
    <w:basedOn w:val="Normal"/>
    <w:qFormat/>
    <w:rsid w:val="00483662"/>
    <w:pPr>
      <w:numPr>
        <w:numId w:val="3"/>
      </w:numPr>
      <w:tabs>
        <w:tab w:val="left" w:pos="1038"/>
      </w:tabs>
      <w:spacing w:after="80"/>
      <w:ind w:left="1077" w:hanging="357"/>
    </w:pPr>
  </w:style>
  <w:style w:type="paragraph" w:customStyle="1" w:styleId="FINMAAufzhlungEbene4">
    <w:name w:val="FINMA Aufzählung Ebene 4"/>
    <w:basedOn w:val="FINMAAufzhlungEbene3"/>
    <w:rsid w:val="003051D1"/>
    <w:pPr>
      <w:numPr>
        <w:numId w:val="4"/>
      </w:numPr>
      <w:tabs>
        <w:tab w:val="clear" w:pos="1038"/>
        <w:tab w:val="left" w:pos="1315"/>
      </w:tabs>
      <w:ind w:left="1406" w:hanging="357"/>
    </w:pPr>
  </w:style>
  <w:style w:type="paragraph" w:customStyle="1" w:styleId="FINMABeilagen">
    <w:name w:val="FINMA Beilagen"/>
    <w:basedOn w:val="Normal"/>
    <w:next w:val="Normal"/>
    <w:rsid w:val="00D87DBC"/>
    <w:pPr>
      <w:tabs>
        <w:tab w:val="left" w:pos="1260"/>
      </w:tabs>
      <w:spacing w:before="840" w:after="260"/>
      <w:ind w:left="1259" w:hanging="1259"/>
    </w:pPr>
    <w:rPr>
      <w:szCs w:val="22"/>
    </w:rPr>
  </w:style>
  <w:style w:type="paragraph" w:customStyle="1" w:styleId="FINMABetreff">
    <w:name w:val="FINMA Betreff"/>
    <w:basedOn w:val="Normal"/>
    <w:rsid w:val="00D87DBC"/>
    <w:pPr>
      <w:spacing w:before="360"/>
    </w:pPr>
    <w:rPr>
      <w:rFonts w:cs="Arial"/>
      <w:b/>
      <w:szCs w:val="22"/>
    </w:rPr>
  </w:style>
  <w:style w:type="paragraph" w:customStyle="1" w:styleId="FINMAStandardAbsatz">
    <w:name w:val="FINMA Standard Absatz"/>
    <w:basedOn w:val="Normal"/>
    <w:qFormat/>
    <w:rsid w:val="00483662"/>
    <w:pPr>
      <w:spacing w:before="260" w:after="260"/>
    </w:pPr>
  </w:style>
  <w:style w:type="paragraph" w:customStyle="1" w:styleId="FINMAGeheim">
    <w:name w:val="FINMA Geheim"/>
    <w:basedOn w:val="FINMAStandardAbsatz"/>
    <w:next w:val="FINMAStandardAbsatz"/>
    <w:rsid w:val="00D87DBC"/>
    <w:pPr>
      <w:spacing w:after="0"/>
    </w:pPr>
    <w:rPr>
      <w:b/>
    </w:rPr>
  </w:style>
  <w:style w:type="paragraph" w:customStyle="1" w:styleId="FINMAGliederungEbene1">
    <w:name w:val="FINMA Gliederung Ebene 1"/>
    <w:basedOn w:val="Normal"/>
    <w:qFormat/>
    <w:rsid w:val="00483662"/>
    <w:pPr>
      <w:numPr>
        <w:numId w:val="5"/>
      </w:numPr>
      <w:spacing w:after="80"/>
    </w:pPr>
    <w:rPr>
      <w:rFonts w:cs="Arial"/>
      <w:szCs w:val="22"/>
    </w:rPr>
  </w:style>
  <w:style w:type="paragraph" w:customStyle="1" w:styleId="FINMAGliederungEbene2">
    <w:name w:val="FINMA Gliederung Ebene 2"/>
    <w:basedOn w:val="Normal"/>
    <w:qFormat/>
    <w:rsid w:val="00483662"/>
    <w:pPr>
      <w:numPr>
        <w:ilvl w:val="1"/>
        <w:numId w:val="5"/>
      </w:numPr>
      <w:spacing w:after="80"/>
    </w:pPr>
    <w:rPr>
      <w:rFonts w:cs="Arial"/>
      <w:szCs w:val="22"/>
    </w:rPr>
  </w:style>
  <w:style w:type="paragraph" w:customStyle="1" w:styleId="FINMAGliederungEbene3">
    <w:name w:val="FINMA Gliederung Ebene 3"/>
    <w:basedOn w:val="Normal"/>
    <w:qFormat/>
    <w:rsid w:val="00483662"/>
    <w:pPr>
      <w:numPr>
        <w:ilvl w:val="2"/>
        <w:numId w:val="5"/>
      </w:numPr>
      <w:spacing w:after="80"/>
    </w:pPr>
    <w:rPr>
      <w:rFonts w:cs="Arial"/>
      <w:szCs w:val="22"/>
    </w:rPr>
  </w:style>
  <w:style w:type="paragraph" w:customStyle="1" w:styleId="FINMAGliederungEbene4">
    <w:name w:val="FINMA Gliederung Ebene 4"/>
    <w:basedOn w:val="Normal"/>
    <w:rsid w:val="00483662"/>
    <w:pPr>
      <w:numPr>
        <w:ilvl w:val="3"/>
        <w:numId w:val="5"/>
      </w:numPr>
      <w:spacing w:after="80"/>
    </w:pPr>
    <w:rPr>
      <w:rFonts w:cs="Arial"/>
      <w:szCs w:val="22"/>
    </w:rPr>
  </w:style>
  <w:style w:type="paragraph" w:customStyle="1" w:styleId="FINMAGrussformelFINMA">
    <w:name w:val="FINMA Grussformel FINMA"/>
    <w:basedOn w:val="Normal"/>
    <w:next w:val="FINMABeilagen"/>
    <w:rsid w:val="00D87DBC"/>
    <w:pPr>
      <w:tabs>
        <w:tab w:val="left" w:pos="5400"/>
      </w:tabs>
      <w:spacing w:before="520"/>
    </w:pPr>
    <w:rPr>
      <w:rFonts w:cs="Arial"/>
      <w:szCs w:val="22"/>
    </w:rPr>
  </w:style>
  <w:style w:type="paragraph" w:customStyle="1" w:styleId="FINMAKopie">
    <w:name w:val="FINMA Kopie"/>
    <w:basedOn w:val="FINMAStandardAbsatz"/>
    <w:next w:val="Normal"/>
    <w:rsid w:val="00D87DBC"/>
    <w:pPr>
      <w:tabs>
        <w:tab w:val="left" w:pos="1260"/>
      </w:tabs>
      <w:spacing w:after="0"/>
      <w:ind w:left="1259" w:hanging="1259"/>
    </w:pPr>
  </w:style>
  <w:style w:type="paragraph" w:customStyle="1" w:styleId="FINMANameundFunktion">
    <w:name w:val="FINMA Name und Funktion"/>
    <w:basedOn w:val="Normal"/>
    <w:rsid w:val="00D87DBC"/>
  </w:style>
  <w:style w:type="paragraph" w:customStyle="1" w:styleId="FINMAReferenuValue">
    <w:name w:val="FINMA ReferenuValue"/>
    <w:basedOn w:val="Normal"/>
    <w:rsid w:val="00D87DBC"/>
    <w:rPr>
      <w:sz w:val="16"/>
    </w:rPr>
  </w:style>
  <w:style w:type="paragraph" w:customStyle="1" w:styleId="FINMAReferenz">
    <w:name w:val="FINMA Referenz"/>
    <w:basedOn w:val="Normal"/>
    <w:rsid w:val="00D87DBC"/>
    <w:pPr>
      <w:framePr w:w="9171" w:h="1654" w:hSpace="142" w:wrap="around" w:vAnchor="text" w:hAnchor="page" w:x="1730" w:y="3034" w:anchorLock="1"/>
      <w:tabs>
        <w:tab w:val="left" w:pos="1276"/>
      </w:tabs>
    </w:pPr>
    <w:rPr>
      <w:sz w:val="16"/>
    </w:rPr>
  </w:style>
  <w:style w:type="paragraph" w:customStyle="1" w:styleId="FINMARf-Aktnr">
    <w:name w:val="FINMA Rf-Akt.nr."/>
    <w:basedOn w:val="FINMAReferenz"/>
    <w:next w:val="Normal"/>
    <w:rsid w:val="00D87DBC"/>
    <w:pPr>
      <w:framePr w:wrap="around"/>
    </w:pPr>
  </w:style>
  <w:style w:type="character" w:customStyle="1" w:styleId="FINMARf-AktnrZchn">
    <w:name w:val="FINMA Rf-Akt.nr. Zchn"/>
    <w:basedOn w:val="Policepardfaut"/>
    <w:rsid w:val="00D87DBC"/>
    <w:rPr>
      <w:rFonts w:ascii="Arial" w:hAnsi="Arial"/>
      <w:sz w:val="16"/>
      <w:szCs w:val="16"/>
      <w:lang w:val="de-CH" w:eastAsia="de-CH" w:bidi="de-CH"/>
    </w:rPr>
  </w:style>
  <w:style w:type="paragraph" w:customStyle="1" w:styleId="FINMAStandardAbsatznachAufzzeichen">
    <w:name w:val="FINMA Standard Absatz nach Aufz.zeichen"/>
    <w:basedOn w:val="FINMAStandardAbsatz"/>
    <w:next w:val="FINMAStandardAbsatz"/>
    <w:rsid w:val="00D87DBC"/>
  </w:style>
  <w:style w:type="paragraph" w:customStyle="1" w:styleId="FINMATabellemitAufzzeichen">
    <w:name w:val="FINMA Tabelle mit Aufz.zeichen"/>
    <w:basedOn w:val="Normal"/>
    <w:rsid w:val="00D87DBC"/>
    <w:pPr>
      <w:tabs>
        <w:tab w:val="num" w:pos="360"/>
      </w:tabs>
      <w:spacing w:before="60" w:after="60"/>
      <w:ind w:left="360" w:hanging="360"/>
    </w:pPr>
    <w:rPr>
      <w:rFonts w:cs="Arial"/>
      <w:szCs w:val="24"/>
    </w:rPr>
  </w:style>
  <w:style w:type="paragraph" w:customStyle="1" w:styleId="FINMATabelleohneAufzzeichen">
    <w:name w:val="FINMA Tabelle ohne Aufz.zeichen"/>
    <w:basedOn w:val="Normal"/>
    <w:rsid w:val="00D87DBC"/>
    <w:pPr>
      <w:widowControl w:val="0"/>
      <w:spacing w:before="60" w:after="60"/>
    </w:pPr>
    <w:rPr>
      <w:rFonts w:cs="Arial"/>
    </w:rPr>
  </w:style>
  <w:style w:type="paragraph" w:customStyle="1" w:styleId="FINMATabelleTitel">
    <w:name w:val="FINMA Tabelle Titel"/>
    <w:basedOn w:val="Normal"/>
    <w:next w:val="FINMATabellemitAufzzeichen"/>
    <w:rsid w:val="00D87DBC"/>
    <w:pPr>
      <w:spacing w:before="60" w:after="60"/>
    </w:pPr>
    <w:rPr>
      <w:b/>
      <w:bCs/>
      <w:szCs w:val="24"/>
    </w:rPr>
  </w:style>
  <w:style w:type="paragraph" w:customStyle="1" w:styleId="FINMATitel">
    <w:name w:val="FINMA Titel"/>
    <w:basedOn w:val="FINMAStandardAbsatz"/>
    <w:rsid w:val="001749D6"/>
    <w:rPr>
      <w:sz w:val="40"/>
    </w:rPr>
  </w:style>
  <w:style w:type="paragraph" w:customStyle="1" w:styleId="FINMAUntertitel">
    <w:name w:val="FINMA Untertitel"/>
    <w:basedOn w:val="Salutations"/>
    <w:rsid w:val="003E231A"/>
    <w:rPr>
      <w:sz w:val="36"/>
    </w:rPr>
  </w:style>
  <w:style w:type="paragraph" w:customStyle="1" w:styleId="FINMAVertraulichkeitsvermerk">
    <w:name w:val="FINMA Vertraulichkeitsvermerk"/>
    <w:basedOn w:val="Normal"/>
    <w:qFormat/>
    <w:rsid w:val="00D87DBC"/>
    <w:rPr>
      <w:b/>
      <w:sz w:val="16"/>
    </w:rPr>
  </w:style>
  <w:style w:type="paragraph" w:styleId="Pieddepage">
    <w:name w:val="footer"/>
    <w:aliases w:val="FINMA Fußzeile"/>
    <w:basedOn w:val="Normal"/>
    <w:link w:val="PieddepageCar"/>
    <w:uiPriority w:val="99"/>
    <w:rsid w:val="00D87DBC"/>
    <w:pPr>
      <w:tabs>
        <w:tab w:val="right" w:pos="8618"/>
      </w:tabs>
    </w:pPr>
    <w:rPr>
      <w:sz w:val="16"/>
    </w:rPr>
  </w:style>
  <w:style w:type="character" w:customStyle="1" w:styleId="PieddepageCar">
    <w:name w:val="Pied de page Car"/>
    <w:aliases w:val="FINMA Fußzeile Car"/>
    <w:basedOn w:val="Policepardfaut"/>
    <w:link w:val="Pieddepage"/>
    <w:uiPriority w:val="99"/>
    <w:rsid w:val="00D87DBC"/>
    <w:rPr>
      <w:rFonts w:ascii="Arial" w:hAnsi="Arial"/>
      <w:sz w:val="16"/>
      <w:lang w:eastAsia="de-CH"/>
    </w:rPr>
  </w:style>
  <w:style w:type="paragraph" w:styleId="En-tte">
    <w:name w:val="header"/>
    <w:aliases w:val="FINMA Kopfzeile"/>
    <w:basedOn w:val="Normal"/>
    <w:link w:val="En-tteCar"/>
    <w:uiPriority w:val="99"/>
    <w:rsid w:val="00D87DBC"/>
    <w:pPr>
      <w:tabs>
        <w:tab w:val="center" w:pos="4536"/>
        <w:tab w:val="right" w:pos="9072"/>
      </w:tabs>
    </w:pPr>
  </w:style>
  <w:style w:type="character" w:customStyle="1" w:styleId="En-tteCar">
    <w:name w:val="En-tête Car"/>
    <w:aliases w:val="FINMA Kopfzeile Car"/>
    <w:basedOn w:val="Policepardfaut"/>
    <w:link w:val="En-tte"/>
    <w:uiPriority w:val="99"/>
    <w:rsid w:val="00D87DBC"/>
    <w:rPr>
      <w:rFonts w:ascii="Arial" w:hAnsi="Arial"/>
      <w:sz w:val="22"/>
      <w:lang w:eastAsia="de-CH"/>
    </w:rPr>
  </w:style>
  <w:style w:type="paragraph" w:styleId="TM1">
    <w:name w:val="toc 1"/>
    <w:basedOn w:val="Normal"/>
    <w:next w:val="Normal"/>
    <w:autoRedefine/>
    <w:rsid w:val="00D87DBC"/>
    <w:pPr>
      <w:tabs>
        <w:tab w:val="left" w:pos="360"/>
        <w:tab w:val="right" w:leader="dot" w:pos="8280"/>
      </w:tabs>
      <w:spacing w:before="480" w:after="240"/>
      <w:ind w:left="357" w:right="822" w:hanging="357"/>
    </w:pPr>
    <w:rPr>
      <w:rFonts w:cs="Arial"/>
      <w:b/>
      <w:bCs/>
      <w:noProof/>
      <w:szCs w:val="22"/>
    </w:rPr>
  </w:style>
  <w:style w:type="paragraph" w:styleId="TM2">
    <w:name w:val="toc 2"/>
    <w:basedOn w:val="Normal"/>
    <w:next w:val="FINMAStandardAbsatz"/>
    <w:autoRedefine/>
    <w:rsid w:val="00D87DBC"/>
    <w:pPr>
      <w:tabs>
        <w:tab w:val="left" w:pos="900"/>
        <w:tab w:val="right" w:leader="dot" w:pos="8278"/>
      </w:tabs>
      <w:spacing w:after="120"/>
      <w:ind w:left="896" w:right="822" w:hanging="561"/>
    </w:pPr>
    <w:rPr>
      <w:rFonts w:cs="Arial"/>
      <w:iCs/>
      <w:noProof/>
    </w:rPr>
  </w:style>
  <w:style w:type="paragraph" w:styleId="TM3">
    <w:name w:val="toc 3"/>
    <w:basedOn w:val="Normal"/>
    <w:next w:val="FINMAStandardAbsatz"/>
    <w:autoRedefine/>
    <w:rsid w:val="00D87DBC"/>
    <w:pPr>
      <w:tabs>
        <w:tab w:val="left" w:pos="1980"/>
        <w:tab w:val="right" w:leader="dot" w:pos="8278"/>
      </w:tabs>
      <w:spacing w:after="120"/>
      <w:ind w:left="1979" w:right="822" w:hanging="1077"/>
    </w:pPr>
    <w:rPr>
      <w:rFonts w:cs="Arial"/>
    </w:rPr>
  </w:style>
  <w:style w:type="paragraph" w:styleId="TM4">
    <w:name w:val="toc 4"/>
    <w:basedOn w:val="Normal"/>
    <w:next w:val="FINMAStandardAbsatz"/>
    <w:autoRedefine/>
    <w:rsid w:val="00D87DBC"/>
    <w:pPr>
      <w:tabs>
        <w:tab w:val="left" w:pos="1980"/>
        <w:tab w:val="right" w:leader="dot" w:pos="8278"/>
      </w:tabs>
      <w:spacing w:after="120"/>
      <w:ind w:left="1979" w:right="822" w:hanging="1077"/>
    </w:pPr>
    <w:rPr>
      <w:rFonts w:cs="Arial"/>
    </w:rPr>
  </w:style>
  <w:style w:type="paragraph" w:styleId="TM5">
    <w:name w:val="toc 5"/>
    <w:basedOn w:val="Normal"/>
    <w:next w:val="FINMAStandardAbsatz"/>
    <w:autoRedefine/>
    <w:rsid w:val="00D87DBC"/>
    <w:pPr>
      <w:tabs>
        <w:tab w:val="left" w:pos="1980"/>
        <w:tab w:val="right" w:leader="dot" w:pos="8278"/>
      </w:tabs>
      <w:spacing w:after="120"/>
      <w:ind w:left="1979" w:right="822" w:hanging="1100"/>
    </w:pPr>
  </w:style>
  <w:style w:type="paragraph" w:styleId="TM6">
    <w:name w:val="toc 6"/>
    <w:basedOn w:val="Normal"/>
    <w:next w:val="FINMAStandardAbsatz"/>
    <w:autoRedefine/>
    <w:rsid w:val="00D87DBC"/>
    <w:pPr>
      <w:tabs>
        <w:tab w:val="left" w:pos="1980"/>
        <w:tab w:val="right" w:leader="dot" w:pos="8273"/>
      </w:tabs>
      <w:spacing w:after="120"/>
      <w:ind w:left="1979" w:right="822" w:hanging="1072"/>
    </w:pPr>
    <w:rPr>
      <w:rFonts w:cs="Arial"/>
      <w:noProof/>
    </w:rPr>
  </w:style>
  <w:style w:type="paragraph" w:styleId="TM7">
    <w:name w:val="toc 7"/>
    <w:basedOn w:val="Normal"/>
    <w:next w:val="FINMAStandardAbsatz"/>
    <w:autoRedefine/>
    <w:rsid w:val="00D87DBC"/>
    <w:pPr>
      <w:tabs>
        <w:tab w:val="left" w:pos="2520"/>
        <w:tab w:val="right" w:leader="dot" w:pos="8278"/>
      </w:tabs>
      <w:spacing w:after="120"/>
      <w:ind w:left="2524" w:right="822" w:hanging="1622"/>
    </w:pPr>
    <w:rPr>
      <w:rFonts w:cs="Arial"/>
    </w:rPr>
  </w:style>
  <w:style w:type="paragraph" w:styleId="TM8">
    <w:name w:val="toc 8"/>
    <w:basedOn w:val="Normal"/>
    <w:next w:val="Normal"/>
    <w:autoRedefine/>
    <w:rsid w:val="00D87DBC"/>
    <w:pPr>
      <w:tabs>
        <w:tab w:val="left" w:pos="2520"/>
        <w:tab w:val="right" w:leader="dot" w:pos="8278"/>
      </w:tabs>
      <w:spacing w:after="120"/>
      <w:ind w:left="2524" w:right="822" w:hanging="1622"/>
    </w:pPr>
    <w:rPr>
      <w:rFonts w:cs="Arial"/>
    </w:rPr>
  </w:style>
  <w:style w:type="paragraph" w:styleId="TM9">
    <w:name w:val="toc 9"/>
    <w:basedOn w:val="Normal"/>
    <w:next w:val="FINMAStandardAbsatz"/>
    <w:autoRedefine/>
    <w:rsid w:val="00D87DBC"/>
    <w:pPr>
      <w:tabs>
        <w:tab w:val="left" w:pos="2520"/>
        <w:tab w:val="right" w:leader="dot" w:pos="8278"/>
      </w:tabs>
      <w:spacing w:after="120"/>
      <w:ind w:left="2524" w:right="822" w:hanging="1622"/>
    </w:pPr>
    <w:rPr>
      <w:rFonts w:cs="Arial"/>
    </w:rPr>
  </w:style>
  <w:style w:type="paragraph" w:customStyle="1" w:styleId="FINMAGliederungEbene5">
    <w:name w:val="FINMA Gliederung Ebene 5"/>
    <w:basedOn w:val="Normal"/>
    <w:rsid w:val="00CC3C9E"/>
    <w:pPr>
      <w:numPr>
        <w:numId w:val="7"/>
      </w:numPr>
      <w:tabs>
        <w:tab w:val="left" w:pos="1004"/>
      </w:tabs>
      <w:spacing w:after="80" w:line="240" w:lineRule="auto"/>
      <w:outlineLvl w:val="4"/>
    </w:pPr>
    <w:rPr>
      <w:szCs w:val="16"/>
    </w:rPr>
  </w:style>
  <w:style w:type="paragraph" w:styleId="Textedebulles">
    <w:name w:val="Balloon Text"/>
    <w:basedOn w:val="Normal"/>
    <w:link w:val="TextedebullesCar"/>
    <w:rsid w:val="00413E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13E4A"/>
    <w:rPr>
      <w:rFonts w:ascii="Tahoma" w:hAnsi="Tahoma" w:cs="Tahoma"/>
      <w:sz w:val="16"/>
      <w:szCs w:val="16"/>
      <w:lang w:val="de-CH" w:eastAsia="de-CH"/>
    </w:rPr>
  </w:style>
  <w:style w:type="table" w:styleId="Grilledutableau">
    <w:name w:val="Table Grid"/>
    <w:basedOn w:val="TableauNormal"/>
    <w:uiPriority w:val="59"/>
    <w:rsid w:val="008D11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INMAMarginalDocvalue">
    <w:name w:val="FINMA Marginal Docvalue"/>
    <w:basedOn w:val="En-tte"/>
    <w:rsid w:val="00D81961"/>
    <w:pPr>
      <w:framePr w:w="2835" w:wrap="around" w:vAnchor="page" w:hAnchor="page" w:xAlign="right" w:y="1419" w:anchorLock="1"/>
      <w:spacing w:after="120" w:line="180" w:lineRule="exact"/>
    </w:pPr>
    <w:rPr>
      <w:sz w:val="15"/>
    </w:rPr>
  </w:style>
  <w:style w:type="paragraph" w:customStyle="1" w:styleId="TabellenTextBlocksatz">
    <w:name w:val="Tabellen Text Blocksatz"/>
    <w:basedOn w:val="Normal"/>
    <w:qFormat/>
    <w:rsid w:val="003A46E8"/>
    <w:pPr>
      <w:widowControl w:val="0"/>
      <w:spacing w:before="40" w:after="40" w:line="240" w:lineRule="auto"/>
      <w:jc w:val="both"/>
    </w:pPr>
    <w:rPr>
      <w:rFonts w:ascii="Univers 45 Light" w:eastAsiaTheme="minorEastAsia" w:hAnsi="Univers 45 Light" w:cstheme="minorBidi"/>
      <w:szCs w:val="22"/>
    </w:rPr>
  </w:style>
  <w:style w:type="paragraph" w:styleId="Paragraphedeliste">
    <w:name w:val="List Paragraph"/>
    <w:basedOn w:val="Normal"/>
    <w:uiPriority w:val="34"/>
    <w:qFormat/>
    <w:rsid w:val="003A46E8"/>
    <w:pPr>
      <w:spacing w:before="60" w:after="60" w:line="276" w:lineRule="auto"/>
      <w:ind w:left="720"/>
      <w:contextualSpacing/>
    </w:pPr>
    <w:rPr>
      <w:rFonts w:eastAsiaTheme="minorHAnsi" w:cstheme="minorBidi"/>
      <w:szCs w:val="22"/>
    </w:rPr>
  </w:style>
  <w:style w:type="paragraph" w:styleId="Notedebasdepage">
    <w:name w:val="footnote text"/>
    <w:basedOn w:val="Normal"/>
    <w:link w:val="NotedebasdepageCar"/>
    <w:uiPriority w:val="99"/>
    <w:unhideWhenUsed/>
    <w:rsid w:val="003A46E8"/>
    <w:pPr>
      <w:spacing w:line="240" w:lineRule="auto"/>
    </w:pPr>
    <w:rPr>
      <w:rFonts w:eastAsiaTheme="minorHAnsi" w:cstheme="minorBidi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A46E8"/>
    <w:rPr>
      <w:rFonts w:ascii="Arial" w:eastAsiaTheme="minorHAnsi" w:hAnsi="Arial" w:cstheme="minorBidi"/>
      <w:lang w:eastAsia="de-CH"/>
    </w:rPr>
  </w:style>
  <w:style w:type="character" w:styleId="Appelnotedebasdep">
    <w:name w:val="footnote reference"/>
    <w:basedOn w:val="Policepardfaut"/>
    <w:uiPriority w:val="99"/>
    <w:semiHidden/>
    <w:unhideWhenUsed/>
    <w:rsid w:val="003A46E8"/>
    <w:rPr>
      <w:vertAlign w:val="superscript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customStyle="1" w:styleId="Bullet">
    <w:name w:val="Bullet"/>
    <w:basedOn w:val="Paragraphedeliste"/>
    <w:qFormat/>
    <w:rsid w:val="003A46E8"/>
    <w:pPr>
      <w:numPr>
        <w:numId w:val="10"/>
      </w:numPr>
      <w:spacing w:line="240" w:lineRule="auto"/>
      <w:contextualSpacing w:val="0"/>
    </w:pPr>
    <w:rPr>
      <w:rFonts w:cs="Arial"/>
      <w:sz w:val="16"/>
      <w:szCs w:val="16"/>
    </w:rPr>
  </w:style>
  <w:style w:type="numbering" w:customStyle="1" w:styleId="ListePP">
    <w:name w:val="Liste PP"/>
    <w:uiPriority w:val="99"/>
    <w:rsid w:val="00FE7FD5"/>
    <w:pPr>
      <w:numPr>
        <w:numId w:val="12"/>
      </w:numPr>
    </w:pPr>
  </w:style>
  <w:style w:type="paragraph" w:styleId="Commentaire">
    <w:name w:val="annotation text"/>
    <w:link w:val="CommentaireCar"/>
    <w:semiHidden/>
    <w:unhideWhenUsed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7B5F42"/>
    <w:rPr>
      <w:rFonts w:ascii="Arial" w:hAnsi="Arial"/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7B5F42"/>
  </w:style>
  <w:style w:type="character" w:customStyle="1" w:styleId="ObjetducommentaireCar">
    <w:name w:val="Objet du commentaire Car"/>
    <w:basedOn w:val="CommentaireCar"/>
    <w:link w:val="Objetducommentaire"/>
    <w:semiHidden/>
    <w:rsid w:val="007B5F42"/>
    <w:rPr>
      <w:rFonts w:ascii="Arial" w:hAnsi="Arial"/>
      <w:b/>
      <w:bCs/>
    </w:rPr>
  </w:style>
  <w:style w:type="paragraph" w:styleId="Rvision">
    <w:name w:val="Revision"/>
    <w:hidden/>
    <w:uiPriority w:val="99"/>
    <w:semiHidden/>
    <w:rsid w:val="007B5F4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Dok Document" ma:contentTypeID="0x0101003A499141982C43AFAF241BDE541C18D50000519DF5795C73439C3BCF439616D716" ma:contentTypeVersion="18" ma:contentTypeDescription="Create a new document." ma:contentTypeScope="" ma:versionID="5c381630b871acccce22cacbe09e4f12">
  <xsd:schema xmlns:xsd="http://www.w3.org/2001/XMLSchema" xmlns:xs="http://www.w3.org/2001/XMLSchema" xmlns:p="http://schemas.microsoft.com/office/2006/metadata/properties" xmlns:ns2="6a69bcf4-53cf-403b-9048-936b1531f1ad" targetNamespace="http://schemas.microsoft.com/office/2006/metadata/properties" ma:root="true" ma:fieldsID="61a41c9784fa14edb8dbfd47816df8c4" ns2:_="">
    <xsd:import namespace="6a69bcf4-53cf-403b-9048-936b1531f1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FinmaDocumentDate" minOccurs="0"/>
                <xsd:element ref="ns2:FinmaCaseDescription" minOccurs="0"/>
                <xsd:element ref="ns2:f6ac7f7711e24d149a1ab98f6cfad432" minOccurs="0"/>
                <xsd:element ref="ns2:TaxCatchAll" minOccurs="0"/>
                <xsd:element ref="ns2:TaxCatchAllLabel" minOccurs="0"/>
                <xsd:element ref="ns2:FinmaCaseID" minOccurs="0"/>
                <xsd:element ref="ns2:g1c9cab47ab34847b4ac830bba5063b0" minOccurs="0"/>
                <xsd:element ref="ns2:h5452bf913d342ef967d06fb0970c0a5" minOccurs="0"/>
                <xsd:element ref="ns2:n1f5c6536ac648a38ad663cdf8bd44e6" minOccurs="0"/>
                <xsd:element ref="ns2:FinmaPasswordProtected" minOccurs="0"/>
                <xsd:element ref="ns2:FinmaValidationDate" minOccurs="0"/>
                <xsd:element ref="ns2:FinmaValidationResult" minOccurs="0"/>
                <xsd:element ref="ns2:FinmaObjectId" minOccurs="0"/>
                <xsd:element ref="ns2:FinmaObjectName" minOccurs="0"/>
                <xsd:element ref="ns2:Aktionsw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9bcf4-53cf-403b-9048-936b1531f1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nmaDocumentDate" ma:index="11" nillable="true" ma:displayName="Dokument Datum" ma:format="DateOnly" ma:internalName="FinmaDocumentDate">
      <xsd:simpleType>
        <xsd:restriction base="dms:DateTime"/>
      </xsd:simpleType>
    </xsd:element>
    <xsd:element name="FinmaCaseDescription" ma:index="12" nillable="true" ma:displayName="Geschäfts Bezeichnung" ma:default="Prüfpunkte (G01315675)" ma:internalName="FinmaCaseDescription">
      <xsd:simpleType>
        <xsd:restriction base="dms:Text">
          <xsd:maxLength value="255"/>
        </xsd:restriction>
      </xsd:simpleType>
    </xsd:element>
    <xsd:element name="f6ac7f7711e24d149a1ab98f6cfad432" ma:index="13" nillable="true" ma:taxonomy="true" ma:internalName="f6ac7f7711e24d149a1ab98f6cfad432" ma:taxonomyFieldName="FinmaCaseStatus" ma:displayName="Geschäfts Status" ma:default="1;#Aktiv|7439e81f-a110-4e88-a7af-acf8d4806223" ma:fieldId="{f6ac7f77-11e2-4d14-9a1a-b98f6cfad432}" ma:sspId="1614e331-078d-4830-aac2-889f77d1de05" ma:termSetId="fbd22871-fe11-4cfd-b99d-0f5fc7eae3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11d897c7-6512-47f2-a160-da422b0663e8}" ma:internalName="TaxCatchAll" ma:showField="CatchAllData" ma:web="6a69bcf4-53cf-403b-9048-936b1531f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11d897c7-6512-47f2-a160-da422b0663e8}" ma:internalName="TaxCatchAllLabel" ma:readOnly="true" ma:showField="CatchAllDataLabel" ma:web="6a69bcf4-53cf-403b-9048-936b1531f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nmaCaseID" ma:index="17" nillable="true" ma:displayName="Geschäfts ID" ma:default="G01315675" ma:internalName="FinmaCaseID">
      <xsd:simpleType>
        <xsd:restriction base="dms:Text">
          <xsd:maxLength value="255"/>
        </xsd:restriction>
      </xsd:simpleType>
    </xsd:element>
    <xsd:element name="g1c9cab47ab34847b4ac830bba5063b0" ma:index="18" nillable="true" ma:taxonomy="true" ma:internalName="g1c9cab47ab34847b4ac830bba5063b0" ma:taxonomyFieldName="FinmaCatchphrases" ma:displayName="Schlagwort" ma:fieldId="{01c9cab4-7ab3-4847-b4ac-830bba5063b0}" ma:taxonomyMulti="true" ma:sspId="1614e331-078d-4830-aac2-889f77d1de05" ma:termSetId="35ed469d-bfb4-4e58-83fd-01918edae1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452bf913d342ef967d06fb0970c0a5" ma:index="20" nillable="true" ma:taxonomy="true" ma:internalName="h5452bf913d342ef967d06fb0970c0a5" ma:taxonomyFieldName="FinmaCategory" ma:displayName="Kategorie" ma:fieldId="{15452bf9-13d3-42ef-967d-06fb0970c0a5}" ma:sspId="1614e331-078d-4830-aac2-889f77d1de05" ma:termSetId="76a2fa96-3e9b-4d62-901d-d1895154867f" ma:anchorId="de8e377e-5092-4bcb-9739-6ef0d154a6b9" ma:open="false" ma:isKeyword="false">
      <xsd:complexType>
        <xsd:sequence>
          <xsd:element ref="pc:Terms" minOccurs="0" maxOccurs="1"/>
        </xsd:sequence>
      </xsd:complexType>
    </xsd:element>
    <xsd:element name="n1f5c6536ac648a38ad663cdf8bd44e6" ma:index="22" nillable="true" ma:taxonomy="true" ma:internalName="n1f5c6536ac648a38ad663cdf8bd44e6" ma:taxonomyFieldName="FinmaCrmEntityIDs" ma:displayName="CRM Verknüpfung IDs" ma:fieldId="{71f5c653-6ac6-48a3-8ad6-63cdf8bd44e6}" ma:taxonomyMulti="true" ma:sspId="1614e331-078d-4830-aac2-889f77d1de05" ma:termSetId="82dd8aca-48d0-4b35-8214-4412d12ff6a5" ma:anchorId="014b0467-8825-4d4f-8a01-d04ca28bebe8" ma:open="false" ma:isKeyword="false">
      <xsd:complexType>
        <xsd:sequence>
          <xsd:element ref="pc:Terms" minOccurs="0" maxOccurs="1"/>
        </xsd:sequence>
      </xsd:complexType>
    </xsd:element>
    <xsd:element name="FinmaPasswordProtected" ma:index="24" nillable="true" ma:displayName="Passwortgeschützt" ma:internalName="FinmaPasswordProtected">
      <xsd:simpleType>
        <xsd:restriction base="dms:Boolean"/>
      </xsd:simpleType>
    </xsd:element>
    <xsd:element name="FinmaValidationDate" ma:index="25" nillable="true" ma:displayName="Prüfzeitpunkt" ma:format="DateTime" ma:internalName="FinmaValidationDate">
      <xsd:simpleType>
        <xsd:restriction base="dms:DateTime"/>
      </xsd:simpleType>
    </xsd:element>
    <xsd:element name="FinmaValidationResult" ma:index="27" nillable="true" ma:displayName="ValidationResults" ma:internalName="FinmaValidationResult">
      <xsd:simpleType>
        <xsd:restriction base="dms:Note">
          <xsd:maxLength value="255"/>
        </xsd:restriction>
      </xsd:simpleType>
    </xsd:element>
    <xsd:element name="FinmaObjectId" ma:index="28" nillable="true" ma:displayName="Finma Objekt ID" ma:default="F00164912" ma:internalName="FinmaObjectId">
      <xsd:simpleType>
        <xsd:restriction base="dms:Text">
          <xsd:maxLength value="255"/>
        </xsd:restriction>
      </xsd:simpleType>
    </xsd:element>
    <xsd:element name="FinmaObjectName" ma:index="29" nillable="true" ma:displayName="Finma Objekt Bezeichnung" ma:default="Eidgenössische Finanzmarktaufsicht FINMA (F00164912)" ma:internalName="FinmaObjectName">
      <xsd:simpleType>
        <xsd:restriction base="dms:Text">
          <xsd:maxLength value="255"/>
        </xsd:restriction>
      </xsd:simpleType>
    </xsd:element>
    <xsd:element name="Aktionswert" ma:index="30" nillable="true" ma:displayName="Aktionswert" ma:hidden="true" ma:internalName="Aktionswert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maDocumentDate xmlns="6a69bcf4-53cf-403b-9048-936b1531f1ad">2021-03-10T23:00:00+00:00</FinmaDocumentDate>
    <g1c9cab47ab34847b4ac830bba5063b0 xmlns="6a69bcf4-53cf-403b-9048-936b1531f1ad">
      <Terms xmlns="http://schemas.microsoft.com/office/infopath/2007/PartnerControls"/>
    </g1c9cab47ab34847b4ac830bba5063b0>
    <FinmaPasswordProtected xmlns="6a69bcf4-53cf-403b-9048-936b1531f1ad">false</FinmaPasswordProtected>
    <FinmaObjectId xmlns="6a69bcf4-53cf-403b-9048-936b1531f1ad">F00164912</FinmaObjectId>
    <TaxCatchAll xmlns="6a69bcf4-53cf-403b-9048-936b1531f1ad">
      <Value>1</Value>
      <Value>288</Value>
    </TaxCatchAll>
    <FinmaCaseDescription xmlns="6a69bcf4-53cf-403b-9048-936b1531f1ad">Prüfpunkte (G01315675)</FinmaCaseDescription>
    <n1f5c6536ac648a38ad663cdf8bd44e6 xmlns="6a69bcf4-53cf-403b-9048-936b1531f1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A0000409106</TermName>
          <TermId xmlns="http://schemas.microsoft.com/office/infopath/2007/PartnerControls">6c94845e-f4f9-4a58-96ac-86de88a47547</TermId>
        </TermInfo>
        <TermInfo xmlns="http://schemas.microsoft.com/office/infopath/2007/PartnerControls">
          <TermName xmlns="http://schemas.microsoft.com/office/infopath/2007/PartnerControls">A0000409106</TermName>
          <TermId xmlns="http://schemas.microsoft.com/office/infopath/2007/PartnerControls">6c94845e-f4f9-4a58-96ac-86de88a47547</TermId>
        </TermInfo>
      </Terms>
    </n1f5c6536ac648a38ad663cdf8bd44e6>
    <f6ac7f7711e24d149a1ab98f6cfad432 xmlns="6a69bcf4-53cf-403b-9048-936b1531f1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Aktiv</TermName>
          <TermId xmlns="http://schemas.microsoft.com/office/infopath/2007/PartnerControls">7439e81f-a110-4e88-a7af-acf8d4806223</TermId>
        </TermInfo>
      </Terms>
    </f6ac7f7711e24d149a1ab98f6cfad432>
    <FinmaValidationDate xmlns="6a69bcf4-53cf-403b-9048-936b1531f1ad">2025-03-04T17:12:03+00:00</FinmaValidationDate>
    <Aktionswert xmlns="6a69bcf4-53cf-403b-9048-936b1531f1ad" xsi:nil="true"/>
    <FinmaObjectName xmlns="6a69bcf4-53cf-403b-9048-936b1531f1ad">Eidgenössische Finanzmarktaufsicht FINMA (F00164912)</FinmaObjectName>
    <FinmaValidationResult xmlns="6a69bcf4-53cf-403b-9048-936b1531f1ad" xsi:nil="true"/>
    <FinmaCaseID xmlns="6a69bcf4-53cf-403b-9048-936b1531f1ad">G01315675</FinmaCaseID>
    <h5452bf913d342ef967d06fb0970c0a5 xmlns="6a69bcf4-53cf-403b-9048-936b1531f1ad">
      <Terms xmlns="http://schemas.microsoft.com/office/infopath/2007/PartnerControls"/>
    </h5452bf913d342ef967d06fb0970c0a5>
    <_dlc_DocId xmlns="6a69bcf4-53cf-403b-9048-936b1531f1ad">G01315675-000157</_dlc_DocId>
    <_dlc_DocIdUrl xmlns="6a69bcf4-53cf-403b-9048-936b1531f1ad">
      <Url>https://gdok.finma.ch/container/1446/_layouts/15/DocIdRedir.aspx?ID=G01315675-000157</Url>
      <Description>G01315675-000157</Description>
    </_dlc_DocIdUrl>
  </documentManagement>
</p:properties>
</file>

<file path=customXml/itemProps1.xml><?xml version="1.0" encoding="utf-8"?>
<ds:datastoreItem xmlns:ds="http://schemas.openxmlformats.org/officeDocument/2006/customXml" ds:itemID="{5E6FD335-11AC-4BDD-B78A-9F8A58D8420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2CE4C15-1DF6-4C0A-A3EB-1EFBB7C953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9272B-66EC-45C3-934B-1ABDCAE3B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9bcf4-53cf-403b-9048-936b1531f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5B8DFA-E3F4-4331-8D66-E07972D054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2D75F26-2EBE-4A4C-8004-AB91B5F67C42}">
  <ds:schemaRefs>
    <ds:schemaRef ds:uri="http://schemas.microsoft.com/office/2006/documentManagement/types"/>
    <ds:schemaRef ds:uri="http://schemas.microsoft.com/office/infopath/2007/PartnerControls"/>
    <ds:schemaRef ds:uri="6a69bcf4-53cf-403b-9048-936b1531f1a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8</ap:Pages>
  <ap:Words>1790</ap:Words>
  <ap:Characters>11282</ap:Characters>
  <ap:DocSecurity>0</ap:DocSecurity>
  <ap:Lines>94</ap:Lines>
  <ap:Paragraphs>26</ap:Paragraphs>
  <ap:ScaleCrop>false</ap:ScaleCrop>
  <ap:HeadingPairs>
    <vt:vector baseType="variant" size="4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13046</ap:CharactersWithSpaces>
  <ap:SharedDoc>false</ap:SharedDoc>
  <ap:HyperlinksChanged>false</ap:HyperlinksChanged>
  <ap:AppVersion>16.0000</ap:AppVersion>
  <ap:Company/>
  <ap:Manager/>
  <ap:HyperlinkBase/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dcterms:created xsi:type="dcterms:W3CDTF">2025-03-04T16:20:00.0000000Z</dcterms:created>
  <dcterms:modified xsi:type="dcterms:W3CDTF">2025-03-24T13:49:00.0000000Z</dcterms:modified>
  <dc:subject/>
  <category/>
  <keywords/>
  <dc:description/>
  <contentType/>
  <contentStatus/>
  <version/>
  <revision/>
  <dc:language/>
  <dc:identifier/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3" name="FinmaCrmEntityIDs">
    <vt:lpwstr>288;#A0000409106|6c94845e-f4f9-4a58-96ac-86de88a47547;#288;#A0000409106|6c94845e-f4f9-4a58-96ac-86de88a47547</vt:lpwstr>
  </op:property>
  <op:property fmtid="{D5CDD505-2E9C-101B-9397-08002B2CF9AE}" pid="4" name="FinmaCatchphrases">
    <vt:lpwstr/>
  </op:property>
  <op:property fmtid="{D5CDD505-2E9C-101B-9397-08002B2CF9AE}" pid="5" name="FinmaCaseStatus">
    <vt:lpwstr>1;#Aktiv|7439e81f-a110-4e88-a7af-acf8d4806223</vt:lpwstr>
  </op:property>
  <op:property fmtid="{D5CDD505-2E9C-101B-9397-08002B2CF9AE}" pid="6" name="FinmaCategory">
    <vt:lpwstr/>
  </op:property>
  <op:property fmtid="{D5CDD505-2E9C-101B-9397-08002B2CF9AE}" pid="7" name="_dlc_DocIdItemGuid">
    <vt:lpwstr>f6a1d1ca-3e14-4b4f-955b-4319e1219efa</vt:lpwstr>
  </op:property>
</op:Properties>
</file>