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8B82" w14:textId="1D5B8B7E" w:rsidR="001B763E" w:rsidRPr="0011737B" w:rsidRDefault="0073176F">
      <w:pPr>
        <w:rPr>
          <w:rFonts w:cs="Arial"/>
          <w:b/>
          <w:bCs/>
          <w:sz w:val="28"/>
          <w:szCs w:val="28"/>
        </w:rPr>
      </w:pPr>
      <w:r>
        <w:rPr>
          <w:b/>
          <w:sz w:val="28"/>
        </w:rPr>
        <w:t xml:space="preserve">Points d’audit </w:t>
      </w:r>
      <w:r w:rsidR="00AC170F">
        <w:rPr>
          <w:b/>
          <w:sz w:val="28"/>
        </w:rPr>
        <w:t>concernant</w:t>
      </w:r>
      <w:r>
        <w:rPr>
          <w:b/>
          <w:sz w:val="28"/>
        </w:rPr>
        <w:t xml:space="preserve"> la gestion des risques des données critiques</w:t>
      </w:r>
    </w:p>
    <w:p w14:paraId="2EA5C11C" w14:textId="77777777" w:rsidR="00DB7CF3" w:rsidRPr="00EF528C" w:rsidRDefault="00DB7CF3">
      <w:pPr>
        <w:rPr>
          <w:rFonts w:cs="Arial"/>
          <w:b/>
          <w:lang w:val="fr-CH"/>
        </w:rPr>
      </w:pPr>
    </w:p>
    <w:p w14:paraId="27EE2292" w14:textId="77777777" w:rsidR="00D247FF" w:rsidRPr="0011737B" w:rsidRDefault="005D00E1">
      <w:pPr>
        <w:rPr>
          <w:rFonts w:cs="Arial"/>
          <w:b/>
          <w:bCs/>
        </w:rPr>
      </w:pPr>
      <w:r>
        <w:rPr>
          <w:b/>
        </w:rPr>
        <w:t>Vue d’ensemble</w:t>
      </w:r>
    </w:p>
    <w:tbl>
      <w:tblPr>
        <w:tblStyle w:val="Grilledutableau"/>
        <w:tblW w:w="0" w:type="auto"/>
        <w:tblInd w:w="108" w:type="dxa"/>
        <w:tblLook w:val="04A0" w:firstRow="1" w:lastRow="0" w:firstColumn="1" w:lastColumn="0" w:noHBand="0" w:noVBand="1"/>
      </w:tblPr>
      <w:tblGrid>
        <w:gridCol w:w="2656"/>
        <w:gridCol w:w="11513"/>
      </w:tblGrid>
      <w:tr w:rsidR="00123746" w:rsidRPr="00A04447" w14:paraId="03B46F4D" w14:textId="77777777" w:rsidTr="0011737B">
        <w:tc>
          <w:tcPr>
            <w:tcW w:w="2694" w:type="dxa"/>
            <w:shd w:val="clear" w:color="auto" w:fill="auto"/>
          </w:tcPr>
          <w:p w14:paraId="75B0F4E1" w14:textId="32EA9B51" w:rsidR="001B763E" w:rsidRPr="0011737B" w:rsidRDefault="001B763E">
            <w:pPr>
              <w:tabs>
                <w:tab w:val="left" w:pos="1418"/>
              </w:tabs>
              <w:rPr>
                <w:rFonts w:cs="Arial"/>
                <w:b/>
                <w:bCs/>
              </w:rPr>
            </w:pPr>
            <w:r>
              <w:rPr>
                <w:b/>
              </w:rPr>
              <w:t>Domaine d’audit :</w:t>
            </w:r>
          </w:p>
        </w:tc>
        <w:tc>
          <w:tcPr>
            <w:tcW w:w="11701" w:type="dxa"/>
            <w:shd w:val="clear" w:color="auto" w:fill="auto"/>
          </w:tcPr>
          <w:p w14:paraId="20AF64A2" w14:textId="77777777" w:rsidR="001B763E" w:rsidRPr="0011737B" w:rsidRDefault="004D6321">
            <w:pPr>
              <w:tabs>
                <w:tab w:val="left" w:pos="1859"/>
              </w:tabs>
              <w:rPr>
                <w:rFonts w:cs="Arial"/>
                <w:b/>
                <w:bCs/>
              </w:rPr>
            </w:pPr>
            <w:r>
              <w:rPr>
                <w:b/>
              </w:rPr>
              <w:t>Gestion des risques des données critiques</w:t>
            </w:r>
          </w:p>
        </w:tc>
      </w:tr>
      <w:tr w:rsidR="00123746" w:rsidRPr="00A04447" w14:paraId="704A3C75" w14:textId="77777777" w:rsidTr="0011737B">
        <w:tc>
          <w:tcPr>
            <w:tcW w:w="2694" w:type="dxa"/>
            <w:shd w:val="clear" w:color="auto" w:fill="auto"/>
          </w:tcPr>
          <w:p w14:paraId="3C1E8549" w14:textId="77777777" w:rsidR="009F7E12" w:rsidRPr="0011737B" w:rsidRDefault="009F7E12">
            <w:pPr>
              <w:tabs>
                <w:tab w:val="left" w:pos="1418"/>
              </w:tabs>
              <w:rPr>
                <w:rFonts w:cs="Arial"/>
                <w:b/>
                <w:bCs/>
              </w:rPr>
            </w:pPr>
            <w:r>
              <w:rPr>
                <w:b/>
              </w:rPr>
              <w:t>Étendue de l’audit :</w:t>
            </w:r>
          </w:p>
        </w:tc>
        <w:tc>
          <w:tcPr>
            <w:tcW w:w="11701" w:type="dxa"/>
            <w:shd w:val="clear" w:color="auto" w:fill="auto"/>
          </w:tcPr>
          <w:p w14:paraId="79EC10B7" w14:textId="77777777" w:rsidR="009F7E12" w:rsidRPr="000F1916" w:rsidRDefault="00424650">
            <w:pPr>
              <w:tabs>
                <w:tab w:val="left" w:pos="1859"/>
              </w:tabs>
              <w:rPr>
                <w:rFonts w:cs="Arial"/>
                <w:highlight w:val="yellow"/>
              </w:rPr>
            </w:pPr>
            <w:r>
              <w:rPr>
                <w:highlight w:val="yellow"/>
              </w:rPr>
              <w:t>[Audit / Revue critique]</w:t>
            </w:r>
            <w:r w:rsidR="00E97C31" w:rsidRPr="000F1916">
              <w:rPr>
                <w:rStyle w:val="Appelnotedebasdep"/>
                <w:highlight w:val="yellow"/>
                <w:lang w:val="de-CH"/>
              </w:rPr>
              <w:footnoteReference w:id="2"/>
            </w:r>
          </w:p>
        </w:tc>
      </w:tr>
      <w:tr w:rsidR="00123746" w:rsidRPr="00A04447" w14:paraId="716AD363" w14:textId="77777777" w:rsidTr="63098FDC">
        <w:tc>
          <w:tcPr>
            <w:tcW w:w="2694" w:type="dxa"/>
          </w:tcPr>
          <w:p w14:paraId="6AFE37A2" w14:textId="2F62A785" w:rsidR="00F37CB4" w:rsidRPr="0011737B" w:rsidRDefault="00AC170F">
            <w:pPr>
              <w:tabs>
                <w:tab w:val="left" w:pos="1418"/>
              </w:tabs>
              <w:rPr>
                <w:rFonts w:cs="Arial"/>
                <w:b/>
                <w:bCs/>
              </w:rPr>
            </w:pPr>
            <w:r>
              <w:rPr>
                <w:b/>
              </w:rPr>
              <w:t>Bases </w:t>
            </w:r>
            <w:r w:rsidR="00803408">
              <w:rPr>
                <w:b/>
              </w:rPr>
              <w:t>:</w:t>
            </w:r>
          </w:p>
          <w:p w14:paraId="35A927AE" w14:textId="76C1570E" w:rsidR="008F1FC1" w:rsidRPr="0011737B" w:rsidRDefault="008F1FC1">
            <w:pPr>
              <w:tabs>
                <w:tab w:val="left" w:pos="1418"/>
              </w:tabs>
              <w:rPr>
                <w:rFonts w:cs="Arial"/>
              </w:rPr>
            </w:pPr>
            <w:r>
              <w:t>(</w:t>
            </w:r>
            <w:r w:rsidR="00AC170F" w:rsidRPr="00AC170F">
              <w:t>liste non exhaustive</w:t>
            </w:r>
            <w:r>
              <w:t>)</w:t>
            </w:r>
          </w:p>
        </w:tc>
        <w:tc>
          <w:tcPr>
            <w:tcW w:w="11701" w:type="dxa"/>
          </w:tcPr>
          <w:p w14:paraId="3564125B" w14:textId="77777777" w:rsidR="00826ABE" w:rsidRPr="00A04447" w:rsidRDefault="00826ABE" w:rsidP="00826ABE">
            <w:pPr>
              <w:tabs>
                <w:tab w:val="left" w:pos="1859"/>
              </w:tabs>
            </w:pPr>
            <w:r>
              <w:t>Art. 3 al. 2 let. a de la loi sur les banques (LB)</w:t>
            </w:r>
          </w:p>
          <w:p w14:paraId="5B210639" w14:textId="77777777" w:rsidR="00826ABE" w:rsidRPr="00A04447" w:rsidRDefault="00826ABE" w:rsidP="00826ABE">
            <w:pPr>
              <w:tabs>
                <w:tab w:val="left" w:pos="1859"/>
              </w:tabs>
            </w:pPr>
            <w:r>
              <w:t>Art. 9 de la loi sur les établissements financiers (LEFin)</w:t>
            </w:r>
          </w:p>
          <w:p w14:paraId="1CF89865" w14:textId="77777777" w:rsidR="00F1099F" w:rsidRPr="00A04447" w:rsidRDefault="00FD5115" w:rsidP="00352874">
            <w:pPr>
              <w:tabs>
                <w:tab w:val="left" w:pos="1859"/>
              </w:tabs>
            </w:pPr>
            <w:r>
              <w:t>Art. 12 de l’ordonnance sur les banques (OB)</w:t>
            </w:r>
          </w:p>
          <w:p w14:paraId="07FB0C73" w14:textId="77777777" w:rsidR="00234CCB" w:rsidRPr="00A04447" w:rsidRDefault="00F6362D" w:rsidP="00826ABE">
            <w:pPr>
              <w:tabs>
                <w:tab w:val="left" w:pos="1859"/>
              </w:tabs>
            </w:pPr>
            <w:r>
              <w:t>Art. 12, 67, 68 et 73 de l’ordonnance sur les établissements financiers (OEFin)</w:t>
            </w:r>
          </w:p>
          <w:p w14:paraId="45193C44" w14:textId="77777777" w:rsidR="00D86136" w:rsidRPr="00A04447" w:rsidRDefault="00D86136" w:rsidP="00D86136">
            <w:r>
              <w:t>Art. 11 al. 4 et 15 de l’ordonnance sur l’infrastructure des marchés financiers (OIMF)</w:t>
            </w:r>
          </w:p>
          <w:p w14:paraId="7429E826" w14:textId="77777777" w:rsidR="00A54180" w:rsidRPr="00A04447" w:rsidRDefault="00332C17" w:rsidP="0075213F">
            <w:pPr>
              <w:tabs>
                <w:tab w:val="left" w:pos="1859"/>
              </w:tabs>
            </w:pPr>
            <w:r>
              <w:t xml:space="preserve">Cm 13, 50, 52, 53, 58 et 59 de la Circ.-FINMA 17/1 « Gouvernance d’entreprise – banques » </w:t>
            </w:r>
          </w:p>
          <w:p w14:paraId="06BBE5C8" w14:textId="77777777" w:rsidR="00D86136" w:rsidRPr="00A04447" w:rsidRDefault="00332C17" w:rsidP="00D86136">
            <w:pPr>
              <w:tabs>
                <w:tab w:val="left" w:pos="1859"/>
              </w:tabs>
            </w:pPr>
            <w:r>
              <w:t>Cm 71 à 82 de la Circ.-FINMA 23/1 « Risques et résilience opérationnels – banques »</w:t>
            </w:r>
          </w:p>
        </w:tc>
      </w:tr>
      <w:tr w:rsidR="00F37CB4" w:rsidRPr="00A04447" w14:paraId="22D86972" w14:textId="77777777" w:rsidTr="63098FDC">
        <w:trPr>
          <w:trHeight w:val="2160"/>
        </w:trPr>
        <w:tc>
          <w:tcPr>
            <w:tcW w:w="2694" w:type="dxa"/>
          </w:tcPr>
          <w:p w14:paraId="2A3C83D6" w14:textId="77777777" w:rsidR="00F37CB4" w:rsidRPr="0011737B" w:rsidRDefault="00F37CB4" w:rsidP="0011737B">
            <w:pPr>
              <w:tabs>
                <w:tab w:val="left" w:pos="1418"/>
              </w:tabs>
              <w:spacing w:before="120" w:after="120"/>
              <w:rPr>
                <w:rFonts w:cs="Arial"/>
                <w:b/>
                <w:bCs/>
              </w:rPr>
            </w:pPr>
            <w:r>
              <w:rPr>
                <w:b/>
              </w:rPr>
              <w:t>Visas :</w:t>
            </w:r>
          </w:p>
        </w:tc>
        <w:tc>
          <w:tcPr>
            <w:tcW w:w="11701" w:type="dxa"/>
          </w:tcPr>
          <w:p w14:paraId="6E9A80C8" w14:textId="77777777" w:rsidR="00F37CB4" w:rsidRPr="00A04447" w:rsidRDefault="00F37CB4" w:rsidP="0041269F">
            <w:pPr>
              <w:tabs>
                <w:tab w:val="left" w:pos="1859"/>
              </w:tabs>
              <w:spacing w:before="120"/>
              <w:rPr>
                <w:rFonts w:cs="Arial"/>
                <w:sz w:val="2"/>
                <w:szCs w:val="2"/>
                <w:lang w:val="de-CH"/>
              </w:rPr>
            </w:pPr>
          </w:p>
          <w:tbl>
            <w:tblPr>
              <w:tblStyle w:val="Grilledutableau"/>
              <w:tblW w:w="0" w:type="auto"/>
              <w:tblLook w:val="04A0" w:firstRow="1" w:lastRow="0" w:firstColumn="1" w:lastColumn="0" w:noHBand="0" w:noVBand="1"/>
            </w:tblPr>
            <w:tblGrid>
              <w:gridCol w:w="1982"/>
              <w:gridCol w:w="3618"/>
              <w:gridCol w:w="3480"/>
              <w:gridCol w:w="2195"/>
            </w:tblGrid>
            <w:tr w:rsidR="00123746" w:rsidRPr="00A04447" w14:paraId="0D949F9A" w14:textId="77777777" w:rsidTr="63098FDC">
              <w:tc>
                <w:tcPr>
                  <w:tcW w:w="2013" w:type="dxa"/>
                  <w:shd w:val="clear" w:color="auto" w:fill="D9D9D9" w:themeFill="background1" w:themeFillShade="D9"/>
                </w:tcPr>
                <w:p w14:paraId="384B62E8" w14:textId="77777777" w:rsidR="009F7E12" w:rsidRPr="0011737B" w:rsidRDefault="009F7E12" w:rsidP="0011737B">
                  <w:pPr>
                    <w:tabs>
                      <w:tab w:val="left" w:pos="1859"/>
                    </w:tabs>
                    <w:spacing w:before="120" w:after="120"/>
                    <w:rPr>
                      <w:rFonts w:cs="Arial"/>
                      <w:b/>
                      <w:bCs/>
                      <w:sz w:val="18"/>
                      <w:szCs w:val="18"/>
                    </w:rPr>
                  </w:pPr>
                  <w:r>
                    <w:rPr>
                      <w:b/>
                      <w:sz w:val="18"/>
                    </w:rPr>
                    <w:t>Visas :</w:t>
                  </w:r>
                </w:p>
              </w:tc>
              <w:tc>
                <w:tcPr>
                  <w:tcW w:w="3685" w:type="dxa"/>
                  <w:shd w:val="clear" w:color="auto" w:fill="D9D9D9" w:themeFill="background1" w:themeFillShade="D9"/>
                </w:tcPr>
                <w:p w14:paraId="3F1E27A3" w14:textId="77777777" w:rsidR="009F7E12" w:rsidRPr="0011737B" w:rsidRDefault="009F7E12" w:rsidP="0011737B">
                  <w:pPr>
                    <w:tabs>
                      <w:tab w:val="left" w:pos="1859"/>
                    </w:tabs>
                    <w:spacing w:before="120" w:after="120"/>
                    <w:jc w:val="center"/>
                    <w:rPr>
                      <w:rFonts w:cs="Arial"/>
                      <w:b/>
                      <w:bCs/>
                      <w:sz w:val="18"/>
                      <w:szCs w:val="18"/>
                    </w:rPr>
                  </w:pPr>
                  <w:r>
                    <w:rPr>
                      <w:b/>
                      <w:sz w:val="18"/>
                    </w:rPr>
                    <w:t>Nom :</w:t>
                  </w:r>
                </w:p>
              </w:tc>
              <w:tc>
                <w:tcPr>
                  <w:tcW w:w="3544" w:type="dxa"/>
                  <w:shd w:val="clear" w:color="auto" w:fill="D9D9D9" w:themeFill="background1" w:themeFillShade="D9"/>
                </w:tcPr>
                <w:p w14:paraId="02E36B64" w14:textId="77777777" w:rsidR="009F7E12" w:rsidRPr="0011737B" w:rsidRDefault="009F7E12" w:rsidP="0011737B">
                  <w:pPr>
                    <w:tabs>
                      <w:tab w:val="left" w:pos="1859"/>
                    </w:tabs>
                    <w:spacing w:before="120" w:after="120"/>
                    <w:jc w:val="center"/>
                    <w:rPr>
                      <w:rFonts w:cs="Arial"/>
                      <w:b/>
                      <w:bCs/>
                      <w:sz w:val="18"/>
                      <w:szCs w:val="18"/>
                    </w:rPr>
                  </w:pPr>
                  <w:r>
                    <w:rPr>
                      <w:b/>
                      <w:sz w:val="18"/>
                    </w:rPr>
                    <w:t>Fonction :</w:t>
                  </w:r>
                </w:p>
              </w:tc>
              <w:tc>
                <w:tcPr>
                  <w:tcW w:w="2228" w:type="dxa"/>
                  <w:shd w:val="clear" w:color="auto" w:fill="D9D9D9" w:themeFill="background1" w:themeFillShade="D9"/>
                </w:tcPr>
                <w:p w14:paraId="699B8044" w14:textId="77777777" w:rsidR="009F7E12" w:rsidRPr="0011737B" w:rsidRDefault="009F7E12" w:rsidP="0011737B">
                  <w:pPr>
                    <w:tabs>
                      <w:tab w:val="left" w:pos="1859"/>
                    </w:tabs>
                    <w:spacing w:before="120" w:after="120"/>
                    <w:jc w:val="center"/>
                    <w:rPr>
                      <w:rFonts w:cs="Arial"/>
                      <w:b/>
                      <w:bCs/>
                      <w:sz w:val="18"/>
                      <w:szCs w:val="18"/>
                    </w:rPr>
                  </w:pPr>
                  <w:r>
                    <w:rPr>
                      <w:b/>
                      <w:sz w:val="18"/>
                    </w:rPr>
                    <w:t>Date :</w:t>
                  </w:r>
                </w:p>
              </w:tc>
            </w:tr>
            <w:tr w:rsidR="00123746" w:rsidRPr="00A04447" w14:paraId="663A02AE" w14:textId="77777777" w:rsidTr="63098FDC">
              <w:tc>
                <w:tcPr>
                  <w:tcW w:w="2013" w:type="dxa"/>
                </w:tcPr>
                <w:p w14:paraId="19BB9AD5" w14:textId="686F2600" w:rsidR="009F7E12" w:rsidRPr="00A04447" w:rsidRDefault="009F7E12" w:rsidP="00537739">
                  <w:pPr>
                    <w:tabs>
                      <w:tab w:val="left" w:pos="1859"/>
                    </w:tabs>
                    <w:spacing w:before="120" w:after="120"/>
                    <w:rPr>
                      <w:rFonts w:cs="Arial"/>
                      <w:sz w:val="18"/>
                      <w:szCs w:val="18"/>
                    </w:rPr>
                  </w:pPr>
                  <w:r>
                    <w:rPr>
                      <w:sz w:val="18"/>
                    </w:rPr>
                    <w:t xml:space="preserve">Auditeur : </w:t>
                  </w:r>
                </w:p>
              </w:tc>
              <w:tc>
                <w:tcPr>
                  <w:tcW w:w="3685" w:type="dxa"/>
                </w:tcPr>
                <w:p w14:paraId="4D2FA695" w14:textId="77777777" w:rsidR="009F7E12" w:rsidRPr="000F1916" w:rsidRDefault="009F7E12" w:rsidP="00537739">
                  <w:pPr>
                    <w:tabs>
                      <w:tab w:val="left" w:pos="1859"/>
                    </w:tabs>
                    <w:spacing w:before="120" w:after="120"/>
                    <w:jc w:val="center"/>
                    <w:rPr>
                      <w:rFonts w:cs="Arial"/>
                      <w:sz w:val="18"/>
                      <w:szCs w:val="18"/>
                      <w:highlight w:val="yellow"/>
                    </w:rPr>
                  </w:pPr>
                  <w:r>
                    <w:rPr>
                      <w:sz w:val="18"/>
                      <w:highlight w:val="yellow"/>
                    </w:rPr>
                    <w:t>[Nom]</w:t>
                  </w:r>
                </w:p>
              </w:tc>
              <w:tc>
                <w:tcPr>
                  <w:tcW w:w="3544" w:type="dxa"/>
                </w:tcPr>
                <w:p w14:paraId="38168DBA" w14:textId="77777777" w:rsidR="009F7E12" w:rsidRPr="000F1916" w:rsidRDefault="009F7E12" w:rsidP="00537739">
                  <w:pPr>
                    <w:tabs>
                      <w:tab w:val="left" w:pos="1859"/>
                    </w:tabs>
                    <w:spacing w:before="120" w:after="120"/>
                    <w:jc w:val="center"/>
                    <w:rPr>
                      <w:rFonts w:cs="Arial"/>
                      <w:sz w:val="18"/>
                      <w:szCs w:val="18"/>
                      <w:highlight w:val="yellow"/>
                    </w:rPr>
                  </w:pPr>
                  <w:r>
                    <w:rPr>
                      <w:sz w:val="18"/>
                      <w:highlight w:val="yellow"/>
                    </w:rPr>
                    <w:t xml:space="preserve">[Assistant / </w:t>
                  </w:r>
                  <w:r>
                    <w:rPr>
                      <w:i/>
                      <w:iCs/>
                      <w:sz w:val="18"/>
                      <w:highlight w:val="yellow"/>
                    </w:rPr>
                    <w:t>Senior</w:t>
                  </w:r>
                  <w:r>
                    <w:rPr>
                      <w:sz w:val="18"/>
                      <w:highlight w:val="yellow"/>
                    </w:rPr>
                    <w:t xml:space="preserve"> / </w:t>
                  </w:r>
                  <w:r>
                    <w:rPr>
                      <w:i/>
                      <w:iCs/>
                      <w:sz w:val="18"/>
                      <w:highlight w:val="yellow"/>
                    </w:rPr>
                    <w:t>Manager</w:t>
                  </w:r>
                  <w:r>
                    <w:rPr>
                      <w:sz w:val="18"/>
                      <w:highlight w:val="yellow"/>
                    </w:rPr>
                    <w:t xml:space="preserve"> / </w:t>
                  </w:r>
                  <w:r>
                    <w:rPr>
                      <w:i/>
                      <w:iCs/>
                      <w:sz w:val="18"/>
                      <w:highlight w:val="yellow"/>
                    </w:rPr>
                    <w:t>Senior manager</w:t>
                  </w:r>
                  <w:r>
                    <w:rPr>
                      <w:sz w:val="18"/>
                      <w:highlight w:val="yellow"/>
                    </w:rPr>
                    <w:t xml:space="preserve"> / Directeur / Partenaire]</w:t>
                  </w:r>
                </w:p>
              </w:tc>
              <w:tc>
                <w:tcPr>
                  <w:tcW w:w="2228" w:type="dxa"/>
                </w:tcPr>
                <w:p w14:paraId="5447EC1D" w14:textId="7235A7B3" w:rsidR="009F7E12" w:rsidRPr="000F1916" w:rsidRDefault="009F7E12" w:rsidP="00537739">
                  <w:pPr>
                    <w:tabs>
                      <w:tab w:val="left" w:pos="1859"/>
                    </w:tabs>
                    <w:spacing w:before="120" w:after="120"/>
                    <w:jc w:val="center"/>
                    <w:rPr>
                      <w:rFonts w:cs="Arial"/>
                      <w:sz w:val="18"/>
                      <w:szCs w:val="18"/>
                      <w:highlight w:val="yellow"/>
                    </w:rPr>
                  </w:pPr>
                  <w:r>
                    <w:rPr>
                      <w:sz w:val="18"/>
                      <w:highlight w:val="yellow"/>
                    </w:rPr>
                    <w:t>[</w:t>
                  </w:r>
                  <w:r w:rsidR="00AC170F">
                    <w:rPr>
                      <w:sz w:val="18"/>
                      <w:highlight w:val="yellow"/>
                    </w:rPr>
                    <w:t>JJ</w:t>
                  </w:r>
                  <w:r>
                    <w:rPr>
                      <w:sz w:val="18"/>
                      <w:highlight w:val="yellow"/>
                    </w:rPr>
                    <w:t xml:space="preserve"> MM AAAA]</w:t>
                  </w:r>
                </w:p>
              </w:tc>
            </w:tr>
            <w:tr w:rsidR="00123746" w:rsidRPr="00A04447" w14:paraId="158CF787" w14:textId="77777777" w:rsidTr="63098FDC">
              <w:tc>
                <w:tcPr>
                  <w:tcW w:w="2013" w:type="dxa"/>
                </w:tcPr>
                <w:p w14:paraId="5A85A780" w14:textId="0F6F625C" w:rsidR="009F7E12" w:rsidRPr="00A04447" w:rsidRDefault="00E97C95" w:rsidP="00537739">
                  <w:pPr>
                    <w:tabs>
                      <w:tab w:val="left" w:pos="1859"/>
                    </w:tabs>
                    <w:spacing w:before="120" w:after="120"/>
                    <w:rPr>
                      <w:rFonts w:cs="Arial"/>
                      <w:sz w:val="18"/>
                      <w:szCs w:val="18"/>
                    </w:rPr>
                  </w:pPr>
                  <w:proofErr w:type="spellStart"/>
                  <w:r w:rsidRPr="00506C24">
                    <w:rPr>
                      <w:i/>
                      <w:iCs/>
                      <w:sz w:val="18"/>
                    </w:rPr>
                    <w:t>Reviewer</w:t>
                  </w:r>
                  <w:proofErr w:type="spellEnd"/>
                  <w:r w:rsidR="009F7E12">
                    <w:rPr>
                      <w:sz w:val="18"/>
                    </w:rPr>
                    <w:t> :</w:t>
                  </w:r>
                </w:p>
              </w:tc>
              <w:tc>
                <w:tcPr>
                  <w:tcW w:w="3685" w:type="dxa"/>
                </w:tcPr>
                <w:p w14:paraId="5477AE9E" w14:textId="77777777" w:rsidR="009F7E12" w:rsidRPr="000F1916" w:rsidRDefault="009F7E12" w:rsidP="00537739">
                  <w:pPr>
                    <w:tabs>
                      <w:tab w:val="left" w:pos="1859"/>
                    </w:tabs>
                    <w:spacing w:before="120" w:after="120"/>
                    <w:jc w:val="center"/>
                    <w:rPr>
                      <w:rFonts w:cs="Arial"/>
                      <w:sz w:val="18"/>
                      <w:szCs w:val="18"/>
                      <w:highlight w:val="yellow"/>
                    </w:rPr>
                  </w:pPr>
                  <w:r>
                    <w:rPr>
                      <w:sz w:val="18"/>
                      <w:highlight w:val="yellow"/>
                    </w:rPr>
                    <w:t>[Nom]</w:t>
                  </w:r>
                </w:p>
              </w:tc>
              <w:tc>
                <w:tcPr>
                  <w:tcW w:w="3544" w:type="dxa"/>
                </w:tcPr>
                <w:p w14:paraId="0E72CA6E" w14:textId="4716262A" w:rsidR="009F7E12" w:rsidRPr="000F1916" w:rsidRDefault="009F7E12" w:rsidP="00E30FF3">
                  <w:pPr>
                    <w:tabs>
                      <w:tab w:val="left" w:pos="1859"/>
                    </w:tabs>
                    <w:spacing w:before="120" w:after="120"/>
                    <w:jc w:val="center"/>
                    <w:rPr>
                      <w:rFonts w:cs="Arial"/>
                      <w:sz w:val="18"/>
                      <w:szCs w:val="18"/>
                      <w:highlight w:val="yellow"/>
                    </w:rPr>
                  </w:pPr>
                  <w:r>
                    <w:rPr>
                      <w:sz w:val="18"/>
                      <w:highlight w:val="yellow"/>
                    </w:rPr>
                    <w:t>[</w:t>
                  </w:r>
                  <w:r>
                    <w:rPr>
                      <w:i/>
                      <w:iCs/>
                      <w:sz w:val="18"/>
                      <w:highlight w:val="yellow"/>
                    </w:rPr>
                    <w:t>Senior</w:t>
                  </w:r>
                  <w:r>
                    <w:rPr>
                      <w:sz w:val="18"/>
                      <w:highlight w:val="yellow"/>
                    </w:rPr>
                    <w:t xml:space="preserve"> / </w:t>
                  </w:r>
                  <w:r>
                    <w:rPr>
                      <w:i/>
                      <w:iCs/>
                      <w:sz w:val="18"/>
                      <w:highlight w:val="yellow"/>
                    </w:rPr>
                    <w:t>Manager</w:t>
                  </w:r>
                  <w:r>
                    <w:rPr>
                      <w:sz w:val="18"/>
                      <w:highlight w:val="yellow"/>
                    </w:rPr>
                    <w:t xml:space="preserve"> / </w:t>
                  </w:r>
                  <w:r>
                    <w:rPr>
                      <w:i/>
                      <w:iCs/>
                      <w:sz w:val="18"/>
                      <w:highlight w:val="yellow"/>
                    </w:rPr>
                    <w:t>Senior manager</w:t>
                  </w:r>
                  <w:r>
                    <w:rPr>
                      <w:sz w:val="18"/>
                      <w:highlight w:val="yellow"/>
                    </w:rPr>
                    <w:t xml:space="preserve"> / </w:t>
                  </w:r>
                  <w:r w:rsidR="00941914">
                    <w:rPr>
                      <w:sz w:val="18"/>
                      <w:highlight w:val="yellow"/>
                    </w:rPr>
                    <w:t xml:space="preserve">Directeur / </w:t>
                  </w:r>
                  <w:r>
                    <w:rPr>
                      <w:sz w:val="18"/>
                      <w:highlight w:val="yellow"/>
                    </w:rPr>
                    <w:t>Partenaire]</w:t>
                  </w:r>
                </w:p>
              </w:tc>
              <w:tc>
                <w:tcPr>
                  <w:tcW w:w="2228" w:type="dxa"/>
                </w:tcPr>
                <w:p w14:paraId="64CC8812" w14:textId="3F1D1F4A" w:rsidR="009F7E12" w:rsidRPr="000F1916" w:rsidRDefault="009F7E12" w:rsidP="00537739">
                  <w:pPr>
                    <w:tabs>
                      <w:tab w:val="left" w:pos="1859"/>
                    </w:tabs>
                    <w:spacing w:before="120" w:after="120"/>
                    <w:jc w:val="center"/>
                    <w:rPr>
                      <w:rFonts w:cs="Arial"/>
                      <w:sz w:val="18"/>
                      <w:szCs w:val="18"/>
                      <w:highlight w:val="yellow"/>
                    </w:rPr>
                  </w:pPr>
                  <w:r>
                    <w:rPr>
                      <w:sz w:val="18"/>
                      <w:highlight w:val="yellow"/>
                    </w:rPr>
                    <w:t>[</w:t>
                  </w:r>
                  <w:r w:rsidR="00AC170F">
                    <w:rPr>
                      <w:sz w:val="18"/>
                      <w:highlight w:val="yellow"/>
                    </w:rPr>
                    <w:t>JJ</w:t>
                  </w:r>
                  <w:r>
                    <w:rPr>
                      <w:sz w:val="18"/>
                      <w:highlight w:val="yellow"/>
                    </w:rPr>
                    <w:t xml:space="preserve"> MM AAAA]</w:t>
                  </w:r>
                </w:p>
              </w:tc>
            </w:tr>
          </w:tbl>
          <w:p w14:paraId="5C00B97A" w14:textId="77777777" w:rsidR="00F37CB4" w:rsidRPr="00A04447" w:rsidRDefault="00F37CB4" w:rsidP="00B54948">
            <w:pPr>
              <w:tabs>
                <w:tab w:val="left" w:pos="1859"/>
              </w:tabs>
              <w:spacing w:before="120" w:after="120"/>
              <w:rPr>
                <w:rFonts w:cs="Arial"/>
                <w:sz w:val="18"/>
                <w:szCs w:val="18"/>
                <w:lang w:val="de-CH"/>
              </w:rPr>
            </w:pPr>
          </w:p>
        </w:tc>
      </w:tr>
    </w:tbl>
    <w:p w14:paraId="6351F202" w14:textId="77777777" w:rsidR="00F37CB4" w:rsidRPr="00632746" w:rsidRDefault="00F37CB4" w:rsidP="00632746">
      <w:pPr>
        <w:spacing w:before="0" w:after="0"/>
        <w:rPr>
          <w:rFonts w:cs="Arial"/>
          <w:sz w:val="8"/>
          <w:szCs w:val="8"/>
          <w:lang w:val="de-CH"/>
        </w:rPr>
      </w:pPr>
    </w:p>
    <w:p w14:paraId="59BE2E63" w14:textId="2FFBA937" w:rsidR="00594CFF" w:rsidRPr="0011737B" w:rsidRDefault="00A87A2A">
      <w:pPr>
        <w:rPr>
          <w:rFonts w:cs="Arial"/>
        </w:rPr>
      </w:pPr>
      <w:r>
        <w:rPr>
          <w:b/>
        </w:rPr>
        <w:t xml:space="preserve">Le présent document est un programme d’audit standard qui doit être appliqué à toute intervention conformément à la stratégie d’audit (Cm 28 ss de la Circ.-FINMA 13/3 « Activités d’audit »). Il est de la responsabilité de l’équipe d’audit d’adapter le programme d’audit standard à la situation de chaque établissement audité (taille, modèle d’affaires, organisation, processus, exposition aux risques, etc.). Si le contrôle d’audit effectué ne prend pas en compte toutes les procédures prescrites, une justification probante doit être fournie dans le document de travail. Les </w:t>
      </w:r>
      <w:r w:rsidR="004A3F1E">
        <w:rPr>
          <w:b/>
        </w:rPr>
        <w:t xml:space="preserve">points </w:t>
      </w:r>
      <w:r>
        <w:rPr>
          <w:b/>
        </w:rPr>
        <w:t xml:space="preserve">d’audit marqués d’un astérisque (*) ne s’appliquent pas aux banques des catégories de surveillance 4 et 5. Les </w:t>
      </w:r>
      <w:r w:rsidR="004A3F1E">
        <w:rPr>
          <w:b/>
        </w:rPr>
        <w:t xml:space="preserve">points </w:t>
      </w:r>
      <w:r>
        <w:rPr>
          <w:b/>
        </w:rPr>
        <w:t>d’audit marqués de deux astérisques (**) ne s’appliquent pas aux établissements selon l’art. 47</w:t>
      </w:r>
      <w:r>
        <w:rPr>
          <w:b/>
          <w:i/>
          <w:iCs/>
        </w:rPr>
        <w:t>a</w:t>
      </w:r>
      <w:r>
        <w:rPr>
          <w:b/>
        </w:rPr>
        <w:t xml:space="preserve"> à 47</w:t>
      </w:r>
      <w:r>
        <w:rPr>
          <w:b/>
          <w:i/>
          <w:iCs/>
        </w:rPr>
        <w:t>e</w:t>
      </w:r>
      <w:r>
        <w:rPr>
          <w:b/>
        </w:rPr>
        <w:t xml:space="preserve"> OFR, </w:t>
      </w:r>
      <w:r w:rsidR="00941914">
        <w:rPr>
          <w:b/>
        </w:rPr>
        <w:t xml:space="preserve">ni </w:t>
      </w:r>
      <w:r>
        <w:rPr>
          <w:b/>
        </w:rPr>
        <w:t>aux personnes selon l’art. 1</w:t>
      </w:r>
      <w:r>
        <w:rPr>
          <w:b/>
          <w:i/>
          <w:iCs/>
        </w:rPr>
        <w:t>b</w:t>
      </w:r>
      <w:r>
        <w:rPr>
          <w:b/>
        </w:rPr>
        <w:t xml:space="preserve"> LB, ni aux maisons de titres qui ne gèrent pas de comptes.</w:t>
      </w:r>
      <w:r>
        <w:br w:type="page"/>
      </w:r>
    </w:p>
    <w:p w14:paraId="700668E0" w14:textId="77777777" w:rsidR="00352874" w:rsidRPr="0011737B" w:rsidRDefault="00352874" w:rsidP="0011737B">
      <w:pPr>
        <w:spacing w:line="240" w:lineRule="auto"/>
        <w:rPr>
          <w:rFonts w:cs="Arial"/>
          <w:b/>
          <w:bCs/>
        </w:rPr>
      </w:pPr>
      <w:r>
        <w:rPr>
          <w:b/>
        </w:rPr>
        <w:lastRenderedPageBreak/>
        <w:t>Conclusion globale</w:t>
      </w:r>
    </w:p>
    <w:p w14:paraId="40F23C35" w14:textId="77777777" w:rsidR="00352874" w:rsidRPr="00A04447" w:rsidRDefault="00352874" w:rsidP="00352874">
      <w:pPr>
        <w:spacing w:line="240" w:lineRule="auto"/>
        <w:rPr>
          <w:rFonts w:cs="Arial"/>
          <w:szCs w:val="20"/>
          <w:lang w:val="de-CH"/>
        </w:rPr>
      </w:pPr>
    </w:p>
    <w:tbl>
      <w:tblPr>
        <w:tblStyle w:val="Grilledutableau"/>
        <w:tblW w:w="0" w:type="auto"/>
        <w:tblInd w:w="108" w:type="dxa"/>
        <w:tblLook w:val="04A0" w:firstRow="1" w:lastRow="0" w:firstColumn="1" w:lastColumn="0" w:noHBand="0" w:noVBand="1"/>
      </w:tblPr>
      <w:tblGrid>
        <w:gridCol w:w="2799"/>
        <w:gridCol w:w="11370"/>
      </w:tblGrid>
      <w:tr w:rsidR="00123746" w:rsidRPr="00A04447" w14:paraId="174C35E6" w14:textId="77777777" w:rsidTr="00F060E0">
        <w:trPr>
          <w:trHeight w:val="552"/>
          <w:tblHeader/>
        </w:trPr>
        <w:tc>
          <w:tcPr>
            <w:tcW w:w="2799" w:type="dxa"/>
            <w:shd w:val="clear" w:color="auto" w:fill="auto"/>
          </w:tcPr>
          <w:p w14:paraId="27FC8736" w14:textId="77777777" w:rsidR="0045532C" w:rsidRPr="0011737B" w:rsidRDefault="0045532C">
            <w:pPr>
              <w:tabs>
                <w:tab w:val="left" w:pos="1418"/>
              </w:tabs>
              <w:rPr>
                <w:rFonts w:cs="Arial"/>
                <w:b/>
                <w:bCs/>
                <w:sz w:val="16"/>
                <w:szCs w:val="16"/>
              </w:rPr>
            </w:pPr>
            <w:r>
              <w:rPr>
                <w:b/>
                <w:sz w:val="16"/>
              </w:rPr>
              <w:t>Thème :</w:t>
            </w:r>
          </w:p>
        </w:tc>
        <w:tc>
          <w:tcPr>
            <w:tcW w:w="11370" w:type="dxa"/>
            <w:shd w:val="clear" w:color="auto" w:fill="auto"/>
          </w:tcPr>
          <w:p w14:paraId="1DDBE0CF" w14:textId="77777777" w:rsidR="0045532C" w:rsidRPr="0011737B" w:rsidRDefault="0045532C">
            <w:pPr>
              <w:tabs>
                <w:tab w:val="left" w:pos="1859"/>
              </w:tabs>
              <w:rPr>
                <w:rFonts w:cs="Arial"/>
                <w:b/>
                <w:bCs/>
                <w:sz w:val="16"/>
                <w:szCs w:val="16"/>
              </w:rPr>
            </w:pPr>
            <w:r>
              <w:rPr>
                <w:b/>
                <w:sz w:val="16"/>
              </w:rPr>
              <w:t>Information / Description :</w:t>
            </w:r>
          </w:p>
        </w:tc>
      </w:tr>
      <w:tr w:rsidR="00E60F3F" w:rsidRPr="00A04447" w14:paraId="625B66BB" w14:textId="77777777" w:rsidTr="00F060E0">
        <w:trPr>
          <w:trHeight w:val="1271"/>
        </w:trPr>
        <w:tc>
          <w:tcPr>
            <w:tcW w:w="2799" w:type="dxa"/>
          </w:tcPr>
          <w:p w14:paraId="61BC8415" w14:textId="77777777" w:rsidR="0045532C" w:rsidRPr="00A04447" w:rsidRDefault="0045532C" w:rsidP="000624A4">
            <w:pPr>
              <w:tabs>
                <w:tab w:val="left" w:pos="1418"/>
              </w:tabs>
              <w:rPr>
                <w:rFonts w:cs="Arial"/>
                <w:sz w:val="16"/>
                <w:szCs w:val="16"/>
              </w:rPr>
            </w:pPr>
            <w:r>
              <w:rPr>
                <w:sz w:val="16"/>
              </w:rPr>
              <w:t>Évaluation globale récapitulative</w:t>
            </w:r>
          </w:p>
        </w:tc>
        <w:tc>
          <w:tcPr>
            <w:tcW w:w="11370" w:type="dxa"/>
          </w:tcPr>
          <w:p w14:paraId="1823F711" w14:textId="77777777" w:rsidR="00E60F3F" w:rsidRPr="0011737B" w:rsidRDefault="00E60F3F" w:rsidP="00E60F3F">
            <w:pPr>
              <w:rPr>
                <w:rFonts w:cs="Arial"/>
                <w:sz w:val="6"/>
                <w:szCs w:val="6"/>
                <w:lang w:val="de-CH"/>
              </w:rPr>
            </w:pPr>
          </w:p>
          <w:tbl>
            <w:tblPr>
              <w:tblStyle w:val="Grilledutableau"/>
              <w:tblW w:w="0" w:type="auto"/>
              <w:tblLook w:val="04A0" w:firstRow="1" w:lastRow="0" w:firstColumn="1" w:lastColumn="0" w:noHBand="0" w:noVBand="1"/>
            </w:tblPr>
            <w:tblGrid>
              <w:gridCol w:w="5628"/>
              <w:gridCol w:w="5516"/>
            </w:tblGrid>
            <w:tr w:rsidR="00E60F3F" w:rsidRPr="00A04447" w14:paraId="4F4DC6AD" w14:textId="77777777" w:rsidTr="63098FDC">
              <w:tc>
                <w:tcPr>
                  <w:tcW w:w="5685" w:type="dxa"/>
                  <w:shd w:val="clear" w:color="auto" w:fill="D9D9D9" w:themeFill="background1" w:themeFillShade="D9"/>
                  <w:tcMar>
                    <w:left w:w="0" w:type="dxa"/>
                  </w:tcMar>
                </w:tcPr>
                <w:p w14:paraId="36CA0E0F" w14:textId="77777777" w:rsidR="00E60F3F" w:rsidRPr="0011737B" w:rsidRDefault="00E60F3F">
                  <w:pPr>
                    <w:tabs>
                      <w:tab w:val="left" w:pos="1859"/>
                    </w:tabs>
                    <w:ind w:left="34"/>
                    <w:rPr>
                      <w:rFonts w:cs="Arial"/>
                      <w:b/>
                      <w:bCs/>
                      <w:sz w:val="16"/>
                      <w:szCs w:val="16"/>
                    </w:rPr>
                  </w:pPr>
                  <w:r>
                    <w:rPr>
                      <w:b/>
                      <w:sz w:val="16"/>
                    </w:rPr>
                    <w:t>Confirmation dans le rapport d’audit :</w:t>
                  </w:r>
                </w:p>
              </w:tc>
              <w:tc>
                <w:tcPr>
                  <w:tcW w:w="5571" w:type="dxa"/>
                  <w:shd w:val="clear" w:color="auto" w:fill="D9D9D9" w:themeFill="background1" w:themeFillShade="D9"/>
                </w:tcPr>
                <w:p w14:paraId="008A28D9" w14:textId="77777777" w:rsidR="00E60F3F" w:rsidRPr="0011737B" w:rsidRDefault="00E60F3F">
                  <w:pPr>
                    <w:tabs>
                      <w:tab w:val="left" w:pos="1859"/>
                    </w:tabs>
                    <w:rPr>
                      <w:rFonts w:cs="Arial"/>
                      <w:b/>
                      <w:bCs/>
                      <w:sz w:val="16"/>
                      <w:szCs w:val="16"/>
                    </w:rPr>
                  </w:pPr>
                  <w:r>
                    <w:rPr>
                      <w:b/>
                      <w:sz w:val="16"/>
                    </w:rPr>
                    <w:t>Résumé :</w:t>
                  </w:r>
                </w:p>
              </w:tc>
            </w:tr>
            <w:tr w:rsidR="00E60F3F" w:rsidRPr="00A04447" w14:paraId="49E865DE" w14:textId="77777777" w:rsidTr="63098FDC">
              <w:tc>
                <w:tcPr>
                  <w:tcW w:w="5685" w:type="dxa"/>
                  <w:tcMar>
                    <w:left w:w="0" w:type="dxa"/>
                  </w:tcMar>
                </w:tcPr>
                <w:p w14:paraId="75CBBD60" w14:textId="77777777" w:rsidR="00E60F3F" w:rsidRPr="0011737B" w:rsidRDefault="00C002E7">
                  <w:pPr>
                    <w:tabs>
                      <w:tab w:val="left" w:pos="1859"/>
                    </w:tabs>
                    <w:ind w:left="34"/>
                    <w:rPr>
                      <w:sz w:val="16"/>
                      <w:szCs w:val="16"/>
                    </w:rPr>
                  </w:pPr>
                  <w:r>
                    <w:rPr>
                      <w:sz w:val="16"/>
                    </w:rPr>
                    <w:t>Confirmation du respect des prescriptions prudentielles dans le domaine « Gestion des risques des données critiques ».</w:t>
                  </w:r>
                </w:p>
                <w:p w14:paraId="242D1213" w14:textId="77777777" w:rsidR="00F867B2" w:rsidRPr="00EF528C" w:rsidRDefault="00F867B2" w:rsidP="0083286C">
                  <w:pPr>
                    <w:tabs>
                      <w:tab w:val="left" w:pos="1859"/>
                    </w:tabs>
                    <w:rPr>
                      <w:sz w:val="16"/>
                      <w:lang w:val="fr-CH"/>
                    </w:rPr>
                  </w:pPr>
                </w:p>
                <w:p w14:paraId="701B22AA" w14:textId="2168C3CD" w:rsidR="006048C1" w:rsidRPr="00A04447" w:rsidRDefault="004D663E" w:rsidP="006048C1">
                  <w:pPr>
                    <w:tabs>
                      <w:tab w:val="left" w:pos="1859"/>
                    </w:tabs>
                    <w:ind w:left="34"/>
                    <w:rPr>
                      <w:rFonts w:cs="Arial"/>
                      <w:sz w:val="16"/>
                      <w:szCs w:val="16"/>
                    </w:rPr>
                  </w:pPr>
                  <w:r>
                    <w:rPr>
                      <w:sz w:val="16"/>
                    </w:rPr>
                    <w:t xml:space="preserve">Confirmation que l’assujetti a respecté les </w:t>
                  </w:r>
                  <w:r w:rsidR="004A3F1E">
                    <w:rPr>
                      <w:sz w:val="16"/>
                    </w:rPr>
                    <w:t xml:space="preserve">renforcements </w:t>
                  </w:r>
                  <w:r>
                    <w:rPr>
                      <w:sz w:val="16"/>
                    </w:rPr>
                    <w:t xml:space="preserve">ordonnés par la FINMA. </w:t>
                  </w:r>
                </w:p>
              </w:tc>
              <w:tc>
                <w:tcPr>
                  <w:tcW w:w="5571" w:type="dxa"/>
                </w:tcPr>
                <w:p w14:paraId="5C0DC3B3" w14:textId="77777777" w:rsidR="00E60F3F" w:rsidRPr="0011737B" w:rsidRDefault="00E60F3F">
                  <w:pPr>
                    <w:tabs>
                      <w:tab w:val="left" w:pos="1859"/>
                    </w:tabs>
                    <w:rPr>
                      <w:b/>
                      <w:bCs/>
                      <w:i/>
                      <w:iCs/>
                      <w:sz w:val="16"/>
                      <w:szCs w:val="16"/>
                    </w:rPr>
                  </w:pPr>
                  <w:r>
                    <w:rPr>
                      <w:b/>
                      <w:i/>
                      <w:sz w:val="16"/>
                    </w:rPr>
                    <w:t>Oui</w:t>
                  </w:r>
                  <w:r>
                    <w:rPr>
                      <w:i/>
                      <w:sz w:val="16"/>
                    </w:rPr>
                    <w:t xml:space="preserve"> (Audit / Revue critique) / </w:t>
                  </w:r>
                  <w:r>
                    <w:rPr>
                      <w:b/>
                      <w:i/>
                      <w:sz w:val="16"/>
                    </w:rPr>
                    <w:t>Non</w:t>
                  </w:r>
                </w:p>
                <w:p w14:paraId="17199241" w14:textId="77777777" w:rsidR="004D663E" w:rsidRPr="00EF528C" w:rsidRDefault="004D663E" w:rsidP="009F2636">
                  <w:pPr>
                    <w:tabs>
                      <w:tab w:val="left" w:pos="1859"/>
                    </w:tabs>
                    <w:rPr>
                      <w:b/>
                      <w:i/>
                      <w:sz w:val="16"/>
                      <w:lang w:val="fr-CH"/>
                    </w:rPr>
                  </w:pPr>
                </w:p>
                <w:p w14:paraId="4B0C947D" w14:textId="77777777" w:rsidR="0083286C" w:rsidRPr="00EF528C" w:rsidRDefault="0083286C" w:rsidP="009F2636">
                  <w:pPr>
                    <w:tabs>
                      <w:tab w:val="left" w:pos="1859"/>
                    </w:tabs>
                    <w:rPr>
                      <w:b/>
                      <w:i/>
                      <w:sz w:val="16"/>
                      <w:lang w:val="fr-CH"/>
                    </w:rPr>
                  </w:pPr>
                </w:p>
                <w:p w14:paraId="3CA96730" w14:textId="77777777" w:rsidR="00DC0721" w:rsidRPr="0011737B" w:rsidRDefault="00DC0721">
                  <w:pPr>
                    <w:tabs>
                      <w:tab w:val="left" w:pos="1859"/>
                    </w:tabs>
                    <w:rPr>
                      <w:rFonts w:cs="Arial"/>
                      <w:i/>
                      <w:iCs/>
                      <w:sz w:val="16"/>
                      <w:szCs w:val="16"/>
                    </w:rPr>
                  </w:pPr>
                  <w:r>
                    <w:rPr>
                      <w:b/>
                      <w:i/>
                      <w:sz w:val="16"/>
                    </w:rPr>
                    <w:t>Oui</w:t>
                  </w:r>
                  <w:r>
                    <w:rPr>
                      <w:i/>
                      <w:sz w:val="16"/>
                    </w:rPr>
                    <w:t xml:space="preserve"> (Audit / Revue critique) / </w:t>
                  </w:r>
                  <w:r>
                    <w:rPr>
                      <w:b/>
                      <w:i/>
                      <w:sz w:val="16"/>
                    </w:rPr>
                    <w:t>Non</w:t>
                  </w:r>
                </w:p>
              </w:tc>
            </w:tr>
          </w:tbl>
          <w:p w14:paraId="7398CFC9" w14:textId="77777777" w:rsidR="003613F7" w:rsidRPr="00EF528C" w:rsidRDefault="003613F7" w:rsidP="000624A4">
            <w:pPr>
              <w:tabs>
                <w:tab w:val="left" w:pos="1859"/>
              </w:tabs>
              <w:rPr>
                <w:rFonts w:cs="Arial"/>
                <w:sz w:val="16"/>
                <w:szCs w:val="16"/>
                <w:lang w:val="fr-CH"/>
              </w:rPr>
            </w:pPr>
          </w:p>
          <w:p w14:paraId="48683F91" w14:textId="77777777" w:rsidR="0088170A" w:rsidRPr="00EF528C" w:rsidRDefault="0088170A" w:rsidP="000624A4">
            <w:pPr>
              <w:tabs>
                <w:tab w:val="left" w:pos="1859"/>
              </w:tabs>
              <w:rPr>
                <w:rFonts w:cs="Arial"/>
                <w:sz w:val="16"/>
                <w:szCs w:val="16"/>
                <w:lang w:val="fr-CH"/>
              </w:rPr>
            </w:pPr>
          </w:p>
        </w:tc>
      </w:tr>
      <w:tr w:rsidR="00123746" w:rsidRPr="00A04447" w14:paraId="065B83C3" w14:textId="77777777" w:rsidTr="00F060E0">
        <w:trPr>
          <w:trHeight w:val="561"/>
        </w:trPr>
        <w:tc>
          <w:tcPr>
            <w:tcW w:w="2799" w:type="dxa"/>
          </w:tcPr>
          <w:p w14:paraId="6780F198" w14:textId="77777777" w:rsidR="0045532C" w:rsidRPr="00A04447" w:rsidRDefault="0045532C" w:rsidP="000624A4">
            <w:pPr>
              <w:tabs>
                <w:tab w:val="left" w:pos="1418"/>
              </w:tabs>
              <w:rPr>
                <w:rFonts w:cs="Arial"/>
                <w:sz w:val="16"/>
                <w:szCs w:val="16"/>
              </w:rPr>
            </w:pPr>
            <w:r>
              <w:rPr>
                <w:sz w:val="16"/>
              </w:rPr>
              <w:t>Résumé des résultats de l’audit / irrégularités et recommandations (voir détails ci-dessous)</w:t>
            </w:r>
          </w:p>
        </w:tc>
        <w:tc>
          <w:tcPr>
            <w:tcW w:w="11370" w:type="dxa"/>
          </w:tcPr>
          <w:p w14:paraId="58C13001" w14:textId="77777777" w:rsidR="0045532C" w:rsidRPr="0011737B" w:rsidRDefault="0045532C" w:rsidP="000624A4">
            <w:pPr>
              <w:tabs>
                <w:tab w:val="left" w:pos="1859"/>
              </w:tabs>
              <w:rPr>
                <w:rFonts w:cs="Arial"/>
                <w:sz w:val="16"/>
                <w:szCs w:val="16"/>
              </w:rPr>
            </w:pPr>
            <w:r w:rsidRPr="00506C24">
              <w:rPr>
                <w:sz w:val="16"/>
                <w:highlight w:val="yellow"/>
              </w:rPr>
              <w:t>[Résumé des résultats de l’audit / irrégularités et recommandations]</w:t>
            </w:r>
          </w:p>
        </w:tc>
      </w:tr>
      <w:tr w:rsidR="00E60F3F" w:rsidRPr="00A04447" w14:paraId="2D48D1B0" w14:textId="77777777" w:rsidTr="00F060E0">
        <w:trPr>
          <w:trHeight w:val="561"/>
        </w:trPr>
        <w:tc>
          <w:tcPr>
            <w:tcW w:w="2799" w:type="dxa"/>
          </w:tcPr>
          <w:p w14:paraId="7FDA8ACE" w14:textId="77777777" w:rsidR="0045532C" w:rsidRPr="00A04447" w:rsidRDefault="0045532C" w:rsidP="002A3BCB">
            <w:pPr>
              <w:tabs>
                <w:tab w:val="left" w:pos="1418"/>
              </w:tabs>
              <w:rPr>
                <w:rFonts w:cs="Arial"/>
                <w:sz w:val="16"/>
                <w:szCs w:val="16"/>
              </w:rPr>
            </w:pPr>
            <w:r>
              <w:rPr>
                <w:sz w:val="16"/>
              </w:rPr>
              <w:t>Domaines d’audit, résultats et travaux de la révision interne utilisés par la société d’audit (y compris la propre évaluation de la société d’audit)</w:t>
            </w:r>
          </w:p>
        </w:tc>
        <w:tc>
          <w:tcPr>
            <w:tcW w:w="11370" w:type="dxa"/>
          </w:tcPr>
          <w:p w14:paraId="7E0BFF29" w14:textId="77777777" w:rsidR="00211D7A" w:rsidRPr="0011737B" w:rsidRDefault="0045532C" w:rsidP="00E60F3F">
            <w:pPr>
              <w:rPr>
                <w:rFonts w:cs="Arial"/>
                <w:sz w:val="16"/>
                <w:szCs w:val="16"/>
              </w:rPr>
            </w:pPr>
            <w:r w:rsidRPr="00506C24">
              <w:rPr>
                <w:sz w:val="16"/>
                <w:highlight w:val="yellow"/>
              </w:rPr>
              <w:t>[Description]</w:t>
            </w:r>
          </w:p>
        </w:tc>
      </w:tr>
    </w:tbl>
    <w:p w14:paraId="5DA12846" w14:textId="77777777" w:rsidR="00FC6E90" w:rsidRPr="00A04447" w:rsidRDefault="00FC6E90">
      <w:pPr>
        <w:rPr>
          <w:rFonts w:cs="Arial"/>
        </w:rPr>
      </w:pPr>
      <w:r>
        <w:br w:type="page"/>
      </w:r>
    </w:p>
    <w:p w14:paraId="0A92EF62" w14:textId="0CC79DA6" w:rsidR="00352874" w:rsidRPr="0011737B" w:rsidRDefault="00FC6E90" w:rsidP="0011737B">
      <w:pPr>
        <w:spacing w:line="240" w:lineRule="auto"/>
        <w:rPr>
          <w:rFonts w:cs="Arial"/>
          <w:b/>
          <w:bCs/>
          <w:u w:val="single"/>
        </w:rPr>
      </w:pPr>
      <w:r>
        <w:rPr>
          <w:b/>
        </w:rPr>
        <w:lastRenderedPageBreak/>
        <w:t>Programme d’audit – Gestion des risques des données critiques</w:t>
      </w:r>
    </w:p>
    <w:p w14:paraId="41F62FEF" w14:textId="77777777" w:rsidR="00DB7CF3" w:rsidRPr="00EF528C" w:rsidRDefault="00DB7CF3" w:rsidP="00352874">
      <w:pPr>
        <w:spacing w:line="240" w:lineRule="auto"/>
        <w:rPr>
          <w:rFonts w:cs="Arial"/>
          <w:b/>
          <w:lang w:val="fr-CH"/>
        </w:rPr>
      </w:pPr>
    </w:p>
    <w:tbl>
      <w:tblPr>
        <w:tblW w:w="129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4830"/>
        <w:gridCol w:w="3969"/>
        <w:gridCol w:w="2694"/>
        <w:gridCol w:w="992"/>
      </w:tblGrid>
      <w:tr w:rsidR="00304C79" w:rsidRPr="00A04447" w14:paraId="448FE367" w14:textId="77777777" w:rsidTr="0011737B">
        <w:trPr>
          <w:tblHeader/>
        </w:trPr>
        <w:tc>
          <w:tcPr>
            <w:tcW w:w="447" w:type="dxa"/>
            <w:tcBorders>
              <w:bottom w:val="single" w:sz="4" w:space="0" w:color="auto"/>
            </w:tcBorders>
            <w:shd w:val="clear" w:color="auto" w:fill="auto"/>
          </w:tcPr>
          <w:p w14:paraId="1C99B98B" w14:textId="77777777" w:rsidR="00304C79" w:rsidRPr="0011737B" w:rsidRDefault="00304C79" w:rsidP="0011737B">
            <w:pPr>
              <w:spacing w:line="240" w:lineRule="auto"/>
              <w:rPr>
                <w:rFonts w:cs="Arial"/>
                <w:b/>
                <w:bCs/>
                <w:sz w:val="16"/>
                <w:szCs w:val="16"/>
              </w:rPr>
            </w:pPr>
            <w:r>
              <w:rPr>
                <w:b/>
                <w:sz w:val="16"/>
              </w:rPr>
              <w:t>N°</w:t>
            </w:r>
          </w:p>
        </w:tc>
        <w:tc>
          <w:tcPr>
            <w:tcW w:w="4830" w:type="dxa"/>
            <w:tcBorders>
              <w:bottom w:val="single" w:sz="4" w:space="0" w:color="auto"/>
            </w:tcBorders>
            <w:shd w:val="clear" w:color="auto" w:fill="auto"/>
          </w:tcPr>
          <w:p w14:paraId="506FDB8B" w14:textId="77777777" w:rsidR="00304C79" w:rsidRPr="0011737B" w:rsidRDefault="00304C79" w:rsidP="0011737B">
            <w:pPr>
              <w:spacing w:line="240" w:lineRule="auto"/>
              <w:rPr>
                <w:rFonts w:cs="Arial"/>
                <w:b/>
                <w:bCs/>
                <w:sz w:val="16"/>
                <w:szCs w:val="16"/>
              </w:rPr>
            </w:pPr>
            <w:r>
              <w:rPr>
                <w:b/>
                <w:sz w:val="16"/>
              </w:rPr>
              <w:t>Procédures pour l’étendue d’audit « revue critique » :</w:t>
            </w:r>
          </w:p>
        </w:tc>
        <w:tc>
          <w:tcPr>
            <w:tcW w:w="3969" w:type="dxa"/>
            <w:tcBorders>
              <w:bottom w:val="single" w:sz="4" w:space="0" w:color="auto"/>
            </w:tcBorders>
            <w:shd w:val="clear" w:color="auto" w:fill="auto"/>
          </w:tcPr>
          <w:p w14:paraId="6E46395D" w14:textId="77777777" w:rsidR="00304C79" w:rsidRPr="0011737B" w:rsidRDefault="00304C79" w:rsidP="0011737B">
            <w:pPr>
              <w:spacing w:line="240" w:lineRule="auto"/>
              <w:rPr>
                <w:rFonts w:cs="Arial"/>
                <w:b/>
                <w:bCs/>
                <w:sz w:val="16"/>
                <w:szCs w:val="16"/>
              </w:rPr>
            </w:pPr>
            <w:r>
              <w:rPr>
                <w:b/>
                <w:sz w:val="16"/>
              </w:rPr>
              <w:t xml:space="preserve">Procédures </w:t>
            </w:r>
            <w:r>
              <w:rPr>
                <w:b/>
                <w:sz w:val="16"/>
                <w:u w:val="single"/>
              </w:rPr>
              <w:t>supplémentaires</w:t>
            </w:r>
            <w:r>
              <w:rPr>
                <w:b/>
                <w:sz w:val="16"/>
              </w:rPr>
              <w:t xml:space="preserve"> pour l’étendue d’audit « audit » :</w:t>
            </w:r>
          </w:p>
        </w:tc>
        <w:tc>
          <w:tcPr>
            <w:tcW w:w="2694" w:type="dxa"/>
            <w:tcBorders>
              <w:bottom w:val="single" w:sz="4" w:space="0" w:color="auto"/>
            </w:tcBorders>
            <w:shd w:val="clear" w:color="auto" w:fill="auto"/>
          </w:tcPr>
          <w:p w14:paraId="171384C5" w14:textId="77777777" w:rsidR="00304C79" w:rsidRPr="0011737B" w:rsidRDefault="00304C79" w:rsidP="0011737B">
            <w:pPr>
              <w:spacing w:line="240" w:lineRule="auto"/>
              <w:rPr>
                <w:rFonts w:cs="Arial"/>
                <w:b/>
                <w:bCs/>
                <w:sz w:val="16"/>
                <w:szCs w:val="16"/>
              </w:rPr>
            </w:pPr>
            <w:r>
              <w:rPr>
                <w:b/>
                <w:sz w:val="16"/>
              </w:rPr>
              <w:t>Procédures mises en œuvre / Constatations</w:t>
            </w:r>
          </w:p>
        </w:tc>
        <w:tc>
          <w:tcPr>
            <w:tcW w:w="992" w:type="dxa"/>
            <w:tcBorders>
              <w:bottom w:val="single" w:sz="4" w:space="0" w:color="auto"/>
            </w:tcBorders>
            <w:shd w:val="clear" w:color="auto" w:fill="auto"/>
          </w:tcPr>
          <w:p w14:paraId="62D94744" w14:textId="77777777" w:rsidR="00304C79" w:rsidRPr="0011737B" w:rsidRDefault="00304C79" w:rsidP="0011737B">
            <w:pPr>
              <w:spacing w:line="240" w:lineRule="auto"/>
              <w:rPr>
                <w:rFonts w:cs="Arial"/>
                <w:b/>
                <w:bCs/>
                <w:sz w:val="16"/>
                <w:szCs w:val="16"/>
              </w:rPr>
            </w:pPr>
            <w:r>
              <w:rPr>
                <w:b/>
                <w:sz w:val="16"/>
              </w:rPr>
              <w:t>Réf. doc. de travail</w:t>
            </w:r>
          </w:p>
        </w:tc>
      </w:tr>
      <w:tr w:rsidR="000E06D6" w:rsidRPr="00A04447" w14:paraId="16025BC9" w14:textId="77777777" w:rsidTr="0011737B">
        <w:trPr>
          <w:trHeight w:val="423"/>
        </w:trPr>
        <w:tc>
          <w:tcPr>
            <w:tcW w:w="129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3CF3E" w14:textId="77777777" w:rsidR="000E06D6" w:rsidRPr="00A04447" w:rsidRDefault="000E06D6" w:rsidP="006048C1">
            <w:pPr>
              <w:spacing w:line="240" w:lineRule="auto"/>
              <w:rPr>
                <w:rFonts w:cs="Arial"/>
                <w:sz w:val="16"/>
                <w:szCs w:val="16"/>
              </w:rPr>
            </w:pPr>
            <w:r>
              <w:rPr>
                <w:i/>
                <w:sz w:val="16"/>
              </w:rPr>
              <w:t>Gestion des risques des données critiques dans le respect du principe de proportionnalité, c’est-à-dire en tenant compte de la taille, de la complexité (notamment en ce qui concerne les TIC et l’externalisation), de la structure et du profil de risque :</w:t>
            </w:r>
          </w:p>
        </w:tc>
      </w:tr>
      <w:tr w:rsidR="00304C79" w:rsidRPr="00A04447" w14:paraId="16226972" w14:textId="77777777" w:rsidTr="0011737B">
        <w:tc>
          <w:tcPr>
            <w:tcW w:w="447" w:type="dxa"/>
            <w:shd w:val="clear" w:color="auto" w:fill="auto"/>
          </w:tcPr>
          <w:p w14:paraId="7387F4D3" w14:textId="77777777" w:rsidR="00304C79" w:rsidRPr="00A04447" w:rsidRDefault="000E06D6" w:rsidP="006048C1">
            <w:pPr>
              <w:spacing w:line="240" w:lineRule="auto"/>
              <w:rPr>
                <w:rFonts w:cs="Arial"/>
                <w:sz w:val="16"/>
                <w:szCs w:val="16"/>
              </w:rPr>
            </w:pPr>
            <w:r>
              <w:rPr>
                <w:sz w:val="16"/>
              </w:rPr>
              <w:t>1</w:t>
            </w:r>
          </w:p>
        </w:tc>
        <w:tc>
          <w:tcPr>
            <w:tcW w:w="4830" w:type="dxa"/>
            <w:shd w:val="clear" w:color="auto" w:fill="auto"/>
          </w:tcPr>
          <w:p w14:paraId="41C83571" w14:textId="7ED73601" w:rsidR="00D013C6" w:rsidRPr="00A04447" w:rsidRDefault="00D013C6" w:rsidP="006048C1">
            <w:pPr>
              <w:pStyle w:val="Bullet"/>
              <w:numPr>
                <w:ilvl w:val="0"/>
                <w:numId w:val="0"/>
              </w:numPr>
              <w:ind w:left="33"/>
            </w:pPr>
            <w:r>
              <w:t xml:space="preserve">Acquisition des connaissances de base sur la gestion globale des risques des données critiques par l’établissement, dans le respect du principe de proportionnalité et des </w:t>
            </w:r>
            <w:r w:rsidR="001201B6">
              <w:t>procédures</w:t>
            </w:r>
            <w:r>
              <w:t xml:space="preserve"> d’audit suivant</w:t>
            </w:r>
            <w:r w:rsidR="001201B6">
              <w:t>e</w:t>
            </w:r>
            <w:r>
              <w:t>s.</w:t>
            </w:r>
          </w:p>
        </w:tc>
        <w:tc>
          <w:tcPr>
            <w:tcW w:w="3969" w:type="dxa"/>
            <w:shd w:val="clear" w:color="auto" w:fill="auto"/>
          </w:tcPr>
          <w:p w14:paraId="38B71461" w14:textId="77777777" w:rsidR="00304C79" w:rsidRPr="00EF528C" w:rsidRDefault="00304C79" w:rsidP="006048C1">
            <w:pPr>
              <w:pStyle w:val="Bullet"/>
              <w:numPr>
                <w:ilvl w:val="0"/>
                <w:numId w:val="0"/>
              </w:numPr>
              <w:ind w:left="176"/>
              <w:rPr>
                <w:lang w:val="fr-CH"/>
              </w:rPr>
            </w:pPr>
          </w:p>
        </w:tc>
        <w:tc>
          <w:tcPr>
            <w:tcW w:w="2694" w:type="dxa"/>
            <w:shd w:val="clear" w:color="auto" w:fill="auto"/>
          </w:tcPr>
          <w:p w14:paraId="6295AF64" w14:textId="77777777" w:rsidR="00304C79" w:rsidRPr="00EF528C" w:rsidRDefault="00304C79" w:rsidP="006048C1">
            <w:pPr>
              <w:spacing w:line="240" w:lineRule="auto"/>
              <w:rPr>
                <w:rFonts w:cs="Arial"/>
                <w:sz w:val="16"/>
                <w:szCs w:val="16"/>
                <w:lang w:val="fr-CH"/>
              </w:rPr>
            </w:pPr>
          </w:p>
        </w:tc>
        <w:tc>
          <w:tcPr>
            <w:tcW w:w="992" w:type="dxa"/>
            <w:shd w:val="clear" w:color="auto" w:fill="auto"/>
          </w:tcPr>
          <w:p w14:paraId="23768D96" w14:textId="77777777" w:rsidR="00304C79" w:rsidRPr="00EF528C" w:rsidRDefault="00304C79" w:rsidP="006048C1">
            <w:pPr>
              <w:spacing w:line="240" w:lineRule="auto"/>
              <w:rPr>
                <w:rFonts w:cs="Arial"/>
                <w:sz w:val="16"/>
                <w:szCs w:val="16"/>
                <w:lang w:val="fr-CH"/>
              </w:rPr>
            </w:pPr>
          </w:p>
        </w:tc>
      </w:tr>
      <w:tr w:rsidR="00D013C6" w:rsidRPr="00A04447" w14:paraId="33A3C574" w14:textId="77777777" w:rsidTr="0011737B">
        <w:tc>
          <w:tcPr>
            <w:tcW w:w="447" w:type="dxa"/>
            <w:shd w:val="clear" w:color="auto" w:fill="auto"/>
          </w:tcPr>
          <w:p w14:paraId="4133E580" w14:textId="77777777" w:rsidR="00D013C6" w:rsidRPr="00A04447" w:rsidRDefault="00D013C6" w:rsidP="006048C1">
            <w:pPr>
              <w:spacing w:line="240" w:lineRule="auto"/>
              <w:rPr>
                <w:rFonts w:cs="Arial"/>
                <w:sz w:val="16"/>
                <w:szCs w:val="16"/>
              </w:rPr>
            </w:pPr>
            <w:r>
              <w:rPr>
                <w:sz w:val="16"/>
              </w:rPr>
              <w:t>2</w:t>
            </w:r>
          </w:p>
        </w:tc>
        <w:tc>
          <w:tcPr>
            <w:tcW w:w="4830" w:type="dxa"/>
            <w:shd w:val="clear" w:color="auto" w:fill="auto"/>
          </w:tcPr>
          <w:p w14:paraId="7EF823FB" w14:textId="77777777" w:rsidR="00D013C6" w:rsidRPr="00A04447" w:rsidDel="00D013C6" w:rsidRDefault="00D013C6" w:rsidP="006048C1">
            <w:pPr>
              <w:pStyle w:val="Bullet"/>
              <w:numPr>
                <w:ilvl w:val="0"/>
                <w:numId w:val="0"/>
              </w:numPr>
              <w:ind w:left="33"/>
            </w:pPr>
            <w:r>
              <w:t>Évaluation du caractère approprié des prescriptions internes (par ex. règlements, directives, instructions) relatives à la gestion des risques des données critiques.</w:t>
            </w:r>
          </w:p>
        </w:tc>
        <w:tc>
          <w:tcPr>
            <w:tcW w:w="3969" w:type="dxa"/>
            <w:shd w:val="clear" w:color="auto" w:fill="auto"/>
          </w:tcPr>
          <w:p w14:paraId="10895523" w14:textId="77777777" w:rsidR="00D013C6" w:rsidRPr="004B11EC" w:rsidRDefault="00A62995" w:rsidP="004B11EC">
            <w:pPr>
              <w:pStyle w:val="Bullet"/>
              <w:numPr>
                <w:ilvl w:val="0"/>
                <w:numId w:val="0"/>
              </w:numPr>
            </w:pPr>
            <w:r>
              <w:t>Examen de la cohérence du contenu de la stratégie relative à la gestion des risques des données critiques avec d’autres prescriptions internes (par ex. politique de risque, grandes lignes de la gestion des risques à l’échelle de l’établissement, gestion des risques opérationnels, stratégie commerciale, stratégie en matière de TIC ou de données, etc.).</w:t>
            </w:r>
          </w:p>
        </w:tc>
        <w:tc>
          <w:tcPr>
            <w:tcW w:w="2694" w:type="dxa"/>
            <w:shd w:val="clear" w:color="auto" w:fill="auto"/>
          </w:tcPr>
          <w:p w14:paraId="7F93EA6A" w14:textId="77777777" w:rsidR="00D013C6" w:rsidRPr="00EF528C" w:rsidRDefault="00D013C6" w:rsidP="006048C1">
            <w:pPr>
              <w:spacing w:line="240" w:lineRule="auto"/>
              <w:rPr>
                <w:rFonts w:cs="Arial"/>
                <w:sz w:val="16"/>
                <w:szCs w:val="16"/>
                <w:lang w:val="fr-CH"/>
              </w:rPr>
            </w:pPr>
          </w:p>
        </w:tc>
        <w:tc>
          <w:tcPr>
            <w:tcW w:w="992" w:type="dxa"/>
            <w:shd w:val="clear" w:color="auto" w:fill="auto"/>
          </w:tcPr>
          <w:p w14:paraId="6894E861" w14:textId="77777777" w:rsidR="00D013C6" w:rsidRPr="00EF528C" w:rsidRDefault="00D013C6" w:rsidP="006048C1">
            <w:pPr>
              <w:spacing w:line="240" w:lineRule="auto"/>
              <w:rPr>
                <w:rFonts w:cs="Arial"/>
                <w:sz w:val="16"/>
                <w:szCs w:val="16"/>
                <w:lang w:val="fr-CH"/>
              </w:rPr>
            </w:pPr>
          </w:p>
        </w:tc>
      </w:tr>
      <w:tr w:rsidR="00A969FD" w:rsidRPr="00A04447" w14:paraId="5F613D17" w14:textId="77777777" w:rsidTr="0011737B">
        <w:tc>
          <w:tcPr>
            <w:tcW w:w="129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AC26B" w14:textId="25DE857B" w:rsidR="00A969FD" w:rsidRPr="00A04447" w:rsidRDefault="00D013C6" w:rsidP="00A969FD">
            <w:pPr>
              <w:spacing w:line="240" w:lineRule="auto"/>
              <w:rPr>
                <w:rFonts w:cs="Arial"/>
                <w:sz w:val="16"/>
                <w:szCs w:val="16"/>
              </w:rPr>
            </w:pPr>
            <w:r>
              <w:rPr>
                <w:i/>
                <w:sz w:val="16"/>
              </w:rPr>
              <w:t>Intégration dans la gestion globale des risques opérationnels ainsi que dans la stratégie, la gouvernance et la sensibilisation (Cm 23 à 26, 30, 31, 40 et 71 de la Circ.-FINMA 23/1) :</w:t>
            </w:r>
          </w:p>
        </w:tc>
      </w:tr>
      <w:tr w:rsidR="00D013C6" w:rsidRPr="00A04447" w14:paraId="7DB1E4C8" w14:textId="77777777" w:rsidTr="0011737B">
        <w:tc>
          <w:tcPr>
            <w:tcW w:w="447" w:type="dxa"/>
            <w:shd w:val="clear" w:color="auto" w:fill="auto"/>
          </w:tcPr>
          <w:p w14:paraId="30717A5E" w14:textId="77777777" w:rsidR="00D013C6" w:rsidRPr="00A04447" w:rsidRDefault="00D013C6" w:rsidP="00A969FD">
            <w:pPr>
              <w:spacing w:line="240" w:lineRule="auto"/>
              <w:rPr>
                <w:rFonts w:cs="Arial"/>
                <w:sz w:val="16"/>
                <w:szCs w:val="16"/>
              </w:rPr>
            </w:pPr>
            <w:r>
              <w:rPr>
                <w:sz w:val="16"/>
              </w:rPr>
              <w:t>3</w:t>
            </w:r>
          </w:p>
        </w:tc>
        <w:tc>
          <w:tcPr>
            <w:tcW w:w="4830" w:type="dxa"/>
            <w:shd w:val="clear" w:color="auto" w:fill="auto"/>
          </w:tcPr>
          <w:p w14:paraId="0C7027EA" w14:textId="0554F1DD" w:rsidR="00125A24" w:rsidRDefault="00D013C6" w:rsidP="00857C78">
            <w:pPr>
              <w:pStyle w:val="Bullet"/>
              <w:numPr>
                <w:ilvl w:val="0"/>
                <w:numId w:val="0"/>
              </w:numPr>
              <w:ind w:left="33"/>
            </w:pPr>
            <w:r>
              <w:t xml:space="preserve">Évaluation si les risques des données critiques (par ex. gouvernance des données insuffisante, qualité des données insuffisante, disponibilité insuffisante, manipulation des données non autorisée, perte de données, vol de données, corruption de données) sont intégrés en tant que taxonomie autonome dans la gestion globale des risques opérationnels et s’ils sont ainsi pris en compte de manière globale, c’est-à-dire de manière adéquate dans le cadre de l’identification, l’évaluation, </w:t>
            </w:r>
            <w:r w:rsidR="00515CE6">
              <w:t xml:space="preserve">l'atténuation </w:t>
            </w:r>
            <w:r>
              <w:t>et le contrôle des risques opérationnels.</w:t>
            </w:r>
          </w:p>
          <w:p w14:paraId="45B80596" w14:textId="77777777" w:rsidR="00C20EA6" w:rsidRPr="00EF528C" w:rsidRDefault="00C20EA6" w:rsidP="00490D5C">
            <w:pPr>
              <w:pStyle w:val="Bullet"/>
              <w:numPr>
                <w:ilvl w:val="0"/>
                <w:numId w:val="0"/>
              </w:numPr>
              <w:ind w:left="360"/>
              <w:rPr>
                <w:lang w:val="fr-CH"/>
              </w:rPr>
            </w:pPr>
          </w:p>
        </w:tc>
        <w:tc>
          <w:tcPr>
            <w:tcW w:w="3969" w:type="dxa"/>
            <w:shd w:val="clear" w:color="auto" w:fill="auto"/>
          </w:tcPr>
          <w:p w14:paraId="3FBB3391" w14:textId="77777777" w:rsidR="00C20EA6" w:rsidRPr="00EF528C" w:rsidRDefault="00C20EA6" w:rsidP="00AB1883">
            <w:pPr>
              <w:pStyle w:val="Bullet"/>
              <w:numPr>
                <w:ilvl w:val="0"/>
                <w:numId w:val="0"/>
              </w:numPr>
              <w:tabs>
                <w:tab w:val="left" w:pos="708"/>
              </w:tabs>
              <w:rPr>
                <w:lang w:val="fr-CH"/>
              </w:rPr>
            </w:pPr>
          </w:p>
        </w:tc>
        <w:tc>
          <w:tcPr>
            <w:tcW w:w="2694" w:type="dxa"/>
            <w:shd w:val="clear" w:color="auto" w:fill="auto"/>
          </w:tcPr>
          <w:p w14:paraId="0BB626FB" w14:textId="77777777" w:rsidR="00D013C6" w:rsidRPr="00EF528C" w:rsidRDefault="00D013C6" w:rsidP="00A969FD">
            <w:pPr>
              <w:spacing w:line="240" w:lineRule="auto"/>
              <w:rPr>
                <w:rFonts w:cs="Arial"/>
                <w:sz w:val="16"/>
                <w:szCs w:val="16"/>
                <w:lang w:val="fr-CH"/>
              </w:rPr>
            </w:pPr>
          </w:p>
        </w:tc>
        <w:tc>
          <w:tcPr>
            <w:tcW w:w="992" w:type="dxa"/>
            <w:shd w:val="clear" w:color="auto" w:fill="auto"/>
          </w:tcPr>
          <w:p w14:paraId="660234D6" w14:textId="77777777" w:rsidR="00D013C6" w:rsidRPr="00EF528C" w:rsidRDefault="00D013C6" w:rsidP="00A969FD">
            <w:pPr>
              <w:spacing w:line="240" w:lineRule="auto"/>
              <w:rPr>
                <w:rFonts w:cs="Arial"/>
                <w:sz w:val="16"/>
                <w:szCs w:val="16"/>
                <w:lang w:val="fr-CH"/>
              </w:rPr>
            </w:pPr>
          </w:p>
        </w:tc>
      </w:tr>
      <w:tr w:rsidR="00857C78" w:rsidRPr="00A04447" w14:paraId="611605AA" w14:textId="77777777" w:rsidTr="0011737B">
        <w:tc>
          <w:tcPr>
            <w:tcW w:w="447" w:type="dxa"/>
            <w:shd w:val="clear" w:color="auto" w:fill="auto"/>
          </w:tcPr>
          <w:p w14:paraId="2CA2D434" w14:textId="77777777" w:rsidR="00857C78" w:rsidRPr="00A04447" w:rsidRDefault="00857C78" w:rsidP="00A969FD">
            <w:pPr>
              <w:spacing w:line="240" w:lineRule="auto"/>
              <w:rPr>
                <w:rFonts w:cs="Arial"/>
                <w:sz w:val="16"/>
                <w:szCs w:val="16"/>
              </w:rPr>
            </w:pPr>
            <w:r>
              <w:rPr>
                <w:sz w:val="16"/>
              </w:rPr>
              <w:t>4</w:t>
            </w:r>
          </w:p>
        </w:tc>
        <w:tc>
          <w:tcPr>
            <w:tcW w:w="4830" w:type="dxa"/>
            <w:shd w:val="clear" w:color="auto" w:fill="auto"/>
          </w:tcPr>
          <w:p w14:paraId="7DB398FE" w14:textId="77777777" w:rsidR="00857C78" w:rsidRDefault="00857C78" w:rsidP="00857C78">
            <w:pPr>
              <w:pStyle w:val="Bullet"/>
              <w:numPr>
                <w:ilvl w:val="0"/>
                <w:numId w:val="0"/>
              </w:numPr>
              <w:ind w:left="33"/>
            </w:pPr>
            <w:r>
              <w:t>Évaluation si les résultats d’audit ainsi que les évaluations des risques et des contrôles sont pris en compte lors de l’évaluation des risques conformément au Cm 30.</w:t>
            </w:r>
          </w:p>
          <w:p w14:paraId="6E013AC3" w14:textId="77777777" w:rsidR="00857C78" w:rsidRPr="00EF528C" w:rsidRDefault="00857C78" w:rsidP="00A969FD">
            <w:pPr>
              <w:pStyle w:val="Bullet"/>
              <w:numPr>
                <w:ilvl w:val="0"/>
                <w:numId w:val="0"/>
              </w:numPr>
              <w:ind w:left="33"/>
              <w:rPr>
                <w:lang w:val="fr-CH"/>
              </w:rPr>
            </w:pPr>
          </w:p>
        </w:tc>
        <w:tc>
          <w:tcPr>
            <w:tcW w:w="3969" w:type="dxa"/>
            <w:shd w:val="clear" w:color="auto" w:fill="auto"/>
          </w:tcPr>
          <w:p w14:paraId="403839A9" w14:textId="77777777" w:rsidR="00857C78" w:rsidRPr="00EF528C" w:rsidDel="00C20EA6" w:rsidRDefault="00857C78" w:rsidP="00AB1883">
            <w:pPr>
              <w:pStyle w:val="Bullet"/>
              <w:numPr>
                <w:ilvl w:val="0"/>
                <w:numId w:val="0"/>
              </w:numPr>
              <w:tabs>
                <w:tab w:val="left" w:pos="708"/>
              </w:tabs>
              <w:rPr>
                <w:lang w:val="fr-CH"/>
              </w:rPr>
            </w:pPr>
          </w:p>
        </w:tc>
        <w:tc>
          <w:tcPr>
            <w:tcW w:w="2694" w:type="dxa"/>
            <w:shd w:val="clear" w:color="auto" w:fill="auto"/>
          </w:tcPr>
          <w:p w14:paraId="4808D4BF" w14:textId="77777777" w:rsidR="00857C78" w:rsidRPr="00EF528C" w:rsidRDefault="00857C78" w:rsidP="00A969FD">
            <w:pPr>
              <w:spacing w:line="240" w:lineRule="auto"/>
              <w:rPr>
                <w:rFonts w:cs="Arial"/>
                <w:sz w:val="16"/>
                <w:szCs w:val="16"/>
                <w:lang w:val="fr-CH"/>
              </w:rPr>
            </w:pPr>
          </w:p>
        </w:tc>
        <w:tc>
          <w:tcPr>
            <w:tcW w:w="992" w:type="dxa"/>
            <w:shd w:val="clear" w:color="auto" w:fill="auto"/>
          </w:tcPr>
          <w:p w14:paraId="15D680C0" w14:textId="77777777" w:rsidR="00857C78" w:rsidRPr="00EF528C" w:rsidRDefault="00857C78" w:rsidP="00A969FD">
            <w:pPr>
              <w:spacing w:line="240" w:lineRule="auto"/>
              <w:rPr>
                <w:rFonts w:cs="Arial"/>
                <w:sz w:val="16"/>
                <w:szCs w:val="16"/>
                <w:lang w:val="fr-CH"/>
              </w:rPr>
            </w:pPr>
          </w:p>
        </w:tc>
      </w:tr>
      <w:tr w:rsidR="00EA6D90" w:rsidRPr="00A04447" w14:paraId="6E3778A3" w14:textId="77777777" w:rsidTr="0011737B">
        <w:tc>
          <w:tcPr>
            <w:tcW w:w="447" w:type="dxa"/>
            <w:shd w:val="clear" w:color="auto" w:fill="auto"/>
          </w:tcPr>
          <w:p w14:paraId="24E42247" w14:textId="77777777" w:rsidR="00EA6D90" w:rsidRPr="00A04447" w:rsidRDefault="00857C78" w:rsidP="00A969FD">
            <w:pPr>
              <w:spacing w:line="240" w:lineRule="auto"/>
              <w:rPr>
                <w:rFonts w:cs="Arial"/>
                <w:sz w:val="16"/>
                <w:szCs w:val="16"/>
              </w:rPr>
            </w:pPr>
            <w:r>
              <w:rPr>
                <w:sz w:val="16"/>
              </w:rPr>
              <w:t>5</w:t>
            </w:r>
          </w:p>
        </w:tc>
        <w:tc>
          <w:tcPr>
            <w:tcW w:w="4830" w:type="dxa"/>
            <w:shd w:val="clear" w:color="auto" w:fill="auto"/>
          </w:tcPr>
          <w:p w14:paraId="5F03B743" w14:textId="77777777" w:rsidR="00EA6D90" w:rsidRPr="00A04447" w:rsidRDefault="00EA6D90" w:rsidP="00A969FD">
            <w:pPr>
              <w:pStyle w:val="Bullet"/>
              <w:numPr>
                <w:ilvl w:val="0"/>
                <w:numId w:val="0"/>
              </w:numPr>
              <w:ind w:left="33"/>
            </w:pPr>
            <w:r>
              <w:t>Évaluation si l’organe responsable de la haute direction approuve régulièrement une stratégie de gestion des risques des données critiques et s’assure de son respect.</w:t>
            </w:r>
          </w:p>
        </w:tc>
        <w:tc>
          <w:tcPr>
            <w:tcW w:w="3969" w:type="dxa"/>
            <w:shd w:val="clear" w:color="auto" w:fill="auto"/>
          </w:tcPr>
          <w:p w14:paraId="2C9A6B65" w14:textId="331351E8" w:rsidR="00EA6D90" w:rsidRPr="00A04447" w:rsidRDefault="00EA6D90" w:rsidP="00EA6D90">
            <w:pPr>
              <w:spacing w:line="240" w:lineRule="auto"/>
            </w:pPr>
            <w:r>
              <w:rPr>
                <w:sz w:val="16"/>
              </w:rPr>
              <w:t>Examen si les aspects suivants sont correctement pris en compte dans la stratégie relative au traitement des données critiques et aux mesures de protection :</w:t>
            </w:r>
          </w:p>
          <w:p w14:paraId="3B16C44E" w14:textId="77777777" w:rsidR="00EA6D90" w:rsidRPr="00A04447" w:rsidRDefault="00EA6D90" w:rsidP="00EA6D90">
            <w:pPr>
              <w:pStyle w:val="Paragraphedeliste"/>
              <w:numPr>
                <w:ilvl w:val="0"/>
                <w:numId w:val="6"/>
              </w:numPr>
              <w:spacing w:line="240" w:lineRule="auto"/>
              <w:ind w:left="360"/>
            </w:pPr>
            <w:r>
              <w:rPr>
                <w:sz w:val="16"/>
              </w:rPr>
              <w:t>définition spécifique à l’établissement des données critiques ;</w:t>
            </w:r>
          </w:p>
          <w:p w14:paraId="7375AA2B" w14:textId="77777777" w:rsidR="00EA6D90" w:rsidRPr="00A04447" w:rsidRDefault="00EA6D90" w:rsidP="00EA6D90">
            <w:pPr>
              <w:pStyle w:val="Paragraphedeliste"/>
              <w:numPr>
                <w:ilvl w:val="0"/>
                <w:numId w:val="6"/>
              </w:numPr>
              <w:spacing w:line="240" w:lineRule="auto"/>
              <w:ind w:left="360"/>
            </w:pPr>
            <w:r>
              <w:rPr>
                <w:sz w:val="16"/>
              </w:rPr>
              <w:t>identification et catégorisation systématiques des données ;</w:t>
            </w:r>
          </w:p>
          <w:p w14:paraId="040E188E" w14:textId="77777777" w:rsidR="00EA6D90" w:rsidRPr="00A04447" w:rsidRDefault="00EA6D90" w:rsidP="00EA6D90">
            <w:pPr>
              <w:pStyle w:val="Paragraphedeliste"/>
              <w:numPr>
                <w:ilvl w:val="0"/>
                <w:numId w:val="6"/>
              </w:numPr>
              <w:spacing w:line="240" w:lineRule="auto"/>
              <w:ind w:left="360"/>
            </w:pPr>
            <w:r>
              <w:rPr>
                <w:sz w:val="16"/>
              </w:rPr>
              <w:lastRenderedPageBreak/>
              <w:t>gestion complète des risques des données critiques,</w:t>
            </w:r>
          </w:p>
          <w:p w14:paraId="2BD0A67A" w14:textId="26D40158" w:rsidR="00EA6D90" w:rsidRDefault="00EA6D90" w:rsidP="00EA6D90">
            <w:pPr>
              <w:pStyle w:val="Paragraphedeliste"/>
              <w:numPr>
                <w:ilvl w:val="0"/>
                <w:numId w:val="6"/>
              </w:numPr>
              <w:spacing w:line="240" w:lineRule="auto"/>
              <w:ind w:left="360"/>
              <w:rPr>
                <w:sz w:val="16"/>
                <w:szCs w:val="16"/>
              </w:rPr>
            </w:pPr>
            <w:r>
              <w:rPr>
                <w:sz w:val="16"/>
              </w:rPr>
              <w:t>tâches, compétences et responsabilités en matière de gestion de</w:t>
            </w:r>
            <w:r w:rsidR="00916516">
              <w:rPr>
                <w:sz w:val="16"/>
              </w:rPr>
              <w:t>s</w:t>
            </w:r>
            <w:r>
              <w:rPr>
                <w:sz w:val="16"/>
              </w:rPr>
              <w:t xml:space="preserve"> données critiques, </w:t>
            </w:r>
          </w:p>
          <w:p w14:paraId="7E8F5435" w14:textId="77777777" w:rsidR="00EA6D90" w:rsidRPr="00A04447" w:rsidRDefault="00EA6D90" w:rsidP="00EA6D90">
            <w:pPr>
              <w:pStyle w:val="Paragraphedeliste"/>
              <w:numPr>
                <w:ilvl w:val="0"/>
                <w:numId w:val="6"/>
              </w:numPr>
              <w:spacing w:line="240" w:lineRule="auto"/>
              <w:ind w:left="360"/>
              <w:rPr>
                <w:sz w:val="16"/>
                <w:szCs w:val="16"/>
              </w:rPr>
            </w:pPr>
            <w:r>
              <w:rPr>
                <w:sz w:val="16"/>
              </w:rPr>
              <w:t>dispositif relatif aux objectifs de protection de la confidentialité, de l’intégrité et de la disponibilité des données critiques.</w:t>
            </w:r>
          </w:p>
        </w:tc>
        <w:tc>
          <w:tcPr>
            <w:tcW w:w="2694" w:type="dxa"/>
            <w:shd w:val="clear" w:color="auto" w:fill="auto"/>
          </w:tcPr>
          <w:p w14:paraId="5B9E76CE" w14:textId="77777777" w:rsidR="00EA6D90" w:rsidRPr="00EF528C" w:rsidRDefault="00EA6D90" w:rsidP="00A969FD">
            <w:pPr>
              <w:spacing w:line="240" w:lineRule="auto"/>
              <w:rPr>
                <w:rFonts w:cs="Arial"/>
                <w:sz w:val="16"/>
                <w:szCs w:val="16"/>
                <w:lang w:val="fr-CH"/>
              </w:rPr>
            </w:pPr>
          </w:p>
        </w:tc>
        <w:tc>
          <w:tcPr>
            <w:tcW w:w="992" w:type="dxa"/>
            <w:shd w:val="clear" w:color="auto" w:fill="auto"/>
          </w:tcPr>
          <w:p w14:paraId="694098EC" w14:textId="77777777" w:rsidR="00EA6D90" w:rsidRPr="00EF528C" w:rsidRDefault="00EA6D90" w:rsidP="00A969FD">
            <w:pPr>
              <w:spacing w:line="240" w:lineRule="auto"/>
              <w:rPr>
                <w:rFonts w:cs="Arial"/>
                <w:sz w:val="16"/>
                <w:szCs w:val="16"/>
                <w:lang w:val="fr-CH"/>
              </w:rPr>
            </w:pPr>
          </w:p>
        </w:tc>
      </w:tr>
      <w:tr w:rsidR="00D013C6" w:rsidRPr="00A04447" w14:paraId="48B307A9" w14:textId="77777777" w:rsidTr="0011737B">
        <w:tc>
          <w:tcPr>
            <w:tcW w:w="447" w:type="dxa"/>
            <w:shd w:val="clear" w:color="auto" w:fill="auto"/>
          </w:tcPr>
          <w:p w14:paraId="611BFC6D" w14:textId="77777777" w:rsidR="00D013C6" w:rsidRPr="00A04447" w:rsidRDefault="00857C78" w:rsidP="00A969FD">
            <w:pPr>
              <w:spacing w:line="240" w:lineRule="auto"/>
              <w:rPr>
                <w:rFonts w:cs="Arial"/>
                <w:sz w:val="16"/>
                <w:szCs w:val="16"/>
              </w:rPr>
            </w:pPr>
            <w:r>
              <w:rPr>
                <w:sz w:val="16"/>
              </w:rPr>
              <w:t>6</w:t>
            </w:r>
          </w:p>
        </w:tc>
        <w:tc>
          <w:tcPr>
            <w:tcW w:w="4830" w:type="dxa"/>
            <w:shd w:val="clear" w:color="auto" w:fill="auto"/>
          </w:tcPr>
          <w:p w14:paraId="09AFBB24" w14:textId="77777777" w:rsidR="00D013C6" w:rsidRPr="00A04447" w:rsidRDefault="00D013C6" w:rsidP="00A969FD">
            <w:pPr>
              <w:pStyle w:val="Bullet"/>
              <w:numPr>
                <w:ilvl w:val="0"/>
                <w:numId w:val="0"/>
              </w:numPr>
              <w:ind w:left="33"/>
            </w:pPr>
            <w:r>
              <w:t>Évaluation si l’organe responsable de la haute direction évalue et approuve au moins une fois par an la tolérance aux risques des données critiques conformément à la politique de risque et en tenant compte des objectifs stratégiques et financiers de l’établissement.</w:t>
            </w:r>
          </w:p>
        </w:tc>
        <w:tc>
          <w:tcPr>
            <w:tcW w:w="3969" w:type="dxa"/>
            <w:shd w:val="clear" w:color="auto" w:fill="auto"/>
          </w:tcPr>
          <w:p w14:paraId="35AB09E1" w14:textId="77777777" w:rsidR="00D013C6" w:rsidRPr="00EF528C" w:rsidRDefault="00D013C6" w:rsidP="00EA6D90">
            <w:pPr>
              <w:spacing w:line="240" w:lineRule="auto"/>
              <w:rPr>
                <w:lang w:val="fr-CH"/>
              </w:rPr>
            </w:pPr>
          </w:p>
        </w:tc>
        <w:tc>
          <w:tcPr>
            <w:tcW w:w="2694" w:type="dxa"/>
            <w:shd w:val="clear" w:color="auto" w:fill="auto"/>
          </w:tcPr>
          <w:p w14:paraId="7DA6C03F" w14:textId="77777777" w:rsidR="00D013C6" w:rsidRPr="00EF528C" w:rsidRDefault="00D013C6" w:rsidP="00A969FD">
            <w:pPr>
              <w:spacing w:line="240" w:lineRule="auto"/>
              <w:rPr>
                <w:rFonts w:cs="Arial"/>
                <w:sz w:val="16"/>
                <w:szCs w:val="16"/>
                <w:lang w:val="fr-CH"/>
              </w:rPr>
            </w:pPr>
          </w:p>
        </w:tc>
        <w:tc>
          <w:tcPr>
            <w:tcW w:w="992" w:type="dxa"/>
            <w:shd w:val="clear" w:color="auto" w:fill="auto"/>
          </w:tcPr>
          <w:p w14:paraId="012A23FB" w14:textId="77777777" w:rsidR="00D013C6" w:rsidRPr="00EF528C" w:rsidRDefault="00D013C6" w:rsidP="00A969FD">
            <w:pPr>
              <w:spacing w:line="240" w:lineRule="auto"/>
              <w:rPr>
                <w:rFonts w:cs="Arial"/>
                <w:sz w:val="16"/>
                <w:szCs w:val="16"/>
                <w:lang w:val="fr-CH"/>
              </w:rPr>
            </w:pPr>
          </w:p>
        </w:tc>
      </w:tr>
      <w:tr w:rsidR="00D013C6" w:rsidRPr="00A04447" w14:paraId="5875CF34" w14:textId="77777777" w:rsidTr="0011737B">
        <w:tc>
          <w:tcPr>
            <w:tcW w:w="447" w:type="dxa"/>
            <w:shd w:val="clear" w:color="auto" w:fill="auto"/>
          </w:tcPr>
          <w:p w14:paraId="1739B012" w14:textId="77777777" w:rsidR="00D013C6" w:rsidRPr="00A04447" w:rsidRDefault="00857C78" w:rsidP="00A969FD">
            <w:pPr>
              <w:spacing w:line="240" w:lineRule="auto"/>
              <w:rPr>
                <w:rFonts w:cs="Arial"/>
                <w:sz w:val="16"/>
                <w:szCs w:val="16"/>
              </w:rPr>
            </w:pPr>
            <w:r>
              <w:rPr>
                <w:sz w:val="16"/>
              </w:rPr>
              <w:t>7</w:t>
            </w:r>
          </w:p>
        </w:tc>
        <w:tc>
          <w:tcPr>
            <w:tcW w:w="4830" w:type="dxa"/>
            <w:shd w:val="clear" w:color="auto" w:fill="auto"/>
          </w:tcPr>
          <w:p w14:paraId="1B246108" w14:textId="7DDA8058" w:rsidR="00D013C6" w:rsidRPr="00A04447" w:rsidRDefault="00D013C6" w:rsidP="00A969FD">
            <w:pPr>
              <w:pStyle w:val="Bullet"/>
              <w:numPr>
                <w:ilvl w:val="0"/>
                <w:numId w:val="0"/>
              </w:numPr>
              <w:ind w:left="33"/>
            </w:pPr>
            <w:r>
              <w:t>Évaluation du caractère approprié de l’identification des risques inhérents</w:t>
            </w:r>
            <w:r w:rsidR="00B2252D">
              <w:t xml:space="preserve"> importants</w:t>
            </w:r>
            <w:r>
              <w:t xml:space="preserve"> en matière de risques des données critiques. Si les risques des données critiques ne sont pas identifiés comme des risques inhérents</w:t>
            </w:r>
            <w:r w:rsidR="00B2252D">
              <w:t xml:space="preserve"> importants</w:t>
            </w:r>
            <w:r>
              <w:t>, il convient d’évaluer le caractère compréhensible de la justification de cette décision.</w:t>
            </w:r>
          </w:p>
        </w:tc>
        <w:tc>
          <w:tcPr>
            <w:tcW w:w="3969" w:type="dxa"/>
            <w:shd w:val="clear" w:color="auto" w:fill="auto"/>
          </w:tcPr>
          <w:p w14:paraId="5DAB361D" w14:textId="753E96E7" w:rsidR="00E14832" w:rsidRPr="0011737B" w:rsidRDefault="00525FA6" w:rsidP="0011737B">
            <w:pPr>
              <w:spacing w:line="240" w:lineRule="auto"/>
            </w:pPr>
            <w:r>
              <w:rPr>
                <w:sz w:val="16"/>
              </w:rPr>
              <w:t xml:space="preserve">Examen sur la base d’un échantillon approprié d’éléments relatifs à l’identification de risques </w:t>
            </w:r>
            <w:r w:rsidR="00B2252D">
              <w:rPr>
                <w:sz w:val="16"/>
              </w:rPr>
              <w:t>importants</w:t>
            </w:r>
            <w:r>
              <w:rPr>
                <w:sz w:val="16"/>
              </w:rPr>
              <w:t xml:space="preserve"> et évaluation</w:t>
            </w:r>
            <w:r w:rsidR="0053705C">
              <w:rPr>
                <w:sz w:val="16"/>
              </w:rPr>
              <w:t>,</w:t>
            </w:r>
            <w:r>
              <w:rPr>
                <w:sz w:val="16"/>
              </w:rPr>
              <w:t xml:space="preserve"> si les </w:t>
            </w:r>
            <w:proofErr w:type="gramStart"/>
            <w:r>
              <w:rPr>
                <w:sz w:val="16"/>
              </w:rPr>
              <w:t>risques potentiels</w:t>
            </w:r>
            <w:proofErr w:type="gramEnd"/>
            <w:r>
              <w:rPr>
                <w:sz w:val="16"/>
              </w:rPr>
              <w:t xml:space="preserve"> liés aux risques des données critiques sont identifiés et pris en compte</w:t>
            </w:r>
            <w:r w:rsidR="0053705C">
              <w:rPr>
                <w:sz w:val="16"/>
              </w:rPr>
              <w:t>,</w:t>
            </w:r>
            <w:r>
              <w:rPr>
                <w:sz w:val="16"/>
              </w:rPr>
              <w:t xml:space="preserve"> et si l’évaluation du caractère </w:t>
            </w:r>
            <w:r w:rsidR="00B2252D">
              <w:rPr>
                <w:sz w:val="16"/>
              </w:rPr>
              <w:t>important</w:t>
            </w:r>
            <w:r>
              <w:rPr>
                <w:sz w:val="16"/>
              </w:rPr>
              <w:t xml:space="preserve"> des risques inhérents correspond à la tolérance au risque. </w:t>
            </w:r>
          </w:p>
        </w:tc>
        <w:tc>
          <w:tcPr>
            <w:tcW w:w="2694" w:type="dxa"/>
            <w:shd w:val="clear" w:color="auto" w:fill="auto"/>
          </w:tcPr>
          <w:p w14:paraId="0C47D7F2" w14:textId="77777777" w:rsidR="00D013C6" w:rsidRPr="00EF528C" w:rsidRDefault="00D013C6" w:rsidP="00A969FD">
            <w:pPr>
              <w:spacing w:line="240" w:lineRule="auto"/>
              <w:rPr>
                <w:rFonts w:cs="Arial"/>
                <w:sz w:val="16"/>
                <w:szCs w:val="16"/>
                <w:lang w:val="fr-CH"/>
              </w:rPr>
            </w:pPr>
          </w:p>
        </w:tc>
        <w:tc>
          <w:tcPr>
            <w:tcW w:w="992" w:type="dxa"/>
            <w:shd w:val="clear" w:color="auto" w:fill="auto"/>
          </w:tcPr>
          <w:p w14:paraId="3B34177C" w14:textId="77777777" w:rsidR="00D013C6" w:rsidRPr="00EF528C" w:rsidRDefault="00D013C6" w:rsidP="00A969FD">
            <w:pPr>
              <w:spacing w:line="240" w:lineRule="auto"/>
              <w:rPr>
                <w:rFonts w:cs="Arial"/>
                <w:sz w:val="16"/>
                <w:szCs w:val="16"/>
                <w:lang w:val="fr-CH"/>
              </w:rPr>
            </w:pPr>
          </w:p>
        </w:tc>
      </w:tr>
      <w:tr w:rsidR="00AB1883" w:rsidRPr="00A04447" w14:paraId="407447E3" w14:textId="77777777" w:rsidTr="0011737B">
        <w:tc>
          <w:tcPr>
            <w:tcW w:w="447" w:type="dxa"/>
            <w:shd w:val="clear" w:color="auto" w:fill="auto"/>
          </w:tcPr>
          <w:p w14:paraId="3A9AF1F5" w14:textId="77777777" w:rsidR="00AB1883" w:rsidRPr="00A04447" w:rsidRDefault="00857C78" w:rsidP="00A969FD">
            <w:pPr>
              <w:spacing w:line="240" w:lineRule="auto"/>
              <w:rPr>
                <w:rFonts w:cs="Arial"/>
                <w:sz w:val="16"/>
                <w:szCs w:val="16"/>
              </w:rPr>
            </w:pPr>
            <w:r>
              <w:rPr>
                <w:sz w:val="16"/>
              </w:rPr>
              <w:t>8</w:t>
            </w:r>
          </w:p>
        </w:tc>
        <w:tc>
          <w:tcPr>
            <w:tcW w:w="4830" w:type="dxa"/>
            <w:shd w:val="clear" w:color="auto" w:fill="auto"/>
          </w:tcPr>
          <w:p w14:paraId="65410557" w14:textId="3429F22E" w:rsidR="00AB1883" w:rsidRPr="0011737B" w:rsidRDefault="00AB1883" w:rsidP="0011737B">
            <w:pPr>
              <w:pStyle w:val="Bullet"/>
              <w:numPr>
                <w:ilvl w:val="0"/>
                <w:numId w:val="0"/>
              </w:numPr>
              <w:ind w:left="33"/>
            </w:pPr>
            <w:r>
              <w:t xml:space="preserve">Évaluation des mesures organisationnelles </w:t>
            </w:r>
            <w:r w:rsidR="00E16F82">
              <w:t>visant à renforcer</w:t>
            </w:r>
            <w:r>
              <w:t xml:space="preserve"> la sensibilisation du personnel et des principaux intervenants externes (y c</w:t>
            </w:r>
            <w:r w:rsidR="0060414E">
              <w:t>ompris</w:t>
            </w:r>
            <w:r>
              <w:t xml:space="preserve"> des prestataires) concernant le</w:t>
            </w:r>
            <w:r w:rsidR="00E16F82">
              <w:t>ur</w:t>
            </w:r>
            <w:r>
              <w:t>s tâches, compétences et responsabilités en matière de réduction générale des risques relati</w:t>
            </w:r>
            <w:r w:rsidR="00E16F82">
              <w:t>f</w:t>
            </w:r>
            <w:r>
              <w:t xml:space="preserve">s </w:t>
            </w:r>
            <w:r w:rsidR="00E16F82">
              <w:t>au traitement</w:t>
            </w:r>
            <w:r>
              <w:t xml:space="preserve"> de</w:t>
            </w:r>
            <w:r w:rsidR="00E16F82">
              <w:t>s</w:t>
            </w:r>
            <w:r>
              <w:t xml:space="preserve"> données critiques.</w:t>
            </w:r>
          </w:p>
          <w:p w14:paraId="0A76C36F" w14:textId="77777777" w:rsidR="00AB1883" w:rsidRPr="00EF528C" w:rsidRDefault="00AB1883" w:rsidP="0011737B">
            <w:pPr>
              <w:pStyle w:val="Bullet"/>
              <w:numPr>
                <w:ilvl w:val="0"/>
                <w:numId w:val="0"/>
              </w:numPr>
              <w:ind w:left="720" w:hanging="360"/>
              <w:rPr>
                <w:lang w:val="fr-CH"/>
              </w:rPr>
            </w:pPr>
          </w:p>
        </w:tc>
        <w:tc>
          <w:tcPr>
            <w:tcW w:w="3969" w:type="dxa"/>
            <w:vMerge w:val="restart"/>
            <w:shd w:val="clear" w:color="auto" w:fill="auto"/>
          </w:tcPr>
          <w:p w14:paraId="09343139" w14:textId="176890CC" w:rsidR="00AB1883" w:rsidRPr="00A04447" w:rsidRDefault="00AB1883" w:rsidP="00A969FD">
            <w:pPr>
              <w:spacing w:line="240" w:lineRule="auto"/>
              <w:rPr>
                <w:rFonts w:cs="Arial"/>
                <w:sz w:val="16"/>
                <w:szCs w:val="16"/>
              </w:rPr>
            </w:pPr>
            <w:r>
              <w:rPr>
                <w:sz w:val="16"/>
              </w:rPr>
              <w:t>Examen sur la base d’un échantillon approprié de collaborateurs clés et des principaux intervenants externes (y c</w:t>
            </w:r>
            <w:r w:rsidR="0060414E">
              <w:rPr>
                <w:sz w:val="16"/>
              </w:rPr>
              <w:t>ompris</w:t>
            </w:r>
            <w:r>
              <w:rPr>
                <w:sz w:val="16"/>
              </w:rPr>
              <w:t xml:space="preserve"> des prestataires) si des mesures suffisantes de sensibilisation à la gestion de</w:t>
            </w:r>
            <w:r w:rsidR="00916516">
              <w:rPr>
                <w:sz w:val="16"/>
              </w:rPr>
              <w:t>s</w:t>
            </w:r>
            <w:r>
              <w:rPr>
                <w:sz w:val="16"/>
              </w:rPr>
              <w:t xml:space="preserve"> données critiques sont prises. Il convient qu</w:t>
            </w:r>
            <w:r w:rsidR="00DB53FA">
              <w:rPr>
                <w:sz w:val="16"/>
              </w:rPr>
              <w:t>'une ou plusieurs</w:t>
            </w:r>
            <w:r>
              <w:rPr>
                <w:sz w:val="16"/>
              </w:rPr>
              <w:t xml:space="preserve"> des mesures suivantes soient prises :</w:t>
            </w:r>
          </w:p>
          <w:p w14:paraId="32511E84" w14:textId="77777777" w:rsidR="00AB1883" w:rsidRPr="00A04447" w:rsidRDefault="00AB1883" w:rsidP="0092679D">
            <w:pPr>
              <w:pStyle w:val="Paragraphedeliste"/>
              <w:numPr>
                <w:ilvl w:val="0"/>
                <w:numId w:val="6"/>
              </w:numPr>
              <w:spacing w:line="240" w:lineRule="auto"/>
              <w:ind w:left="360"/>
            </w:pPr>
            <w:r>
              <w:rPr>
                <w:sz w:val="16"/>
              </w:rPr>
              <w:t xml:space="preserve">confirmation de la prise de connaissance et du respect du code de conduite </w:t>
            </w:r>
            <w:r>
              <w:rPr>
                <w:i/>
                <w:iCs/>
                <w:sz w:val="16"/>
              </w:rPr>
              <w:t xml:space="preserve">(code of </w:t>
            </w:r>
            <w:proofErr w:type="spellStart"/>
            <w:r>
              <w:rPr>
                <w:i/>
                <w:iCs/>
                <w:sz w:val="16"/>
              </w:rPr>
              <w:t>conduct</w:t>
            </w:r>
            <w:proofErr w:type="spellEnd"/>
            <w:r>
              <w:rPr>
                <w:i/>
                <w:iCs/>
                <w:sz w:val="16"/>
              </w:rPr>
              <w:t>)</w:t>
            </w:r>
            <w:r>
              <w:rPr>
                <w:sz w:val="16"/>
              </w:rPr>
              <w:t>,</w:t>
            </w:r>
          </w:p>
          <w:p w14:paraId="6D0C7A61" w14:textId="1642812A" w:rsidR="00AB1883" w:rsidRPr="00A04447" w:rsidRDefault="00AB1883" w:rsidP="0092679D">
            <w:pPr>
              <w:pStyle w:val="Paragraphedeliste"/>
              <w:numPr>
                <w:ilvl w:val="0"/>
                <w:numId w:val="6"/>
              </w:numPr>
              <w:spacing w:line="240" w:lineRule="auto"/>
              <w:ind w:left="360"/>
            </w:pPr>
            <w:r>
              <w:rPr>
                <w:sz w:val="16"/>
              </w:rPr>
              <w:t>formations de sensibilisation à la gestion de</w:t>
            </w:r>
            <w:r w:rsidR="00302DC8">
              <w:rPr>
                <w:sz w:val="16"/>
              </w:rPr>
              <w:t>s</w:t>
            </w:r>
            <w:r>
              <w:rPr>
                <w:sz w:val="16"/>
              </w:rPr>
              <w:t xml:space="preserve"> données critiques,</w:t>
            </w:r>
          </w:p>
          <w:p w14:paraId="12BFBF92" w14:textId="69881C38" w:rsidR="00AB1883" w:rsidRPr="00A04447" w:rsidRDefault="00AB1883" w:rsidP="0092679D">
            <w:pPr>
              <w:pStyle w:val="Paragraphedeliste"/>
              <w:numPr>
                <w:ilvl w:val="0"/>
                <w:numId w:val="6"/>
              </w:numPr>
              <w:spacing w:line="240" w:lineRule="auto"/>
              <w:ind w:left="360"/>
            </w:pPr>
            <w:r>
              <w:rPr>
                <w:sz w:val="16"/>
              </w:rPr>
              <w:t>annonces internes et communication régulière sur la gestion de</w:t>
            </w:r>
            <w:r w:rsidR="00302DC8">
              <w:rPr>
                <w:sz w:val="16"/>
              </w:rPr>
              <w:t>s</w:t>
            </w:r>
            <w:r>
              <w:rPr>
                <w:sz w:val="16"/>
              </w:rPr>
              <w:t xml:space="preserve"> données critiques, la sécurité des données et la protection des données, </w:t>
            </w:r>
          </w:p>
          <w:p w14:paraId="6124FFE8" w14:textId="77777777" w:rsidR="00AB1883" w:rsidRPr="00A04447" w:rsidRDefault="00AB1883" w:rsidP="00AB1883">
            <w:pPr>
              <w:pStyle w:val="Paragraphedeliste"/>
              <w:numPr>
                <w:ilvl w:val="0"/>
                <w:numId w:val="6"/>
              </w:numPr>
              <w:spacing w:line="240" w:lineRule="auto"/>
              <w:ind w:left="360"/>
            </w:pPr>
            <w:r>
              <w:rPr>
                <w:sz w:val="16"/>
              </w:rPr>
              <w:t>formations spécifiques aux groupes cibles pour les personnes internes et externes ayant des droits d’accès (élargis) aux données critiques.</w:t>
            </w:r>
          </w:p>
        </w:tc>
        <w:tc>
          <w:tcPr>
            <w:tcW w:w="2694" w:type="dxa"/>
            <w:shd w:val="clear" w:color="auto" w:fill="auto"/>
          </w:tcPr>
          <w:p w14:paraId="637A4623" w14:textId="77777777" w:rsidR="00AB1883" w:rsidRPr="00EF528C" w:rsidRDefault="00AB1883" w:rsidP="00A969FD">
            <w:pPr>
              <w:spacing w:line="240" w:lineRule="auto"/>
              <w:rPr>
                <w:rFonts w:cs="Arial"/>
                <w:sz w:val="16"/>
                <w:szCs w:val="16"/>
                <w:lang w:val="fr-CH"/>
              </w:rPr>
            </w:pPr>
          </w:p>
        </w:tc>
        <w:tc>
          <w:tcPr>
            <w:tcW w:w="992" w:type="dxa"/>
            <w:shd w:val="clear" w:color="auto" w:fill="auto"/>
          </w:tcPr>
          <w:p w14:paraId="64E1AB44" w14:textId="77777777" w:rsidR="00AB1883" w:rsidRPr="00EF528C" w:rsidRDefault="00AB1883" w:rsidP="00A969FD">
            <w:pPr>
              <w:spacing w:line="240" w:lineRule="auto"/>
              <w:rPr>
                <w:rFonts w:cs="Arial"/>
                <w:sz w:val="16"/>
                <w:szCs w:val="16"/>
                <w:lang w:val="fr-CH"/>
              </w:rPr>
            </w:pPr>
          </w:p>
        </w:tc>
      </w:tr>
      <w:tr w:rsidR="009126B8" w:rsidRPr="00A04447" w14:paraId="39B722DB" w14:textId="77777777" w:rsidTr="00470051">
        <w:trPr>
          <w:trHeight w:val="2204"/>
        </w:trPr>
        <w:tc>
          <w:tcPr>
            <w:tcW w:w="447" w:type="dxa"/>
            <w:shd w:val="clear" w:color="auto" w:fill="auto"/>
          </w:tcPr>
          <w:p w14:paraId="47F6B6CA" w14:textId="77777777" w:rsidR="009126B8" w:rsidRPr="00A04447" w:rsidRDefault="00857C78" w:rsidP="00A969FD">
            <w:pPr>
              <w:spacing w:line="240" w:lineRule="auto"/>
              <w:rPr>
                <w:rFonts w:cs="Arial"/>
                <w:sz w:val="16"/>
                <w:szCs w:val="16"/>
              </w:rPr>
            </w:pPr>
            <w:r>
              <w:rPr>
                <w:sz w:val="16"/>
              </w:rPr>
              <w:t>9</w:t>
            </w:r>
          </w:p>
          <w:p w14:paraId="5ECF4FBA" w14:textId="77777777" w:rsidR="009126B8" w:rsidRPr="00A04447" w:rsidRDefault="009126B8" w:rsidP="00A969FD">
            <w:pPr>
              <w:spacing w:line="240" w:lineRule="auto"/>
              <w:rPr>
                <w:rFonts w:cs="Arial"/>
                <w:sz w:val="16"/>
                <w:szCs w:val="16"/>
                <w:lang w:val="de-CH"/>
              </w:rPr>
            </w:pPr>
          </w:p>
        </w:tc>
        <w:tc>
          <w:tcPr>
            <w:tcW w:w="4830" w:type="dxa"/>
            <w:shd w:val="clear" w:color="auto" w:fill="auto"/>
          </w:tcPr>
          <w:p w14:paraId="5232856F" w14:textId="2187AC97" w:rsidR="009126B8" w:rsidRPr="00A04447" w:rsidRDefault="009126B8" w:rsidP="00A969FD">
            <w:pPr>
              <w:pStyle w:val="Bullet"/>
              <w:numPr>
                <w:ilvl w:val="0"/>
                <w:numId w:val="0"/>
              </w:numPr>
            </w:pPr>
            <w:r>
              <w:t>Évaluation du caractère approprié des formations sur la gestion de</w:t>
            </w:r>
            <w:r w:rsidR="00916516">
              <w:t>s</w:t>
            </w:r>
            <w:r>
              <w:t xml:space="preserve"> données critiques relatives aux risques effectifs et de l’orientation adéquate de la formation en fonction du groupe cible (par ex. des collaborateurs ayant accès à des données critiques, des collaborateurs disposant de droits privilégiés ou élargis, des cadres, des intervenants externes [y c</w:t>
            </w:r>
            <w:r w:rsidR="0060414E">
              <w:t>ompris</w:t>
            </w:r>
            <w:r>
              <w:t xml:space="preserve"> des prestataires]).</w:t>
            </w:r>
          </w:p>
          <w:p w14:paraId="7735DE9E" w14:textId="77777777" w:rsidR="009126B8" w:rsidRPr="00EF528C" w:rsidRDefault="009126B8" w:rsidP="00404655">
            <w:pPr>
              <w:pStyle w:val="Bullet"/>
              <w:ind w:left="0"/>
              <w:rPr>
                <w:lang w:val="fr-CH"/>
              </w:rPr>
            </w:pPr>
          </w:p>
        </w:tc>
        <w:tc>
          <w:tcPr>
            <w:tcW w:w="3969" w:type="dxa"/>
            <w:vMerge/>
            <w:shd w:val="clear" w:color="auto" w:fill="auto"/>
          </w:tcPr>
          <w:p w14:paraId="68AA57CB" w14:textId="77777777" w:rsidR="009126B8" w:rsidRPr="00EF528C" w:rsidRDefault="009126B8" w:rsidP="00A969FD">
            <w:pPr>
              <w:spacing w:line="240" w:lineRule="auto"/>
              <w:rPr>
                <w:rFonts w:cs="Arial"/>
                <w:sz w:val="16"/>
                <w:szCs w:val="16"/>
                <w:lang w:val="fr-CH"/>
              </w:rPr>
            </w:pPr>
          </w:p>
        </w:tc>
        <w:tc>
          <w:tcPr>
            <w:tcW w:w="2694" w:type="dxa"/>
            <w:shd w:val="clear" w:color="auto" w:fill="auto"/>
          </w:tcPr>
          <w:p w14:paraId="69F70573" w14:textId="77777777" w:rsidR="009126B8" w:rsidRPr="00EF528C" w:rsidRDefault="009126B8" w:rsidP="00A969FD">
            <w:pPr>
              <w:spacing w:line="240" w:lineRule="auto"/>
              <w:rPr>
                <w:rFonts w:cs="Arial"/>
                <w:sz w:val="16"/>
                <w:szCs w:val="16"/>
                <w:lang w:val="fr-CH"/>
              </w:rPr>
            </w:pPr>
          </w:p>
        </w:tc>
        <w:tc>
          <w:tcPr>
            <w:tcW w:w="992" w:type="dxa"/>
            <w:shd w:val="clear" w:color="auto" w:fill="auto"/>
          </w:tcPr>
          <w:p w14:paraId="4498EC89" w14:textId="77777777" w:rsidR="009126B8" w:rsidRPr="00EF528C" w:rsidRDefault="009126B8" w:rsidP="00A969FD">
            <w:pPr>
              <w:spacing w:line="240" w:lineRule="auto"/>
              <w:rPr>
                <w:rFonts w:cs="Arial"/>
                <w:sz w:val="16"/>
                <w:szCs w:val="16"/>
                <w:lang w:val="fr-CH"/>
              </w:rPr>
            </w:pPr>
          </w:p>
        </w:tc>
      </w:tr>
      <w:tr w:rsidR="00AB1883" w:rsidRPr="00A04447" w14:paraId="707C374A" w14:textId="77777777" w:rsidTr="0011737B">
        <w:tc>
          <w:tcPr>
            <w:tcW w:w="447" w:type="dxa"/>
            <w:shd w:val="clear" w:color="auto" w:fill="auto"/>
          </w:tcPr>
          <w:p w14:paraId="41C0F24B" w14:textId="77777777" w:rsidR="00AB1883" w:rsidRPr="00A04447" w:rsidRDefault="00857C78" w:rsidP="00A969FD">
            <w:pPr>
              <w:spacing w:line="240" w:lineRule="auto"/>
              <w:rPr>
                <w:rFonts w:cs="Arial"/>
                <w:sz w:val="16"/>
                <w:szCs w:val="16"/>
              </w:rPr>
            </w:pPr>
            <w:r>
              <w:rPr>
                <w:sz w:val="16"/>
              </w:rPr>
              <w:t>10</w:t>
            </w:r>
          </w:p>
        </w:tc>
        <w:tc>
          <w:tcPr>
            <w:tcW w:w="4830" w:type="dxa"/>
            <w:shd w:val="clear" w:color="auto" w:fill="auto"/>
          </w:tcPr>
          <w:p w14:paraId="221BECB5" w14:textId="0A13BA16" w:rsidR="00AB1883" w:rsidRPr="00A04447" w:rsidRDefault="00AB1883" w:rsidP="00A969FD">
            <w:pPr>
              <w:pStyle w:val="Bullet"/>
              <w:numPr>
                <w:ilvl w:val="0"/>
                <w:numId w:val="0"/>
              </w:numPr>
            </w:pPr>
            <w:r>
              <w:t>Évaluation du caractère approprié du rapport à la direction (contenu, régularité, etc.) sur l’évolution des risques TIC pertinents (y c</w:t>
            </w:r>
            <w:r w:rsidR="0060414E">
              <w:t>ompris</w:t>
            </w:r>
            <w:r>
              <w:t xml:space="preserve"> les risques des données critiques), l’efficacité des contrôles clés et les incidents internes et externes </w:t>
            </w:r>
            <w:r w:rsidR="00B2252D">
              <w:t>importants</w:t>
            </w:r>
            <w:r>
              <w:t>.</w:t>
            </w:r>
          </w:p>
        </w:tc>
        <w:tc>
          <w:tcPr>
            <w:tcW w:w="3969" w:type="dxa"/>
            <w:shd w:val="clear" w:color="auto" w:fill="auto"/>
          </w:tcPr>
          <w:p w14:paraId="24549DD8" w14:textId="77777777" w:rsidR="00AB1883" w:rsidRPr="00EF528C" w:rsidRDefault="00AB1883" w:rsidP="00A969FD">
            <w:pPr>
              <w:spacing w:line="240" w:lineRule="auto"/>
              <w:rPr>
                <w:rFonts w:cs="Arial"/>
                <w:sz w:val="16"/>
                <w:szCs w:val="16"/>
                <w:lang w:val="fr-CH"/>
              </w:rPr>
            </w:pPr>
          </w:p>
        </w:tc>
        <w:tc>
          <w:tcPr>
            <w:tcW w:w="2694" w:type="dxa"/>
            <w:shd w:val="clear" w:color="auto" w:fill="auto"/>
          </w:tcPr>
          <w:p w14:paraId="5D3822E3" w14:textId="77777777" w:rsidR="00AB1883" w:rsidRPr="00EF528C" w:rsidRDefault="00AB1883" w:rsidP="00A969FD">
            <w:pPr>
              <w:spacing w:line="240" w:lineRule="auto"/>
              <w:rPr>
                <w:rFonts w:cs="Arial"/>
                <w:sz w:val="16"/>
                <w:szCs w:val="16"/>
                <w:lang w:val="fr-CH"/>
              </w:rPr>
            </w:pPr>
          </w:p>
        </w:tc>
        <w:tc>
          <w:tcPr>
            <w:tcW w:w="992" w:type="dxa"/>
            <w:shd w:val="clear" w:color="auto" w:fill="auto"/>
          </w:tcPr>
          <w:p w14:paraId="4D9F39E0" w14:textId="77777777" w:rsidR="00AB1883" w:rsidRPr="00EF528C" w:rsidRDefault="00AB1883" w:rsidP="00A969FD">
            <w:pPr>
              <w:spacing w:line="240" w:lineRule="auto"/>
              <w:rPr>
                <w:rFonts w:cs="Arial"/>
                <w:sz w:val="16"/>
                <w:szCs w:val="16"/>
                <w:lang w:val="fr-CH"/>
              </w:rPr>
            </w:pPr>
          </w:p>
        </w:tc>
      </w:tr>
      <w:tr w:rsidR="00AB1883" w:rsidRPr="00A04447" w14:paraId="34EABBEE" w14:textId="77777777" w:rsidTr="0011737B">
        <w:tc>
          <w:tcPr>
            <w:tcW w:w="447" w:type="dxa"/>
            <w:shd w:val="clear" w:color="auto" w:fill="auto"/>
          </w:tcPr>
          <w:p w14:paraId="686207D1" w14:textId="77777777" w:rsidR="00AB1883" w:rsidRPr="00A04447" w:rsidRDefault="00857C78" w:rsidP="00A969FD">
            <w:pPr>
              <w:spacing w:line="240" w:lineRule="auto"/>
              <w:rPr>
                <w:rFonts w:cs="Arial"/>
                <w:sz w:val="16"/>
                <w:szCs w:val="16"/>
              </w:rPr>
            </w:pPr>
            <w:r>
              <w:rPr>
                <w:sz w:val="16"/>
              </w:rPr>
              <w:lastRenderedPageBreak/>
              <w:t>11</w:t>
            </w:r>
          </w:p>
        </w:tc>
        <w:tc>
          <w:tcPr>
            <w:tcW w:w="4830" w:type="dxa"/>
            <w:shd w:val="clear" w:color="auto" w:fill="auto"/>
          </w:tcPr>
          <w:p w14:paraId="13D2D989" w14:textId="4D13FBC5" w:rsidR="00AB1883" w:rsidRPr="00A04447" w:rsidRDefault="00AB1883" w:rsidP="00A969FD">
            <w:pPr>
              <w:pStyle w:val="Bullet"/>
              <w:numPr>
                <w:ilvl w:val="0"/>
                <w:numId w:val="0"/>
              </w:numPr>
            </w:pPr>
            <w:r>
              <w:t>Évaluation des résultats d’audit et des contrôle</w:t>
            </w:r>
            <w:r w:rsidR="003227DF">
              <w:t>s</w:t>
            </w:r>
            <w:r>
              <w:t xml:space="preserve"> </w:t>
            </w:r>
            <w:r w:rsidR="0000351D">
              <w:t>de</w:t>
            </w:r>
            <w:r>
              <w:t xml:space="preserve"> la révision interne et/ou d’autres fonctions de contrôle (par ex. contrôle des risques indépendant) relati</w:t>
            </w:r>
            <w:r w:rsidR="0000351D">
              <w:t>fs à</w:t>
            </w:r>
            <w:r>
              <w:t xml:space="preserve"> la gestion des risques des données critiques et examen des procès-verbaux des séances des comités/fonctions correspondant(e)s.</w:t>
            </w:r>
          </w:p>
        </w:tc>
        <w:tc>
          <w:tcPr>
            <w:tcW w:w="3969" w:type="dxa"/>
            <w:shd w:val="clear" w:color="auto" w:fill="auto"/>
          </w:tcPr>
          <w:p w14:paraId="1AF012DF" w14:textId="77777777" w:rsidR="00AB1883" w:rsidRPr="00EF528C" w:rsidRDefault="00AB1883" w:rsidP="00A969FD">
            <w:pPr>
              <w:spacing w:line="240" w:lineRule="auto"/>
              <w:rPr>
                <w:rFonts w:cs="Arial"/>
                <w:sz w:val="16"/>
                <w:szCs w:val="16"/>
                <w:lang w:val="fr-CH"/>
              </w:rPr>
            </w:pPr>
          </w:p>
        </w:tc>
        <w:tc>
          <w:tcPr>
            <w:tcW w:w="2694" w:type="dxa"/>
            <w:shd w:val="clear" w:color="auto" w:fill="auto"/>
          </w:tcPr>
          <w:p w14:paraId="0710AE09" w14:textId="77777777" w:rsidR="00AB1883" w:rsidRPr="00EF528C" w:rsidRDefault="00AB1883" w:rsidP="00A969FD">
            <w:pPr>
              <w:spacing w:line="240" w:lineRule="auto"/>
              <w:rPr>
                <w:rFonts w:cs="Arial"/>
                <w:sz w:val="16"/>
                <w:szCs w:val="16"/>
                <w:lang w:val="fr-CH"/>
              </w:rPr>
            </w:pPr>
          </w:p>
        </w:tc>
        <w:tc>
          <w:tcPr>
            <w:tcW w:w="992" w:type="dxa"/>
            <w:shd w:val="clear" w:color="auto" w:fill="auto"/>
          </w:tcPr>
          <w:p w14:paraId="25F14B84" w14:textId="77777777" w:rsidR="00AB1883" w:rsidRPr="00EF528C" w:rsidRDefault="00AB1883" w:rsidP="00A969FD">
            <w:pPr>
              <w:spacing w:line="240" w:lineRule="auto"/>
              <w:rPr>
                <w:rFonts w:cs="Arial"/>
                <w:sz w:val="16"/>
                <w:szCs w:val="16"/>
                <w:lang w:val="fr-CH"/>
              </w:rPr>
            </w:pPr>
          </w:p>
        </w:tc>
      </w:tr>
      <w:tr w:rsidR="00A969FD" w:rsidRPr="00A04447" w14:paraId="0956690F" w14:textId="77777777" w:rsidTr="0011737B">
        <w:tc>
          <w:tcPr>
            <w:tcW w:w="129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85D0C" w14:textId="77777777" w:rsidR="00A969FD" w:rsidRPr="00A04447" w:rsidRDefault="00A969FD" w:rsidP="00A969FD">
            <w:pPr>
              <w:spacing w:line="240" w:lineRule="auto"/>
              <w:rPr>
                <w:rFonts w:cs="Arial"/>
                <w:sz w:val="16"/>
                <w:szCs w:val="16"/>
              </w:rPr>
            </w:pPr>
            <w:r>
              <w:rPr>
                <w:i/>
                <w:sz w:val="16"/>
              </w:rPr>
              <w:t>Tâches, compétences et responsabilités (Cm 72 et 75 de la Circ.-FINMA 23/1) :</w:t>
            </w:r>
          </w:p>
        </w:tc>
      </w:tr>
      <w:tr w:rsidR="00F56878" w:rsidRPr="00A04447" w14:paraId="4C76C78F" w14:textId="77777777" w:rsidTr="0011737B">
        <w:tc>
          <w:tcPr>
            <w:tcW w:w="447" w:type="dxa"/>
            <w:shd w:val="clear" w:color="auto" w:fill="auto"/>
          </w:tcPr>
          <w:p w14:paraId="530913CE" w14:textId="77777777" w:rsidR="00F56878" w:rsidRPr="00A04447" w:rsidRDefault="004B11EC" w:rsidP="00A969FD">
            <w:pPr>
              <w:spacing w:line="240" w:lineRule="auto"/>
              <w:rPr>
                <w:rFonts w:cs="Arial"/>
                <w:sz w:val="16"/>
                <w:szCs w:val="16"/>
              </w:rPr>
            </w:pPr>
            <w:r>
              <w:rPr>
                <w:sz w:val="16"/>
              </w:rPr>
              <w:t>12</w:t>
            </w:r>
          </w:p>
        </w:tc>
        <w:tc>
          <w:tcPr>
            <w:tcW w:w="4830" w:type="dxa"/>
            <w:shd w:val="clear" w:color="auto" w:fill="auto"/>
          </w:tcPr>
          <w:p w14:paraId="1E4997E3" w14:textId="77777777" w:rsidR="00BE7163" w:rsidRPr="00A04447" w:rsidRDefault="00CC1A7E" w:rsidP="00401D47">
            <w:pPr>
              <w:pStyle w:val="Bullet"/>
              <w:numPr>
                <w:ilvl w:val="0"/>
                <w:numId w:val="0"/>
              </w:numPr>
              <w:ind w:left="33"/>
            </w:pPr>
            <w:r>
              <w:rPr>
                <w:b/>
                <w:sz w:val="24"/>
              </w:rPr>
              <w:t>**</w:t>
            </w:r>
            <w:r>
              <w:rPr>
                <w:b/>
              </w:rPr>
              <w:t xml:space="preserve"> </w:t>
            </w:r>
            <w:r>
              <w:t>Évaluation du caractère approprié, de la qualification et de l’indépendance de l’entité qui assure la fonction de contrôle (indépendant) du respect de la confidentialité, de l’intégrité et de la disponibilité des données critiques par des processus, procédures et contrôles appropriés.</w:t>
            </w:r>
          </w:p>
        </w:tc>
        <w:tc>
          <w:tcPr>
            <w:tcW w:w="3969" w:type="dxa"/>
            <w:shd w:val="clear" w:color="auto" w:fill="auto"/>
          </w:tcPr>
          <w:p w14:paraId="08548EF9" w14:textId="77777777" w:rsidR="00F56878" w:rsidRPr="00EF528C" w:rsidRDefault="00F56878" w:rsidP="0092679D">
            <w:pPr>
              <w:rPr>
                <w:sz w:val="16"/>
                <w:szCs w:val="16"/>
                <w:lang w:val="fr-CH"/>
              </w:rPr>
            </w:pPr>
          </w:p>
        </w:tc>
        <w:tc>
          <w:tcPr>
            <w:tcW w:w="2694" w:type="dxa"/>
            <w:shd w:val="clear" w:color="auto" w:fill="auto"/>
          </w:tcPr>
          <w:p w14:paraId="2EFDA014" w14:textId="77777777" w:rsidR="00F56878" w:rsidRPr="00EF528C" w:rsidRDefault="00F56878" w:rsidP="00A969FD">
            <w:pPr>
              <w:spacing w:line="240" w:lineRule="auto"/>
              <w:rPr>
                <w:rFonts w:cs="Arial"/>
                <w:sz w:val="16"/>
                <w:szCs w:val="16"/>
                <w:lang w:val="fr-CH"/>
              </w:rPr>
            </w:pPr>
          </w:p>
        </w:tc>
        <w:tc>
          <w:tcPr>
            <w:tcW w:w="992" w:type="dxa"/>
            <w:shd w:val="clear" w:color="auto" w:fill="auto"/>
          </w:tcPr>
          <w:p w14:paraId="52F2ECE4" w14:textId="77777777" w:rsidR="00F56878" w:rsidRPr="00EF528C" w:rsidRDefault="00F56878" w:rsidP="00A969FD">
            <w:pPr>
              <w:spacing w:line="240" w:lineRule="auto"/>
              <w:rPr>
                <w:rFonts w:cs="Arial"/>
                <w:sz w:val="16"/>
                <w:szCs w:val="16"/>
                <w:lang w:val="fr-CH"/>
              </w:rPr>
            </w:pPr>
          </w:p>
        </w:tc>
      </w:tr>
      <w:tr w:rsidR="00A969FD" w:rsidRPr="00A04447" w14:paraId="2B397E69" w14:textId="77777777" w:rsidTr="0011737B">
        <w:tc>
          <w:tcPr>
            <w:tcW w:w="447" w:type="dxa"/>
            <w:shd w:val="clear" w:color="auto" w:fill="auto"/>
          </w:tcPr>
          <w:p w14:paraId="03D2A5E6" w14:textId="77777777" w:rsidR="00A969FD" w:rsidRPr="00A04447" w:rsidRDefault="004B11EC" w:rsidP="00A969FD">
            <w:pPr>
              <w:spacing w:line="240" w:lineRule="auto"/>
              <w:rPr>
                <w:rFonts w:cs="Arial"/>
                <w:sz w:val="16"/>
                <w:szCs w:val="16"/>
              </w:rPr>
            </w:pPr>
            <w:r>
              <w:rPr>
                <w:sz w:val="16"/>
              </w:rPr>
              <w:t>13</w:t>
            </w:r>
          </w:p>
        </w:tc>
        <w:tc>
          <w:tcPr>
            <w:tcW w:w="4830" w:type="dxa"/>
            <w:shd w:val="clear" w:color="auto" w:fill="auto"/>
          </w:tcPr>
          <w:p w14:paraId="43332014" w14:textId="4C272E23" w:rsidR="00A969FD" w:rsidRPr="00A04447" w:rsidRDefault="00CC1A7E" w:rsidP="00A969FD">
            <w:pPr>
              <w:pStyle w:val="Bullet"/>
              <w:numPr>
                <w:ilvl w:val="0"/>
                <w:numId w:val="0"/>
              </w:numPr>
              <w:ind w:left="33"/>
            </w:pPr>
            <w:r>
              <w:rPr>
                <w:b/>
                <w:sz w:val="24"/>
              </w:rPr>
              <w:t>**</w:t>
            </w:r>
            <w:r>
              <w:t xml:space="preserve"> Évaluation du caractère approprié des tâches, compétences et responsabilités dans la gestion des données critiques identifiées par l’établissement tout au long du cycle de vie de ces données, afin d’en assurer la confidentialité, l’intégrité et la disponibilité.</w:t>
            </w:r>
          </w:p>
          <w:p w14:paraId="1B626999" w14:textId="77777777" w:rsidR="00A969FD" w:rsidRPr="00EF528C" w:rsidRDefault="00A969FD" w:rsidP="00A969FD">
            <w:pPr>
              <w:pStyle w:val="Bullet"/>
              <w:numPr>
                <w:ilvl w:val="0"/>
                <w:numId w:val="0"/>
              </w:numPr>
              <w:ind w:left="33"/>
              <w:rPr>
                <w:lang w:val="fr-CH"/>
              </w:rPr>
            </w:pPr>
          </w:p>
        </w:tc>
        <w:tc>
          <w:tcPr>
            <w:tcW w:w="3969" w:type="dxa"/>
            <w:shd w:val="clear" w:color="auto" w:fill="auto"/>
          </w:tcPr>
          <w:p w14:paraId="2979CD41" w14:textId="1621C8A3" w:rsidR="00A969FD" w:rsidRPr="00A04447" w:rsidRDefault="00CC1A7E" w:rsidP="0092679D">
            <w:r>
              <w:rPr>
                <w:b/>
                <w:sz w:val="24"/>
              </w:rPr>
              <w:t>**</w:t>
            </w:r>
            <w:r>
              <w:rPr>
                <w:sz w:val="16"/>
              </w:rPr>
              <w:t xml:space="preserve"> </w:t>
            </w:r>
            <w:r w:rsidR="00073440">
              <w:rPr>
                <w:sz w:val="16"/>
              </w:rPr>
              <w:t>S</w:t>
            </w:r>
            <w:r>
              <w:rPr>
                <w:sz w:val="16"/>
              </w:rPr>
              <w:t>ur la base d’un échantillon approprié de documents adéquats destinés aux collaborateurs clés</w:t>
            </w:r>
            <w:r w:rsidR="00073440">
              <w:rPr>
                <w:sz w:val="16"/>
              </w:rPr>
              <w:t>, examiner</w:t>
            </w:r>
            <w:r>
              <w:rPr>
                <w:sz w:val="16"/>
              </w:rPr>
              <w:t xml:space="preserve"> si les tâches, compétences et responsabilités sont définies et attribuées de manière adéquate dans la gestion des données critiques. Les aspects suivants doivent être pris en compte :</w:t>
            </w:r>
          </w:p>
          <w:p w14:paraId="40C3F2B5" w14:textId="77777777" w:rsidR="00A969FD" w:rsidRPr="0011737B" w:rsidRDefault="00A969FD" w:rsidP="0092679D">
            <w:pPr>
              <w:pStyle w:val="Paragraphedeliste"/>
              <w:numPr>
                <w:ilvl w:val="0"/>
                <w:numId w:val="6"/>
              </w:numPr>
              <w:spacing w:line="240" w:lineRule="auto"/>
              <w:ind w:left="360"/>
              <w:rPr>
                <w:sz w:val="16"/>
                <w:szCs w:val="16"/>
              </w:rPr>
            </w:pPr>
            <w:r>
              <w:rPr>
                <w:sz w:val="16"/>
              </w:rPr>
              <w:t xml:space="preserve">description claire des rôles (par ex. </w:t>
            </w:r>
            <w:r>
              <w:rPr>
                <w:i/>
                <w:iCs/>
                <w:sz w:val="16"/>
              </w:rPr>
              <w:t xml:space="preserve">data </w:t>
            </w:r>
            <w:proofErr w:type="spellStart"/>
            <w:r>
              <w:rPr>
                <w:i/>
                <w:iCs/>
                <w:sz w:val="16"/>
              </w:rPr>
              <w:t>producer</w:t>
            </w:r>
            <w:proofErr w:type="spellEnd"/>
            <w:r>
              <w:rPr>
                <w:sz w:val="16"/>
              </w:rPr>
              <w:t xml:space="preserve">, </w:t>
            </w:r>
            <w:r>
              <w:rPr>
                <w:i/>
                <w:iCs/>
                <w:sz w:val="16"/>
              </w:rPr>
              <w:t>data consumer</w:t>
            </w:r>
            <w:r>
              <w:rPr>
                <w:sz w:val="16"/>
              </w:rPr>
              <w:t xml:space="preserve">, </w:t>
            </w:r>
            <w:r>
              <w:rPr>
                <w:i/>
                <w:iCs/>
                <w:sz w:val="16"/>
              </w:rPr>
              <w:t xml:space="preserve">data </w:t>
            </w:r>
            <w:proofErr w:type="spellStart"/>
            <w:r>
              <w:rPr>
                <w:i/>
                <w:iCs/>
                <w:sz w:val="16"/>
              </w:rPr>
              <w:t>administrator</w:t>
            </w:r>
            <w:proofErr w:type="spellEnd"/>
            <w:r>
              <w:rPr>
                <w:sz w:val="16"/>
              </w:rPr>
              <w:t xml:space="preserve">, </w:t>
            </w:r>
            <w:r>
              <w:rPr>
                <w:i/>
                <w:iCs/>
                <w:sz w:val="16"/>
              </w:rPr>
              <w:t xml:space="preserve">data </w:t>
            </w:r>
            <w:proofErr w:type="spellStart"/>
            <w:r>
              <w:rPr>
                <w:i/>
                <w:iCs/>
                <w:sz w:val="16"/>
              </w:rPr>
              <w:t>quality</w:t>
            </w:r>
            <w:proofErr w:type="spellEnd"/>
            <w:r>
              <w:rPr>
                <w:i/>
                <w:iCs/>
                <w:sz w:val="16"/>
              </w:rPr>
              <w:t xml:space="preserve"> </w:t>
            </w:r>
            <w:proofErr w:type="spellStart"/>
            <w:r>
              <w:rPr>
                <w:i/>
                <w:iCs/>
                <w:sz w:val="16"/>
              </w:rPr>
              <w:t>analyst</w:t>
            </w:r>
            <w:proofErr w:type="spellEnd"/>
            <w:r>
              <w:rPr>
                <w:sz w:val="16"/>
              </w:rPr>
              <w:t xml:space="preserve">, </w:t>
            </w:r>
            <w:r>
              <w:rPr>
                <w:i/>
                <w:iCs/>
                <w:sz w:val="16"/>
              </w:rPr>
              <w:t xml:space="preserve">data </w:t>
            </w:r>
            <w:proofErr w:type="spellStart"/>
            <w:r>
              <w:rPr>
                <w:i/>
                <w:iCs/>
                <w:sz w:val="16"/>
              </w:rPr>
              <w:t>owner</w:t>
            </w:r>
            <w:proofErr w:type="spellEnd"/>
            <w:r>
              <w:rPr>
                <w:i/>
                <w:iCs/>
                <w:sz w:val="16"/>
              </w:rPr>
              <w:t xml:space="preserve"> / steward / </w:t>
            </w:r>
            <w:proofErr w:type="spellStart"/>
            <w:r>
              <w:rPr>
                <w:i/>
                <w:iCs/>
                <w:sz w:val="16"/>
              </w:rPr>
              <w:t>custodian</w:t>
            </w:r>
            <w:proofErr w:type="spellEnd"/>
            <w:r>
              <w:rPr>
                <w:sz w:val="16"/>
              </w:rPr>
              <w:t>, etc.) ;</w:t>
            </w:r>
          </w:p>
          <w:p w14:paraId="3842D728" w14:textId="77777777" w:rsidR="00A969FD" w:rsidRPr="0011737B" w:rsidRDefault="00A969FD" w:rsidP="0092679D">
            <w:pPr>
              <w:pStyle w:val="Paragraphedeliste"/>
              <w:numPr>
                <w:ilvl w:val="0"/>
                <w:numId w:val="6"/>
              </w:numPr>
              <w:spacing w:line="240" w:lineRule="auto"/>
              <w:ind w:left="360"/>
              <w:rPr>
                <w:sz w:val="16"/>
                <w:szCs w:val="16"/>
              </w:rPr>
            </w:pPr>
            <w:r>
              <w:rPr>
                <w:sz w:val="16"/>
              </w:rPr>
              <w:t xml:space="preserve">description claire des tâches, compétences et responsabilités des rôles ; </w:t>
            </w:r>
          </w:p>
          <w:p w14:paraId="7744E55B" w14:textId="77777777" w:rsidR="00A969FD" w:rsidRPr="00A04447" w:rsidDel="000E489F" w:rsidRDefault="00A969FD" w:rsidP="0092679D">
            <w:pPr>
              <w:pStyle w:val="Paragraphedeliste"/>
              <w:numPr>
                <w:ilvl w:val="0"/>
                <w:numId w:val="6"/>
              </w:numPr>
              <w:spacing w:line="240" w:lineRule="auto"/>
              <w:ind w:left="360"/>
              <w:rPr>
                <w:sz w:val="16"/>
                <w:szCs w:val="16"/>
              </w:rPr>
            </w:pPr>
            <w:r>
              <w:rPr>
                <w:sz w:val="16"/>
              </w:rPr>
              <w:t>description claire de l’organisation, la délimitation des fonctions, les lignes de rapport et les voies de communication.</w:t>
            </w:r>
          </w:p>
        </w:tc>
        <w:tc>
          <w:tcPr>
            <w:tcW w:w="2694" w:type="dxa"/>
            <w:shd w:val="clear" w:color="auto" w:fill="auto"/>
          </w:tcPr>
          <w:p w14:paraId="291FCD5F" w14:textId="77777777" w:rsidR="00A969FD" w:rsidRPr="00EF528C" w:rsidRDefault="00A969FD" w:rsidP="00A969FD">
            <w:pPr>
              <w:spacing w:line="240" w:lineRule="auto"/>
              <w:rPr>
                <w:rFonts w:cs="Arial"/>
                <w:sz w:val="16"/>
                <w:szCs w:val="16"/>
                <w:lang w:val="fr-CH"/>
              </w:rPr>
            </w:pPr>
          </w:p>
        </w:tc>
        <w:tc>
          <w:tcPr>
            <w:tcW w:w="992" w:type="dxa"/>
            <w:shd w:val="clear" w:color="auto" w:fill="auto"/>
          </w:tcPr>
          <w:p w14:paraId="44166BFC" w14:textId="77777777" w:rsidR="00A969FD" w:rsidRPr="00EF528C" w:rsidRDefault="00A969FD" w:rsidP="00A969FD">
            <w:pPr>
              <w:spacing w:line="240" w:lineRule="auto"/>
              <w:rPr>
                <w:rFonts w:cs="Arial"/>
                <w:sz w:val="16"/>
                <w:szCs w:val="16"/>
                <w:lang w:val="fr-CH"/>
              </w:rPr>
            </w:pPr>
          </w:p>
        </w:tc>
      </w:tr>
      <w:tr w:rsidR="00A969FD" w:rsidRPr="00A04447" w14:paraId="60BA69DA" w14:textId="77777777" w:rsidTr="0011737B">
        <w:tc>
          <w:tcPr>
            <w:tcW w:w="447" w:type="dxa"/>
            <w:shd w:val="clear" w:color="auto" w:fill="auto"/>
          </w:tcPr>
          <w:p w14:paraId="57B35025" w14:textId="77777777" w:rsidR="00A969FD" w:rsidRPr="00A04447" w:rsidRDefault="004B11EC" w:rsidP="00A969FD">
            <w:pPr>
              <w:spacing w:line="240" w:lineRule="auto"/>
              <w:rPr>
                <w:rFonts w:cs="Arial"/>
                <w:sz w:val="16"/>
                <w:szCs w:val="16"/>
              </w:rPr>
            </w:pPr>
            <w:r>
              <w:rPr>
                <w:sz w:val="16"/>
              </w:rPr>
              <w:t>14</w:t>
            </w:r>
          </w:p>
        </w:tc>
        <w:tc>
          <w:tcPr>
            <w:tcW w:w="4830" w:type="dxa"/>
            <w:shd w:val="clear" w:color="auto" w:fill="auto"/>
          </w:tcPr>
          <w:p w14:paraId="151678A8" w14:textId="0615E302" w:rsidR="00A969FD" w:rsidRPr="0011737B" w:rsidRDefault="00CC1A7E">
            <w:pPr>
              <w:pStyle w:val="Bullet"/>
              <w:numPr>
                <w:ilvl w:val="0"/>
                <w:numId w:val="0"/>
              </w:numPr>
              <w:ind w:left="33"/>
              <w:rPr>
                <w:rFonts w:cstheme="minorBidi"/>
              </w:rPr>
            </w:pPr>
            <w:r>
              <w:rPr>
                <w:b/>
                <w:sz w:val="24"/>
              </w:rPr>
              <w:t>**</w:t>
            </w:r>
            <w:r>
              <w:rPr>
                <w:b/>
              </w:rPr>
              <w:t xml:space="preserve"> </w:t>
            </w:r>
            <w:r>
              <w:t>Évaluation du caractère approprié de l’attribution des tâches, compétences et responsabilités dans la gestion des données critiques identifiées par l’établissement tout au long du cycle de vie de ces données, afin d’en assurer la confidentialité, l’intégrité et la disponibilité.</w:t>
            </w:r>
          </w:p>
        </w:tc>
        <w:tc>
          <w:tcPr>
            <w:tcW w:w="3969" w:type="dxa"/>
            <w:shd w:val="clear" w:color="auto" w:fill="auto"/>
          </w:tcPr>
          <w:p w14:paraId="1A1F7703" w14:textId="10B2745C" w:rsidR="00A969FD" w:rsidRPr="00A04447" w:rsidRDefault="00CC1A7E">
            <w:pPr>
              <w:spacing w:line="240" w:lineRule="auto"/>
              <w:rPr>
                <w:sz w:val="16"/>
                <w:szCs w:val="16"/>
              </w:rPr>
            </w:pPr>
            <w:r>
              <w:rPr>
                <w:b/>
                <w:sz w:val="24"/>
              </w:rPr>
              <w:t xml:space="preserve">** </w:t>
            </w:r>
            <w:r w:rsidR="00073440">
              <w:rPr>
                <w:sz w:val="16"/>
              </w:rPr>
              <w:t>S</w:t>
            </w:r>
            <w:r>
              <w:rPr>
                <w:sz w:val="16"/>
              </w:rPr>
              <w:t>ur la base d’un échantillon approprié de documents adéquats destinés aux collaborateurs clés</w:t>
            </w:r>
            <w:r w:rsidR="00073440">
              <w:rPr>
                <w:sz w:val="16"/>
              </w:rPr>
              <w:t>, examiner</w:t>
            </w:r>
            <w:r>
              <w:rPr>
                <w:sz w:val="16"/>
              </w:rPr>
              <w:t xml:space="preserve"> si les aspects suivants ont été pris en compte de manière adéquate :</w:t>
            </w:r>
          </w:p>
          <w:p w14:paraId="4425677C" w14:textId="77777777" w:rsidR="00A969FD" w:rsidRPr="00A04447" w:rsidRDefault="00A969FD">
            <w:pPr>
              <w:pStyle w:val="Paragraphedeliste"/>
              <w:numPr>
                <w:ilvl w:val="0"/>
                <w:numId w:val="6"/>
              </w:numPr>
              <w:spacing w:line="240" w:lineRule="auto"/>
              <w:ind w:left="360"/>
              <w:rPr>
                <w:sz w:val="16"/>
                <w:szCs w:val="16"/>
              </w:rPr>
            </w:pPr>
            <w:r>
              <w:rPr>
                <w:sz w:val="16"/>
              </w:rPr>
              <w:t>qualification et expérience ;</w:t>
            </w:r>
          </w:p>
          <w:p w14:paraId="69FFDF21" w14:textId="77777777" w:rsidR="00967F18" w:rsidRPr="00A04447" w:rsidRDefault="00967F18" w:rsidP="0092679D">
            <w:pPr>
              <w:pStyle w:val="Paragraphedeliste"/>
              <w:numPr>
                <w:ilvl w:val="0"/>
                <w:numId w:val="6"/>
              </w:numPr>
              <w:spacing w:line="240" w:lineRule="auto"/>
              <w:ind w:left="360"/>
              <w:rPr>
                <w:sz w:val="16"/>
                <w:szCs w:val="16"/>
              </w:rPr>
            </w:pPr>
            <w:r>
              <w:rPr>
                <w:sz w:val="16"/>
              </w:rPr>
              <w:t>fonction ;</w:t>
            </w:r>
          </w:p>
          <w:p w14:paraId="181FE216" w14:textId="77777777" w:rsidR="00A969FD" w:rsidRPr="00A04447" w:rsidDel="000E489F" w:rsidRDefault="009E7820" w:rsidP="0092679D">
            <w:pPr>
              <w:pStyle w:val="Paragraphedeliste"/>
              <w:numPr>
                <w:ilvl w:val="0"/>
                <w:numId w:val="6"/>
              </w:numPr>
              <w:spacing w:line="240" w:lineRule="auto"/>
              <w:ind w:left="360"/>
              <w:rPr>
                <w:sz w:val="16"/>
                <w:szCs w:val="16"/>
              </w:rPr>
            </w:pPr>
            <w:r>
              <w:rPr>
                <w:sz w:val="16"/>
              </w:rPr>
              <w:t>proportionnalité de l’attribution d’éléments de données par responsable des données.</w:t>
            </w:r>
          </w:p>
        </w:tc>
        <w:tc>
          <w:tcPr>
            <w:tcW w:w="2694" w:type="dxa"/>
            <w:shd w:val="clear" w:color="auto" w:fill="auto"/>
          </w:tcPr>
          <w:p w14:paraId="1A312B74" w14:textId="77777777" w:rsidR="00A969FD" w:rsidRPr="00EF528C" w:rsidRDefault="00A969FD" w:rsidP="00A969FD">
            <w:pPr>
              <w:spacing w:line="240" w:lineRule="auto"/>
              <w:rPr>
                <w:rFonts w:cs="Arial"/>
                <w:sz w:val="16"/>
                <w:szCs w:val="16"/>
                <w:lang w:val="fr-CH"/>
              </w:rPr>
            </w:pPr>
          </w:p>
        </w:tc>
        <w:tc>
          <w:tcPr>
            <w:tcW w:w="992" w:type="dxa"/>
            <w:shd w:val="clear" w:color="auto" w:fill="auto"/>
          </w:tcPr>
          <w:p w14:paraId="6B5CC33A" w14:textId="77777777" w:rsidR="00A969FD" w:rsidRPr="00EF528C" w:rsidRDefault="00A969FD" w:rsidP="00A969FD">
            <w:pPr>
              <w:spacing w:line="240" w:lineRule="auto"/>
              <w:rPr>
                <w:rFonts w:cs="Arial"/>
                <w:sz w:val="16"/>
                <w:szCs w:val="16"/>
                <w:lang w:val="fr-CH"/>
              </w:rPr>
            </w:pPr>
          </w:p>
        </w:tc>
      </w:tr>
    </w:tbl>
    <w:p w14:paraId="6A7BABAE" w14:textId="77777777" w:rsidR="00783B23" w:rsidRDefault="00783B23">
      <w:r>
        <w:br w:type="page"/>
      </w:r>
    </w:p>
    <w:tbl>
      <w:tblPr>
        <w:tblW w:w="129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4830"/>
        <w:gridCol w:w="3969"/>
        <w:gridCol w:w="2694"/>
        <w:gridCol w:w="992"/>
      </w:tblGrid>
      <w:tr w:rsidR="00A969FD" w:rsidRPr="00A04447" w:rsidDel="005402E1" w14:paraId="4139CC89" w14:textId="77777777" w:rsidTr="0011737B">
        <w:tc>
          <w:tcPr>
            <w:tcW w:w="129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762A19" w14:textId="29269C7B" w:rsidR="00A969FD" w:rsidRPr="00EF528C" w:rsidDel="005402E1" w:rsidRDefault="00A969FD" w:rsidP="00A969FD">
            <w:pPr>
              <w:spacing w:line="240" w:lineRule="auto"/>
              <w:rPr>
                <w:rFonts w:cs="Arial"/>
                <w:i/>
                <w:iCs/>
                <w:sz w:val="16"/>
                <w:szCs w:val="16"/>
              </w:rPr>
            </w:pPr>
            <w:r w:rsidRPr="00EF528C">
              <w:rPr>
                <w:i/>
                <w:iCs/>
                <w:sz w:val="16"/>
              </w:rPr>
              <w:lastRenderedPageBreak/>
              <w:t>Procédures, processus et contrôles (Cm 74 à 78 de la Circ.-FINMA 23/1) :</w:t>
            </w:r>
          </w:p>
        </w:tc>
      </w:tr>
      <w:tr w:rsidR="00A969FD" w:rsidRPr="00A04447" w:rsidDel="005402E1" w14:paraId="1E7B867E" w14:textId="77777777" w:rsidTr="003B21E3">
        <w:tc>
          <w:tcPr>
            <w:tcW w:w="447" w:type="dxa"/>
            <w:shd w:val="clear" w:color="auto" w:fill="auto"/>
          </w:tcPr>
          <w:p w14:paraId="61687A3C" w14:textId="77777777" w:rsidR="00A969FD" w:rsidRPr="00A04447" w:rsidDel="005402E1" w:rsidRDefault="004B11EC" w:rsidP="00A969FD">
            <w:pPr>
              <w:spacing w:line="240" w:lineRule="auto"/>
              <w:rPr>
                <w:rFonts w:cs="Arial"/>
                <w:sz w:val="16"/>
                <w:szCs w:val="16"/>
              </w:rPr>
            </w:pPr>
            <w:r>
              <w:rPr>
                <w:sz w:val="16"/>
              </w:rPr>
              <w:t>15</w:t>
            </w:r>
          </w:p>
        </w:tc>
        <w:tc>
          <w:tcPr>
            <w:tcW w:w="4830" w:type="dxa"/>
            <w:shd w:val="clear" w:color="auto" w:fill="auto"/>
          </w:tcPr>
          <w:p w14:paraId="0026412B" w14:textId="3AC7C97A" w:rsidR="00A969FD" w:rsidRPr="00A04447" w:rsidDel="005402E1" w:rsidRDefault="00A969FD" w:rsidP="00A969FD">
            <w:pPr>
              <w:rPr>
                <w:rFonts w:cs="Arial"/>
                <w:sz w:val="16"/>
                <w:szCs w:val="16"/>
              </w:rPr>
            </w:pPr>
            <w:r>
              <w:rPr>
                <w:sz w:val="16"/>
              </w:rPr>
              <w:t>Évaluation du caractère approprié des contrôles clés dans la gestion de</w:t>
            </w:r>
            <w:r w:rsidR="004C3708">
              <w:rPr>
                <w:sz w:val="16"/>
              </w:rPr>
              <w:t>s</w:t>
            </w:r>
            <w:r>
              <w:rPr>
                <w:sz w:val="16"/>
              </w:rPr>
              <w:t xml:space="preserve"> données critiques garantissant la confidentialité, l’intégrité et la disponibilité. Des contrôles clés adéquats sont effectués régulièrement et protègent les données critiques tout au long de leur cycle de vie. </w:t>
            </w:r>
            <w:r w:rsidRPr="00C128FA">
              <w:rPr>
                <w:sz w:val="16"/>
              </w:rPr>
              <w:t>Celui-ci inclut : la collecte, l’enregistrement, la conservation, l’utilisation, la modification, la communication, le transfert, l’archivage, l’effacement et la destruction des données.</w:t>
            </w:r>
          </w:p>
        </w:tc>
        <w:tc>
          <w:tcPr>
            <w:tcW w:w="3969" w:type="dxa"/>
            <w:shd w:val="clear" w:color="auto" w:fill="auto"/>
          </w:tcPr>
          <w:p w14:paraId="569EBB47" w14:textId="77777777" w:rsidR="00A969FD" w:rsidRPr="003B21E3" w:rsidRDefault="001E46C1" w:rsidP="0092679D">
            <w:pPr>
              <w:spacing w:line="240" w:lineRule="auto"/>
            </w:pPr>
            <w:r>
              <w:rPr>
                <w:b/>
                <w:sz w:val="24"/>
              </w:rPr>
              <w:t xml:space="preserve">* </w:t>
            </w:r>
            <w:r>
              <w:rPr>
                <w:sz w:val="16"/>
              </w:rPr>
              <w:t>Examen de l’efficacité opérationnelle des contrôles clés garantissant :</w:t>
            </w:r>
          </w:p>
          <w:p w14:paraId="22837687" w14:textId="77777777" w:rsidR="00A969FD" w:rsidRPr="003B21E3" w:rsidRDefault="00A969FD" w:rsidP="0092679D">
            <w:pPr>
              <w:pStyle w:val="Paragraphedeliste"/>
              <w:numPr>
                <w:ilvl w:val="0"/>
                <w:numId w:val="6"/>
              </w:numPr>
              <w:spacing w:line="240" w:lineRule="auto"/>
              <w:ind w:left="360"/>
            </w:pPr>
            <w:r>
              <w:rPr>
                <w:sz w:val="16"/>
              </w:rPr>
              <w:t xml:space="preserve">la confidentialité, par ex. en ce qui concerne les contrôles en matière de sécurité de l’information et de protection de la vie privée, de contrôles de </w:t>
            </w:r>
            <w:r>
              <w:rPr>
                <w:i/>
                <w:iCs/>
                <w:sz w:val="16"/>
              </w:rPr>
              <w:t>compliance</w:t>
            </w:r>
            <w:r>
              <w:rPr>
                <w:sz w:val="16"/>
              </w:rPr>
              <w:t xml:space="preserve">, </w:t>
            </w:r>
            <w:proofErr w:type="spellStart"/>
            <w:r>
              <w:rPr>
                <w:sz w:val="16"/>
              </w:rPr>
              <w:t>d’</w:t>
            </w:r>
            <w:r>
              <w:rPr>
                <w:i/>
                <w:iCs/>
                <w:sz w:val="16"/>
              </w:rPr>
              <w:t>access</w:t>
            </w:r>
            <w:proofErr w:type="spellEnd"/>
            <w:r>
              <w:rPr>
                <w:i/>
                <w:iCs/>
                <w:sz w:val="16"/>
              </w:rPr>
              <w:t xml:space="preserve"> management</w:t>
            </w:r>
            <w:r>
              <w:rPr>
                <w:sz w:val="16"/>
              </w:rPr>
              <w:t>, de code de conduite, de sensibilisation, etc. ;</w:t>
            </w:r>
          </w:p>
          <w:p w14:paraId="2866D1D7" w14:textId="495247E9" w:rsidR="00A969FD" w:rsidRPr="003B21E3" w:rsidRDefault="00A969FD" w:rsidP="0092679D">
            <w:pPr>
              <w:pStyle w:val="Paragraphedeliste"/>
              <w:numPr>
                <w:ilvl w:val="0"/>
                <w:numId w:val="6"/>
              </w:numPr>
              <w:spacing w:line="240" w:lineRule="auto"/>
              <w:ind w:left="360"/>
            </w:pPr>
            <w:r>
              <w:rPr>
                <w:sz w:val="16"/>
              </w:rPr>
              <w:t>l’intégrité, par ex. en ce qui concerne les contrôles de qualité des données, les contrôles de plausibilité, les contrôles de rapprochement automatiques et/ou manuels, l’approbation technique, le principe du double contrôle, la séparation des fonctions, etc. ;</w:t>
            </w:r>
          </w:p>
          <w:p w14:paraId="0B8CF2CF" w14:textId="77777777" w:rsidR="00A969FD" w:rsidRPr="00162C12" w:rsidRDefault="00A969FD" w:rsidP="0092679D">
            <w:pPr>
              <w:pStyle w:val="Paragraphedeliste"/>
              <w:numPr>
                <w:ilvl w:val="0"/>
                <w:numId w:val="6"/>
              </w:numPr>
              <w:spacing w:line="240" w:lineRule="auto"/>
              <w:ind w:left="360"/>
            </w:pPr>
            <w:r>
              <w:rPr>
                <w:sz w:val="16"/>
              </w:rPr>
              <w:t xml:space="preserve">la disponibilité, par ex. en ce qui concerne la surveillance de la transmission et du traitement des données, la traçabilité des données, la sauvegarde et la restauration des données, etc. ; </w:t>
            </w:r>
          </w:p>
          <w:p w14:paraId="394BB08A" w14:textId="77777777" w:rsidR="004541E0" w:rsidRPr="003B21E3" w:rsidDel="005402E1" w:rsidRDefault="004541E0" w:rsidP="0092679D">
            <w:pPr>
              <w:pStyle w:val="Paragraphedeliste"/>
              <w:numPr>
                <w:ilvl w:val="0"/>
                <w:numId w:val="6"/>
              </w:numPr>
              <w:spacing w:line="240" w:lineRule="auto"/>
              <w:ind w:left="360"/>
            </w:pPr>
            <w:r>
              <w:rPr>
                <w:sz w:val="16"/>
              </w:rPr>
              <w:t>l’exhaustivité concernant la destruction des données.</w:t>
            </w:r>
          </w:p>
        </w:tc>
        <w:tc>
          <w:tcPr>
            <w:tcW w:w="2694" w:type="dxa"/>
            <w:shd w:val="clear" w:color="auto" w:fill="auto"/>
          </w:tcPr>
          <w:p w14:paraId="27C06099" w14:textId="77777777" w:rsidR="00A969FD" w:rsidRPr="00EF528C" w:rsidDel="005402E1" w:rsidRDefault="00A969FD" w:rsidP="00A969FD">
            <w:pPr>
              <w:spacing w:line="240" w:lineRule="auto"/>
              <w:rPr>
                <w:rFonts w:cs="Arial"/>
                <w:sz w:val="16"/>
                <w:szCs w:val="16"/>
                <w:lang w:val="fr-CH"/>
              </w:rPr>
            </w:pPr>
          </w:p>
        </w:tc>
        <w:tc>
          <w:tcPr>
            <w:tcW w:w="992" w:type="dxa"/>
            <w:shd w:val="clear" w:color="auto" w:fill="auto"/>
          </w:tcPr>
          <w:p w14:paraId="1A46857B" w14:textId="77777777" w:rsidR="00A969FD" w:rsidRPr="00EF528C" w:rsidDel="005402E1" w:rsidRDefault="00A969FD" w:rsidP="00A969FD">
            <w:pPr>
              <w:spacing w:line="240" w:lineRule="auto"/>
              <w:rPr>
                <w:rFonts w:cs="Arial"/>
                <w:sz w:val="16"/>
                <w:szCs w:val="16"/>
                <w:lang w:val="fr-CH"/>
              </w:rPr>
            </w:pPr>
          </w:p>
        </w:tc>
      </w:tr>
      <w:tr w:rsidR="00A969FD" w:rsidRPr="00A04447" w:rsidDel="005402E1" w14:paraId="7EA93F19" w14:textId="77777777" w:rsidTr="0011737B">
        <w:tc>
          <w:tcPr>
            <w:tcW w:w="447" w:type="dxa"/>
            <w:shd w:val="clear" w:color="auto" w:fill="auto"/>
          </w:tcPr>
          <w:p w14:paraId="03E35C34" w14:textId="77777777" w:rsidR="00A969FD" w:rsidRPr="00A04447" w:rsidRDefault="004B11EC" w:rsidP="00A969FD">
            <w:pPr>
              <w:spacing w:line="240" w:lineRule="auto"/>
              <w:rPr>
                <w:rFonts w:cs="Arial"/>
                <w:sz w:val="16"/>
                <w:szCs w:val="16"/>
              </w:rPr>
            </w:pPr>
            <w:r>
              <w:rPr>
                <w:sz w:val="16"/>
              </w:rPr>
              <w:t>16</w:t>
            </w:r>
          </w:p>
        </w:tc>
        <w:tc>
          <w:tcPr>
            <w:tcW w:w="4830" w:type="dxa"/>
            <w:shd w:val="clear" w:color="auto" w:fill="auto"/>
          </w:tcPr>
          <w:p w14:paraId="4454F4DB" w14:textId="3E93B98A" w:rsidR="00A969FD" w:rsidRPr="00A04447" w:rsidRDefault="001E46C1" w:rsidP="00A969FD">
            <w:pPr>
              <w:rPr>
                <w:rFonts w:cs="Arial"/>
                <w:sz w:val="16"/>
                <w:szCs w:val="16"/>
              </w:rPr>
            </w:pPr>
            <w:r>
              <w:rPr>
                <w:b/>
                <w:sz w:val="24"/>
              </w:rPr>
              <w:t xml:space="preserve">* </w:t>
            </w:r>
            <w:r>
              <w:rPr>
                <w:sz w:val="16"/>
              </w:rPr>
              <w:t>Évaluation des processus, procédures et contrôles mis en place par l’établissement pour garantir un niveau adéquat de confidentialité ou des exigences de sécurité appropriées relatives à la gestion de</w:t>
            </w:r>
            <w:r w:rsidR="00916516">
              <w:rPr>
                <w:sz w:val="16"/>
              </w:rPr>
              <w:t>s</w:t>
            </w:r>
            <w:r>
              <w:rPr>
                <w:sz w:val="16"/>
              </w:rPr>
              <w:t xml:space="preserve"> données critiques pendant l’exploitation </w:t>
            </w:r>
            <w:r>
              <w:rPr>
                <w:i/>
                <w:iCs/>
                <w:sz w:val="16"/>
              </w:rPr>
              <w:t>(run)</w:t>
            </w:r>
            <w:r>
              <w:rPr>
                <w:sz w:val="16"/>
              </w:rPr>
              <w:t xml:space="preserve"> ainsi que lors du développement, de la modification et de la migration </w:t>
            </w:r>
            <w:r>
              <w:rPr>
                <w:i/>
                <w:iCs/>
                <w:sz w:val="16"/>
              </w:rPr>
              <w:t>(change)</w:t>
            </w:r>
            <w:r>
              <w:rPr>
                <w:sz w:val="16"/>
              </w:rPr>
              <w:t xml:space="preserve"> de</w:t>
            </w:r>
            <w:r w:rsidR="004C3708">
              <w:rPr>
                <w:sz w:val="16"/>
              </w:rPr>
              <w:t>s</w:t>
            </w:r>
            <w:r>
              <w:rPr>
                <w:sz w:val="16"/>
              </w:rPr>
              <w:t xml:space="preserve"> données critiques.</w:t>
            </w:r>
          </w:p>
        </w:tc>
        <w:tc>
          <w:tcPr>
            <w:tcW w:w="3969" w:type="dxa"/>
            <w:shd w:val="clear" w:color="auto" w:fill="auto"/>
          </w:tcPr>
          <w:p w14:paraId="0A4257B8" w14:textId="3FB65EA8" w:rsidR="00A969FD" w:rsidRPr="00A04447" w:rsidRDefault="00DB2D0B" w:rsidP="00A969FD">
            <w:pPr>
              <w:pStyle w:val="Bullet"/>
              <w:numPr>
                <w:ilvl w:val="0"/>
                <w:numId w:val="0"/>
              </w:numPr>
              <w:ind w:left="22"/>
            </w:pPr>
            <w:r>
              <w:rPr>
                <w:b/>
                <w:sz w:val="24"/>
              </w:rPr>
              <w:t>*</w:t>
            </w:r>
            <w:r>
              <w:t xml:space="preserve"> Examen de l’efficacité opérationnelle des contrôles clés mis en place par l’établissement pour garantir un niveau adéquat de confidentialité ou des exigences de sécurité appropriées relatives à la gestion de</w:t>
            </w:r>
            <w:r w:rsidR="004C3708">
              <w:t>s</w:t>
            </w:r>
            <w:r>
              <w:t xml:space="preserve"> données critiques pendant l’exploitation </w:t>
            </w:r>
            <w:r>
              <w:rPr>
                <w:i/>
                <w:iCs/>
              </w:rPr>
              <w:t>(run)</w:t>
            </w:r>
            <w:r>
              <w:t xml:space="preserve"> ainsi que lors du développement, de la modification et de la migration </w:t>
            </w:r>
            <w:r>
              <w:rPr>
                <w:i/>
                <w:iCs/>
              </w:rPr>
              <w:t>(change)</w:t>
            </w:r>
            <w:r>
              <w:t xml:space="preserve"> de</w:t>
            </w:r>
            <w:r w:rsidR="004C3708">
              <w:t>s</w:t>
            </w:r>
            <w:r>
              <w:t xml:space="preserve"> données critiques.</w:t>
            </w:r>
          </w:p>
        </w:tc>
        <w:tc>
          <w:tcPr>
            <w:tcW w:w="2694" w:type="dxa"/>
            <w:shd w:val="clear" w:color="auto" w:fill="auto"/>
          </w:tcPr>
          <w:p w14:paraId="2E2BDF5F" w14:textId="77777777" w:rsidR="00A969FD" w:rsidRPr="00EF528C" w:rsidDel="005402E1" w:rsidRDefault="00A969FD" w:rsidP="00A969FD">
            <w:pPr>
              <w:spacing w:line="240" w:lineRule="auto"/>
              <w:rPr>
                <w:rFonts w:cs="Arial"/>
                <w:sz w:val="16"/>
                <w:szCs w:val="16"/>
                <w:lang w:val="fr-CH"/>
              </w:rPr>
            </w:pPr>
          </w:p>
        </w:tc>
        <w:tc>
          <w:tcPr>
            <w:tcW w:w="992" w:type="dxa"/>
            <w:shd w:val="clear" w:color="auto" w:fill="auto"/>
          </w:tcPr>
          <w:p w14:paraId="64251BD2" w14:textId="77777777" w:rsidR="00A969FD" w:rsidRPr="00EF528C" w:rsidDel="005402E1" w:rsidRDefault="00A969FD" w:rsidP="00A969FD">
            <w:pPr>
              <w:spacing w:line="240" w:lineRule="auto"/>
              <w:rPr>
                <w:rFonts w:cs="Arial"/>
                <w:sz w:val="16"/>
                <w:szCs w:val="16"/>
                <w:lang w:val="fr-CH"/>
              </w:rPr>
            </w:pPr>
          </w:p>
        </w:tc>
      </w:tr>
      <w:tr w:rsidR="00A969FD" w:rsidRPr="00A04447" w14:paraId="50B96133" w14:textId="77777777" w:rsidTr="0011737B">
        <w:tc>
          <w:tcPr>
            <w:tcW w:w="129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68CEE" w14:textId="77777777" w:rsidR="00A969FD" w:rsidRPr="00A04447" w:rsidRDefault="00085409" w:rsidP="00A969FD">
            <w:pPr>
              <w:spacing w:line="240" w:lineRule="auto"/>
              <w:rPr>
                <w:rFonts w:cs="Arial"/>
                <w:sz w:val="16"/>
                <w:szCs w:val="16"/>
              </w:rPr>
            </w:pPr>
            <w:r>
              <w:rPr>
                <w:i/>
                <w:sz w:val="16"/>
              </w:rPr>
              <w:t>Inventaire (Cm 53, 63 et 73 de la Circ.-FINMA 23/1) :</w:t>
            </w:r>
          </w:p>
        </w:tc>
      </w:tr>
      <w:tr w:rsidR="0094691F" w:rsidRPr="00A04447" w14:paraId="02391917" w14:textId="77777777" w:rsidTr="00AF7B9C">
        <w:trPr>
          <w:trHeight w:val="3127"/>
        </w:trPr>
        <w:tc>
          <w:tcPr>
            <w:tcW w:w="447" w:type="dxa"/>
            <w:shd w:val="clear" w:color="auto" w:fill="auto"/>
          </w:tcPr>
          <w:p w14:paraId="72D2BA17" w14:textId="77777777" w:rsidR="0094691F" w:rsidRPr="00A04447" w:rsidRDefault="0094691F" w:rsidP="00A969FD">
            <w:pPr>
              <w:spacing w:line="240" w:lineRule="auto"/>
              <w:rPr>
                <w:rFonts w:cs="Arial"/>
                <w:sz w:val="16"/>
                <w:szCs w:val="16"/>
              </w:rPr>
            </w:pPr>
            <w:r>
              <w:rPr>
                <w:sz w:val="16"/>
              </w:rPr>
              <w:lastRenderedPageBreak/>
              <w:t>17</w:t>
            </w:r>
          </w:p>
        </w:tc>
        <w:tc>
          <w:tcPr>
            <w:tcW w:w="4830" w:type="dxa"/>
            <w:shd w:val="clear" w:color="auto" w:fill="auto"/>
          </w:tcPr>
          <w:p w14:paraId="1939F906" w14:textId="5D4FFF02" w:rsidR="0094691F" w:rsidRDefault="0094691F" w:rsidP="00401D47">
            <w:pPr>
              <w:pStyle w:val="Bullet"/>
              <w:numPr>
                <w:ilvl w:val="0"/>
                <w:numId w:val="0"/>
              </w:numPr>
              <w:ind w:left="33"/>
            </w:pPr>
            <w:r>
              <w:t>Évaluation si les données critiques de l’organisation sont systématiquement identifiées, répertoriées et catégorisées. Un inventaire de</w:t>
            </w:r>
            <w:r w:rsidR="00916516">
              <w:t>s</w:t>
            </w:r>
            <w:r>
              <w:t xml:space="preserve"> données contient par ex. les informations suivantes (attributs) :</w:t>
            </w:r>
          </w:p>
          <w:p w14:paraId="6013079C" w14:textId="77777777" w:rsidR="0094691F" w:rsidRPr="005164A0" w:rsidRDefault="0094691F" w:rsidP="005164A0">
            <w:pPr>
              <w:pStyle w:val="Bullet"/>
              <w:numPr>
                <w:ilvl w:val="0"/>
                <w:numId w:val="15"/>
              </w:numPr>
            </w:pPr>
            <w:r>
              <w:t xml:space="preserve">lieu de stockage ou environnement </w:t>
            </w:r>
            <w:r>
              <w:rPr>
                <w:i/>
                <w:iCs/>
              </w:rPr>
              <w:t>cloud</w:t>
            </w:r>
            <w:r>
              <w:t> ;</w:t>
            </w:r>
          </w:p>
          <w:p w14:paraId="5517E0DC" w14:textId="77777777" w:rsidR="0094691F" w:rsidRPr="005164A0" w:rsidRDefault="0094691F" w:rsidP="005164A0">
            <w:pPr>
              <w:pStyle w:val="Bullet"/>
              <w:numPr>
                <w:ilvl w:val="0"/>
                <w:numId w:val="15"/>
              </w:numPr>
            </w:pPr>
            <w:r>
              <w:t>logiciels (y compris gestion des versions) ;</w:t>
            </w:r>
          </w:p>
          <w:p w14:paraId="101A3510" w14:textId="77777777" w:rsidR="0094691F" w:rsidRPr="005164A0" w:rsidRDefault="0094691F" w:rsidP="005164A0">
            <w:pPr>
              <w:pStyle w:val="Bullet"/>
              <w:numPr>
                <w:ilvl w:val="0"/>
                <w:numId w:val="15"/>
              </w:numPr>
            </w:pPr>
            <w:r>
              <w:t>catégorisation (criticité) ;</w:t>
            </w:r>
          </w:p>
          <w:p w14:paraId="587251D2" w14:textId="77777777" w:rsidR="0094691F" w:rsidRPr="005164A0" w:rsidRDefault="0094691F" w:rsidP="005164A0">
            <w:pPr>
              <w:pStyle w:val="Bullet"/>
              <w:numPr>
                <w:ilvl w:val="0"/>
                <w:numId w:val="15"/>
              </w:numPr>
            </w:pPr>
            <w:r>
              <w:t>dépendances au sein de l’établissement ;</w:t>
            </w:r>
          </w:p>
          <w:p w14:paraId="34B9C92B" w14:textId="77777777" w:rsidR="0094691F" w:rsidRPr="005164A0" w:rsidRDefault="0094691F" w:rsidP="005164A0">
            <w:pPr>
              <w:pStyle w:val="Bullet"/>
              <w:numPr>
                <w:ilvl w:val="0"/>
                <w:numId w:val="15"/>
              </w:numPr>
            </w:pPr>
            <w:r>
              <w:t>sources internes et externes ;</w:t>
            </w:r>
          </w:p>
          <w:p w14:paraId="56675554" w14:textId="77777777" w:rsidR="0094691F" w:rsidRPr="005164A0" w:rsidRDefault="0094691F" w:rsidP="005164A0">
            <w:pPr>
              <w:pStyle w:val="Bullet"/>
              <w:numPr>
                <w:ilvl w:val="0"/>
                <w:numId w:val="15"/>
              </w:numPr>
            </w:pPr>
            <w:r>
              <w:t>interfaces avec les prestataires externes ;</w:t>
            </w:r>
          </w:p>
          <w:p w14:paraId="55416822" w14:textId="7CD1D823" w:rsidR="0094691F" w:rsidRPr="005164A0" w:rsidRDefault="0094691F" w:rsidP="005164A0">
            <w:pPr>
              <w:pStyle w:val="Bullet"/>
              <w:numPr>
                <w:ilvl w:val="0"/>
                <w:numId w:val="15"/>
              </w:numPr>
            </w:pPr>
            <w:r>
              <w:t>responsabilité en matière de</w:t>
            </w:r>
            <w:r w:rsidR="00916516">
              <w:t>s</w:t>
            </w:r>
            <w:r>
              <w:t xml:space="preserve"> données.</w:t>
            </w:r>
          </w:p>
          <w:p w14:paraId="4944BA6A" w14:textId="77777777" w:rsidR="0094691F" w:rsidRPr="007536AC" w:rsidRDefault="0094691F" w:rsidP="00AF0394">
            <w:pPr>
              <w:pStyle w:val="Bullet"/>
              <w:numPr>
                <w:ilvl w:val="0"/>
                <w:numId w:val="0"/>
              </w:numPr>
              <w:ind w:left="33"/>
            </w:pPr>
            <w:r>
              <w:t xml:space="preserve"> </w:t>
            </w:r>
          </w:p>
          <w:p w14:paraId="6CB05B15" w14:textId="77777777" w:rsidR="0094691F" w:rsidRPr="00EF528C" w:rsidRDefault="0094691F" w:rsidP="00B12C39">
            <w:pPr>
              <w:pStyle w:val="Bullet"/>
              <w:ind w:left="33"/>
              <w:rPr>
                <w:lang w:val="fr-CH"/>
              </w:rPr>
            </w:pPr>
          </w:p>
        </w:tc>
        <w:tc>
          <w:tcPr>
            <w:tcW w:w="3969" w:type="dxa"/>
            <w:shd w:val="clear" w:color="auto" w:fill="auto"/>
          </w:tcPr>
          <w:p w14:paraId="44A32805" w14:textId="77777777" w:rsidR="0094691F" w:rsidRPr="00C64BF0" w:rsidDel="00C62708" w:rsidRDefault="003122AE" w:rsidP="00490D5C">
            <w:pPr>
              <w:spacing w:line="240" w:lineRule="auto"/>
              <w:rPr>
                <w:sz w:val="16"/>
                <w:szCs w:val="16"/>
              </w:rPr>
            </w:pPr>
            <w:r>
              <w:rPr>
                <w:sz w:val="16"/>
              </w:rPr>
              <w:t>Examen sur la base d’un échantillon approprié de contrôles de plausibilité ou de qualité des données effectués par l’établissement qui contribuent à garantir l’exhaustivité et l’exactitude de l’inventaire des données.</w:t>
            </w:r>
          </w:p>
        </w:tc>
        <w:tc>
          <w:tcPr>
            <w:tcW w:w="2694" w:type="dxa"/>
            <w:shd w:val="clear" w:color="auto" w:fill="auto"/>
          </w:tcPr>
          <w:p w14:paraId="4243172A" w14:textId="77777777" w:rsidR="0094691F" w:rsidRPr="00EF528C" w:rsidRDefault="0094691F" w:rsidP="00A969FD">
            <w:pPr>
              <w:pStyle w:val="Bullet"/>
              <w:numPr>
                <w:ilvl w:val="0"/>
                <w:numId w:val="0"/>
              </w:numPr>
              <w:rPr>
                <w:lang w:val="fr-CH"/>
              </w:rPr>
            </w:pPr>
          </w:p>
        </w:tc>
        <w:tc>
          <w:tcPr>
            <w:tcW w:w="992" w:type="dxa"/>
            <w:shd w:val="clear" w:color="auto" w:fill="auto"/>
          </w:tcPr>
          <w:p w14:paraId="22DC8DD0" w14:textId="77777777" w:rsidR="0094691F" w:rsidRPr="00EF528C" w:rsidRDefault="0094691F" w:rsidP="00A969FD">
            <w:pPr>
              <w:spacing w:line="240" w:lineRule="auto"/>
              <w:rPr>
                <w:rFonts w:cs="Arial"/>
                <w:sz w:val="16"/>
                <w:szCs w:val="16"/>
                <w:lang w:val="fr-CH"/>
              </w:rPr>
            </w:pPr>
          </w:p>
        </w:tc>
      </w:tr>
    </w:tbl>
    <w:p w14:paraId="6384477E" w14:textId="77777777" w:rsidR="00783B23" w:rsidRDefault="00783B23">
      <w:r>
        <w:br w:type="page"/>
      </w:r>
    </w:p>
    <w:tbl>
      <w:tblPr>
        <w:tblW w:w="129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441"/>
        <w:gridCol w:w="4830"/>
        <w:gridCol w:w="3969"/>
        <w:gridCol w:w="2694"/>
        <w:gridCol w:w="992"/>
      </w:tblGrid>
      <w:tr w:rsidR="00A969FD" w:rsidRPr="00A04447" w14:paraId="727CFDA2" w14:textId="77777777" w:rsidTr="0011737B">
        <w:trPr>
          <w:gridBefore w:val="1"/>
          <w:wBefore w:w="6" w:type="dxa"/>
        </w:trPr>
        <w:tc>
          <w:tcPr>
            <w:tcW w:w="129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79932" w14:textId="77777777" w:rsidR="00A969FD" w:rsidRPr="00A04447" w:rsidRDefault="00A969FD" w:rsidP="00A969FD">
            <w:pPr>
              <w:spacing w:line="240" w:lineRule="auto"/>
              <w:rPr>
                <w:rFonts w:cs="Arial"/>
                <w:sz w:val="16"/>
                <w:szCs w:val="16"/>
              </w:rPr>
            </w:pPr>
            <w:r>
              <w:rPr>
                <w:i/>
                <w:sz w:val="16"/>
              </w:rPr>
              <w:lastRenderedPageBreak/>
              <w:t>Gestion des accès (Cm 76 à 78 et 80 de la Circ.-FINMA 23/1) :</w:t>
            </w:r>
          </w:p>
        </w:tc>
      </w:tr>
      <w:tr w:rsidR="00A969FD" w:rsidRPr="005B348F" w14:paraId="13877154" w14:textId="77777777" w:rsidTr="78DEC860">
        <w:trPr>
          <w:gridBefore w:val="1"/>
          <w:wBefore w:w="6" w:type="dxa"/>
        </w:trPr>
        <w:tc>
          <w:tcPr>
            <w:tcW w:w="441" w:type="dxa"/>
            <w:shd w:val="clear" w:color="auto" w:fill="auto"/>
          </w:tcPr>
          <w:p w14:paraId="401B3453" w14:textId="77777777" w:rsidR="00A969FD" w:rsidRPr="00A04447" w:rsidRDefault="004B11EC" w:rsidP="00A969FD">
            <w:pPr>
              <w:spacing w:line="240" w:lineRule="auto"/>
              <w:rPr>
                <w:rFonts w:cs="Arial"/>
                <w:sz w:val="16"/>
                <w:szCs w:val="16"/>
              </w:rPr>
            </w:pPr>
            <w:r>
              <w:rPr>
                <w:sz w:val="16"/>
              </w:rPr>
              <w:t>18</w:t>
            </w:r>
          </w:p>
        </w:tc>
        <w:tc>
          <w:tcPr>
            <w:tcW w:w="4830" w:type="dxa"/>
            <w:shd w:val="clear" w:color="auto" w:fill="auto"/>
          </w:tcPr>
          <w:p w14:paraId="6EB33362" w14:textId="77777777" w:rsidR="00A969FD" w:rsidRPr="00A04447" w:rsidRDefault="00AE37FD" w:rsidP="00A969FD">
            <w:pPr>
              <w:pStyle w:val="Bullet"/>
              <w:numPr>
                <w:ilvl w:val="0"/>
                <w:numId w:val="0"/>
              </w:numPr>
              <w:ind w:left="33"/>
            </w:pPr>
            <w:r>
              <w:t>* Évaluation du caractère approprié des processus, procédures et contrôles relatifs à l’octroi des accès aux données critiques et aux fonctionnalités de traitement au personnel et à des tiers (définition des rôles, processus d’autorisation, etc.).</w:t>
            </w:r>
          </w:p>
        </w:tc>
        <w:tc>
          <w:tcPr>
            <w:tcW w:w="3969" w:type="dxa"/>
            <w:shd w:val="clear" w:color="auto" w:fill="auto"/>
          </w:tcPr>
          <w:p w14:paraId="6BC731A2" w14:textId="77777777" w:rsidR="00A969FD" w:rsidRPr="00A04447" w:rsidRDefault="00AE37FD" w:rsidP="0092679D">
            <w:pPr>
              <w:spacing w:line="240" w:lineRule="auto"/>
            </w:pPr>
            <w:r>
              <w:rPr>
                <w:b/>
                <w:sz w:val="24"/>
              </w:rPr>
              <w:t xml:space="preserve">* </w:t>
            </w:r>
            <w:r>
              <w:rPr>
                <w:sz w:val="16"/>
              </w:rPr>
              <w:t>Examen sur la base d’un échantillon approprié de l’efficacité opérationnelle des contrôles relatifs à l’octroi de l’accès aux données critiques et aux fonctionnalités de traitement au personnel et à des tiers. Il convient en particulier de tenir compte des points suivants :</w:t>
            </w:r>
          </w:p>
          <w:p w14:paraId="53C7F795" w14:textId="77777777" w:rsidR="00A969FD" w:rsidRPr="00A04447" w:rsidRDefault="00A969FD" w:rsidP="0092679D">
            <w:pPr>
              <w:pStyle w:val="Paragraphedeliste"/>
              <w:numPr>
                <w:ilvl w:val="0"/>
                <w:numId w:val="6"/>
              </w:numPr>
              <w:spacing w:line="240" w:lineRule="auto"/>
              <w:ind w:left="360"/>
            </w:pPr>
            <w:r>
              <w:rPr>
                <w:sz w:val="16"/>
              </w:rPr>
              <w:t xml:space="preserve">principe du </w:t>
            </w:r>
            <w:proofErr w:type="spellStart"/>
            <w:r>
              <w:rPr>
                <w:i/>
                <w:iCs/>
                <w:sz w:val="16"/>
              </w:rPr>
              <w:t>need</w:t>
            </w:r>
            <w:proofErr w:type="spellEnd"/>
            <w:r>
              <w:rPr>
                <w:i/>
                <w:iCs/>
                <w:sz w:val="16"/>
              </w:rPr>
              <w:t>-to-know</w:t>
            </w:r>
            <w:r>
              <w:rPr>
                <w:sz w:val="16"/>
              </w:rPr>
              <w:t xml:space="preserve"> et du </w:t>
            </w:r>
            <w:r>
              <w:rPr>
                <w:i/>
                <w:iCs/>
                <w:sz w:val="16"/>
              </w:rPr>
              <w:t xml:space="preserve">least </w:t>
            </w:r>
            <w:proofErr w:type="spellStart"/>
            <w:r>
              <w:rPr>
                <w:i/>
                <w:iCs/>
                <w:sz w:val="16"/>
              </w:rPr>
              <w:t>privilege</w:t>
            </w:r>
            <w:proofErr w:type="spellEnd"/>
            <w:r>
              <w:rPr>
                <w:sz w:val="16"/>
              </w:rPr>
              <w:t> ;</w:t>
            </w:r>
          </w:p>
          <w:p w14:paraId="3971DFFA" w14:textId="77777777" w:rsidR="00A969FD" w:rsidRPr="00A04447" w:rsidRDefault="00A969FD" w:rsidP="0092679D">
            <w:pPr>
              <w:pStyle w:val="Paragraphedeliste"/>
              <w:numPr>
                <w:ilvl w:val="0"/>
                <w:numId w:val="6"/>
              </w:numPr>
              <w:spacing w:line="240" w:lineRule="auto"/>
              <w:ind w:left="360"/>
            </w:pPr>
            <w:r>
              <w:rPr>
                <w:sz w:val="16"/>
              </w:rPr>
              <w:t>existence d’un système d’authentification et d’autorisation ;</w:t>
            </w:r>
          </w:p>
          <w:p w14:paraId="60AA5348" w14:textId="77777777" w:rsidR="00A969FD" w:rsidRPr="00A04447" w:rsidRDefault="00A969FD" w:rsidP="0092679D">
            <w:pPr>
              <w:pStyle w:val="Paragraphedeliste"/>
              <w:numPr>
                <w:ilvl w:val="0"/>
                <w:numId w:val="6"/>
              </w:numPr>
              <w:spacing w:line="240" w:lineRule="auto"/>
              <w:ind w:left="360"/>
              <w:rPr>
                <w:sz w:val="16"/>
                <w:szCs w:val="16"/>
              </w:rPr>
            </w:pPr>
            <w:r>
              <w:rPr>
                <w:sz w:val="16"/>
              </w:rPr>
              <w:t>portée et intégration des systèmes contenant des données critiques dans le processus d’autorisation et d’identification ;</w:t>
            </w:r>
          </w:p>
          <w:p w14:paraId="0149ECB8" w14:textId="749D9420" w:rsidR="00A969FD" w:rsidRPr="005B348F" w:rsidDel="009B2C05" w:rsidRDefault="00A969FD" w:rsidP="0092679D">
            <w:pPr>
              <w:pStyle w:val="Paragraphedeliste"/>
              <w:numPr>
                <w:ilvl w:val="0"/>
                <w:numId w:val="6"/>
              </w:numPr>
              <w:spacing w:line="240" w:lineRule="auto"/>
              <w:ind w:left="360"/>
              <w:rPr>
                <w:sz w:val="16"/>
                <w:szCs w:val="16"/>
              </w:rPr>
            </w:pPr>
            <w:r>
              <w:rPr>
                <w:sz w:val="16"/>
              </w:rPr>
              <w:t>portée et intégration de différents comptes d’utilisateurs (par ex. comptes techniques, comptes système, comptes privilégiés, comptes invités, comptes de service à distance, etc.).</w:t>
            </w:r>
          </w:p>
        </w:tc>
        <w:tc>
          <w:tcPr>
            <w:tcW w:w="2694" w:type="dxa"/>
            <w:shd w:val="clear" w:color="auto" w:fill="auto"/>
          </w:tcPr>
          <w:p w14:paraId="0C0AF01E" w14:textId="77777777" w:rsidR="00A969FD" w:rsidRPr="00EF528C" w:rsidRDefault="00A969FD" w:rsidP="00A969FD">
            <w:pPr>
              <w:spacing w:line="240" w:lineRule="auto"/>
              <w:rPr>
                <w:rFonts w:cs="Arial"/>
                <w:sz w:val="16"/>
                <w:szCs w:val="16"/>
                <w:lang w:val="fr-CH"/>
              </w:rPr>
            </w:pPr>
          </w:p>
        </w:tc>
        <w:tc>
          <w:tcPr>
            <w:tcW w:w="992" w:type="dxa"/>
            <w:shd w:val="clear" w:color="auto" w:fill="auto"/>
          </w:tcPr>
          <w:p w14:paraId="1AAA54E4" w14:textId="77777777" w:rsidR="00A969FD" w:rsidRPr="00EF528C" w:rsidRDefault="00A969FD" w:rsidP="00A969FD">
            <w:pPr>
              <w:spacing w:line="240" w:lineRule="auto"/>
              <w:rPr>
                <w:rFonts w:cs="Arial"/>
                <w:sz w:val="16"/>
                <w:szCs w:val="16"/>
                <w:lang w:val="fr-CH"/>
              </w:rPr>
            </w:pPr>
          </w:p>
        </w:tc>
      </w:tr>
      <w:tr w:rsidR="00A969FD" w:rsidRPr="00A04447" w14:paraId="728B671D" w14:textId="77777777" w:rsidTr="78DEC860">
        <w:trPr>
          <w:gridBefore w:val="1"/>
          <w:wBefore w:w="6" w:type="dxa"/>
        </w:trPr>
        <w:tc>
          <w:tcPr>
            <w:tcW w:w="441" w:type="dxa"/>
            <w:shd w:val="clear" w:color="auto" w:fill="auto"/>
          </w:tcPr>
          <w:p w14:paraId="4E137214" w14:textId="77777777" w:rsidR="00A969FD" w:rsidRPr="00A04447" w:rsidRDefault="004B11EC" w:rsidP="00A969FD">
            <w:pPr>
              <w:spacing w:line="240" w:lineRule="auto"/>
              <w:rPr>
                <w:rFonts w:cs="Arial"/>
                <w:sz w:val="16"/>
                <w:szCs w:val="16"/>
              </w:rPr>
            </w:pPr>
            <w:r>
              <w:rPr>
                <w:sz w:val="16"/>
              </w:rPr>
              <w:t>19</w:t>
            </w:r>
          </w:p>
        </w:tc>
        <w:tc>
          <w:tcPr>
            <w:tcW w:w="4830" w:type="dxa"/>
            <w:shd w:val="clear" w:color="auto" w:fill="auto"/>
          </w:tcPr>
          <w:p w14:paraId="5B0C4131" w14:textId="77777777" w:rsidR="00A969FD" w:rsidRPr="0011737B" w:rsidDel="007412B4" w:rsidRDefault="00AE37FD">
            <w:pPr>
              <w:pStyle w:val="Bullet"/>
              <w:numPr>
                <w:ilvl w:val="0"/>
                <w:numId w:val="0"/>
              </w:numPr>
              <w:ind w:left="33"/>
              <w:rPr>
                <w:b/>
                <w:bCs/>
              </w:rPr>
            </w:pPr>
            <w:r>
              <w:rPr>
                <w:b/>
                <w:sz w:val="24"/>
              </w:rPr>
              <w:t xml:space="preserve">* </w:t>
            </w:r>
            <w:r>
              <w:t>Évaluation du caractère approprié des processus et contrôles liés à l’identification, la gestion et la surveillance de l’accès (standard et privilégié) aux données critiques.</w:t>
            </w:r>
          </w:p>
        </w:tc>
        <w:tc>
          <w:tcPr>
            <w:tcW w:w="3969" w:type="dxa"/>
            <w:shd w:val="clear" w:color="auto" w:fill="auto"/>
          </w:tcPr>
          <w:p w14:paraId="002DE7BF" w14:textId="77777777" w:rsidR="00A969FD" w:rsidRPr="0011737B" w:rsidRDefault="00AE37FD" w:rsidP="0094691F">
            <w:pPr>
              <w:pStyle w:val="Bullet"/>
              <w:numPr>
                <w:ilvl w:val="0"/>
                <w:numId w:val="0"/>
              </w:numPr>
              <w:ind w:left="33"/>
              <w:rPr>
                <w:b/>
                <w:bCs/>
              </w:rPr>
            </w:pPr>
            <w:r>
              <w:rPr>
                <w:b/>
                <w:sz w:val="24"/>
              </w:rPr>
              <w:t xml:space="preserve">* </w:t>
            </w:r>
            <w:r>
              <w:t>Examen sur la base d’un échantillon approprié de l’efficacité opérationnelle des contrôles clés relatifs à l’identification, la gestion et la surveillance de l’accès (aussi bien standard que privilégié) aux données critiques.</w:t>
            </w:r>
          </w:p>
        </w:tc>
        <w:tc>
          <w:tcPr>
            <w:tcW w:w="2694" w:type="dxa"/>
            <w:shd w:val="clear" w:color="auto" w:fill="auto"/>
          </w:tcPr>
          <w:p w14:paraId="7C202FEC" w14:textId="77777777" w:rsidR="00A969FD" w:rsidRPr="00EF528C" w:rsidRDefault="00A969FD" w:rsidP="00A969FD">
            <w:pPr>
              <w:spacing w:line="240" w:lineRule="auto"/>
              <w:rPr>
                <w:rFonts w:cs="Arial"/>
                <w:sz w:val="16"/>
                <w:szCs w:val="16"/>
                <w:lang w:val="fr-CH"/>
              </w:rPr>
            </w:pPr>
          </w:p>
        </w:tc>
        <w:tc>
          <w:tcPr>
            <w:tcW w:w="992" w:type="dxa"/>
            <w:shd w:val="clear" w:color="auto" w:fill="auto"/>
          </w:tcPr>
          <w:p w14:paraId="79DB7103" w14:textId="77777777" w:rsidR="00A969FD" w:rsidRPr="00EF528C" w:rsidRDefault="00A969FD" w:rsidP="00A969FD">
            <w:pPr>
              <w:spacing w:line="240" w:lineRule="auto"/>
              <w:rPr>
                <w:rFonts w:cs="Arial"/>
                <w:sz w:val="16"/>
                <w:szCs w:val="16"/>
                <w:lang w:val="fr-CH"/>
              </w:rPr>
            </w:pPr>
          </w:p>
        </w:tc>
      </w:tr>
      <w:tr w:rsidR="00A969FD" w:rsidRPr="00A04447" w14:paraId="627445D1" w14:textId="77777777" w:rsidTr="78DEC860">
        <w:trPr>
          <w:gridBefore w:val="1"/>
          <w:wBefore w:w="6" w:type="dxa"/>
        </w:trPr>
        <w:tc>
          <w:tcPr>
            <w:tcW w:w="441" w:type="dxa"/>
            <w:shd w:val="clear" w:color="auto" w:fill="auto"/>
          </w:tcPr>
          <w:p w14:paraId="68FFBA72" w14:textId="77777777" w:rsidR="00A969FD" w:rsidRPr="00A04447" w:rsidRDefault="00783B23" w:rsidP="00A969FD">
            <w:pPr>
              <w:spacing w:line="240" w:lineRule="auto"/>
              <w:rPr>
                <w:rFonts w:cs="Arial"/>
                <w:sz w:val="16"/>
                <w:szCs w:val="16"/>
              </w:rPr>
            </w:pPr>
            <w:r>
              <w:rPr>
                <w:sz w:val="16"/>
              </w:rPr>
              <w:t>20</w:t>
            </w:r>
          </w:p>
        </w:tc>
        <w:tc>
          <w:tcPr>
            <w:tcW w:w="4830" w:type="dxa"/>
            <w:shd w:val="clear" w:color="auto" w:fill="auto"/>
          </w:tcPr>
          <w:p w14:paraId="35A08B72" w14:textId="77777777" w:rsidR="00A969FD" w:rsidRPr="0011737B" w:rsidDel="007412B4" w:rsidRDefault="00AE37FD">
            <w:pPr>
              <w:pStyle w:val="Bullet"/>
              <w:numPr>
                <w:ilvl w:val="0"/>
                <w:numId w:val="0"/>
              </w:numPr>
              <w:ind w:left="33"/>
              <w:rPr>
                <w:b/>
                <w:bCs/>
              </w:rPr>
            </w:pPr>
            <w:r>
              <w:rPr>
                <w:b/>
                <w:sz w:val="24"/>
              </w:rPr>
              <w:t xml:space="preserve">* </w:t>
            </w:r>
            <w:r>
              <w:t>Évaluation si les TIC physiques et logiques qui stockent ou traitent les données critiques sont protégées de manière adéquate.</w:t>
            </w:r>
          </w:p>
        </w:tc>
        <w:tc>
          <w:tcPr>
            <w:tcW w:w="3969" w:type="dxa"/>
            <w:shd w:val="clear" w:color="auto" w:fill="auto"/>
          </w:tcPr>
          <w:p w14:paraId="6B125AB2" w14:textId="5C4891B3" w:rsidR="00A969FD" w:rsidRPr="0011737B" w:rsidRDefault="00AE37FD">
            <w:pPr>
              <w:pStyle w:val="Bullet"/>
              <w:numPr>
                <w:ilvl w:val="0"/>
                <w:numId w:val="0"/>
              </w:numPr>
              <w:ind w:left="33"/>
              <w:rPr>
                <w:b/>
                <w:bCs/>
              </w:rPr>
            </w:pPr>
            <w:r>
              <w:rPr>
                <w:b/>
                <w:sz w:val="24"/>
              </w:rPr>
              <w:t xml:space="preserve">* </w:t>
            </w:r>
            <w:r w:rsidR="00D86949">
              <w:t>S</w:t>
            </w:r>
            <w:r>
              <w:t>ur la base d’un échantillon approprié de ressources critiques</w:t>
            </w:r>
            <w:r w:rsidR="00301B92">
              <w:rPr>
                <w:rStyle w:val="Appelnotedebasdep"/>
                <w:lang w:val="de-CH"/>
              </w:rPr>
              <w:footnoteReference w:id="3"/>
            </w:r>
            <w:r w:rsidR="00D86949">
              <w:t>, examiner</w:t>
            </w:r>
            <w:r>
              <w:t xml:space="preserve"> si les données critiques sont protégées de manière adéquate, par ex. au moyen d’un cryptage, d’une transmission sécurisée ou d’autres mesures techniques.</w:t>
            </w:r>
          </w:p>
        </w:tc>
        <w:tc>
          <w:tcPr>
            <w:tcW w:w="2694" w:type="dxa"/>
            <w:shd w:val="clear" w:color="auto" w:fill="auto"/>
          </w:tcPr>
          <w:p w14:paraId="3A2E470A" w14:textId="77777777" w:rsidR="00A969FD" w:rsidRPr="00EF528C" w:rsidRDefault="00A969FD" w:rsidP="00A969FD">
            <w:pPr>
              <w:spacing w:line="240" w:lineRule="auto"/>
              <w:rPr>
                <w:rFonts w:cs="Arial"/>
                <w:sz w:val="16"/>
                <w:szCs w:val="16"/>
                <w:lang w:val="fr-CH"/>
              </w:rPr>
            </w:pPr>
          </w:p>
        </w:tc>
        <w:tc>
          <w:tcPr>
            <w:tcW w:w="992" w:type="dxa"/>
            <w:shd w:val="clear" w:color="auto" w:fill="auto"/>
          </w:tcPr>
          <w:p w14:paraId="1C682586" w14:textId="77777777" w:rsidR="00A969FD" w:rsidRPr="00EF528C" w:rsidRDefault="00A969FD" w:rsidP="00A969FD">
            <w:pPr>
              <w:spacing w:line="240" w:lineRule="auto"/>
              <w:rPr>
                <w:rFonts w:cs="Arial"/>
                <w:sz w:val="16"/>
                <w:szCs w:val="16"/>
                <w:lang w:val="fr-CH"/>
              </w:rPr>
            </w:pPr>
          </w:p>
        </w:tc>
      </w:tr>
      <w:tr w:rsidR="00F56878" w:rsidRPr="00A04447" w14:paraId="0A17F742" w14:textId="77777777" w:rsidTr="0011737B">
        <w:tc>
          <w:tcPr>
            <w:tcW w:w="447" w:type="dxa"/>
            <w:gridSpan w:val="2"/>
            <w:tcBorders>
              <w:top w:val="single" w:sz="4" w:space="0" w:color="auto"/>
              <w:left w:val="single" w:sz="4" w:space="0" w:color="auto"/>
              <w:bottom w:val="single" w:sz="4" w:space="0" w:color="auto"/>
              <w:right w:val="single" w:sz="4" w:space="0" w:color="auto"/>
            </w:tcBorders>
            <w:shd w:val="clear" w:color="auto" w:fill="auto"/>
          </w:tcPr>
          <w:p w14:paraId="21A74F59" w14:textId="77777777" w:rsidR="00A969FD" w:rsidRPr="00A04447" w:rsidRDefault="004B11EC" w:rsidP="00A969FD">
            <w:pPr>
              <w:spacing w:line="240" w:lineRule="auto"/>
              <w:rPr>
                <w:rFonts w:cs="Arial"/>
                <w:sz w:val="16"/>
                <w:szCs w:val="16"/>
              </w:rPr>
            </w:pPr>
            <w:r>
              <w:rPr>
                <w:sz w:val="16"/>
              </w:rPr>
              <w:t>21</w:t>
            </w:r>
          </w:p>
        </w:tc>
        <w:tc>
          <w:tcPr>
            <w:tcW w:w="4830" w:type="dxa"/>
            <w:tcBorders>
              <w:top w:val="single" w:sz="4" w:space="0" w:color="auto"/>
              <w:left w:val="single" w:sz="4" w:space="0" w:color="auto"/>
              <w:bottom w:val="single" w:sz="4" w:space="0" w:color="auto"/>
              <w:right w:val="single" w:sz="4" w:space="0" w:color="auto"/>
            </w:tcBorders>
            <w:shd w:val="clear" w:color="auto" w:fill="auto"/>
          </w:tcPr>
          <w:p w14:paraId="2A9BDCCE" w14:textId="77777777" w:rsidR="00A969FD" w:rsidRPr="00A04447" w:rsidRDefault="00AE37FD" w:rsidP="00401D47">
            <w:pPr>
              <w:pStyle w:val="Bullet"/>
              <w:numPr>
                <w:ilvl w:val="0"/>
                <w:numId w:val="0"/>
              </w:numPr>
              <w:ind w:left="33"/>
            </w:pPr>
            <w:r>
              <w:rPr>
                <w:b/>
                <w:sz w:val="24"/>
              </w:rPr>
              <w:t xml:space="preserve">* </w:t>
            </w:r>
            <w:r>
              <w:t>Évaluation du caractère approprié des contrôles et des exigences de sécurité pour les profils d’utilisateurs disposant de privilèges accrus.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728BA6" w14:textId="3A827188" w:rsidR="00A969FD" w:rsidRPr="00A04447" w:rsidRDefault="00AE37FD" w:rsidP="00401D47">
            <w:pPr>
              <w:pStyle w:val="Bullet"/>
              <w:numPr>
                <w:ilvl w:val="0"/>
                <w:numId w:val="0"/>
              </w:numPr>
              <w:ind w:left="33"/>
            </w:pPr>
            <w:r>
              <w:rPr>
                <w:b/>
                <w:sz w:val="24"/>
              </w:rPr>
              <w:t xml:space="preserve">* </w:t>
            </w:r>
            <w:r>
              <w:t>Examen du caractère approprié des contrôles (par ex. évaluation des fichiers journaux, octroi d’autorisations d’accès uniquement temporaires, fréquence accrue des contrôles de révision, principe du double contrôle / de la révision par les pairs) et des exigences de sécurité pour les personnes disposant de privilèges accrus et examen si une liste de ces personnes est tenue et mise à jour continuellement.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D643DB7" w14:textId="77777777" w:rsidR="00A969FD" w:rsidRPr="00EF528C" w:rsidRDefault="00A969FD" w:rsidP="00A969FD">
            <w:pPr>
              <w:spacing w:line="240" w:lineRule="auto"/>
              <w:rPr>
                <w:rFonts w:cs="Arial"/>
                <w:sz w:val="16"/>
                <w:szCs w:val="16"/>
                <w:lang w:val="fr-CH"/>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A06A3A" w14:textId="77777777" w:rsidR="00A969FD" w:rsidRPr="00EF528C" w:rsidRDefault="00A969FD" w:rsidP="00A969FD">
            <w:pPr>
              <w:spacing w:line="240" w:lineRule="auto"/>
              <w:rPr>
                <w:rFonts w:cs="Arial"/>
                <w:sz w:val="16"/>
                <w:szCs w:val="16"/>
                <w:lang w:val="fr-CH"/>
              </w:rPr>
            </w:pPr>
          </w:p>
        </w:tc>
      </w:tr>
    </w:tbl>
    <w:p w14:paraId="54755DB1" w14:textId="77777777" w:rsidR="00301B92" w:rsidRDefault="00301B92">
      <w:r>
        <w:br w:type="page"/>
      </w:r>
    </w:p>
    <w:tbl>
      <w:tblPr>
        <w:tblW w:w="129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441"/>
        <w:gridCol w:w="4830"/>
        <w:gridCol w:w="3969"/>
        <w:gridCol w:w="2694"/>
        <w:gridCol w:w="992"/>
      </w:tblGrid>
      <w:tr w:rsidR="00A969FD" w:rsidRPr="00A04447" w14:paraId="299FF98E" w14:textId="77777777" w:rsidTr="0011737B">
        <w:trPr>
          <w:gridBefore w:val="1"/>
          <w:wBefore w:w="6" w:type="dxa"/>
        </w:trPr>
        <w:tc>
          <w:tcPr>
            <w:tcW w:w="129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82A6A" w14:textId="77777777" w:rsidR="00A969FD" w:rsidRPr="00A04447" w:rsidRDefault="00A969FD" w:rsidP="00A969FD">
            <w:pPr>
              <w:spacing w:line="240" w:lineRule="auto"/>
              <w:rPr>
                <w:rFonts w:cs="Arial"/>
                <w:sz w:val="16"/>
                <w:szCs w:val="16"/>
              </w:rPr>
            </w:pPr>
            <w:r>
              <w:rPr>
                <w:i/>
                <w:sz w:val="16"/>
              </w:rPr>
              <w:lastRenderedPageBreak/>
              <w:t>Gestion des autorisations hors de Suisse (Cm 79 de la Circ.-FINMA 23/1) :</w:t>
            </w:r>
          </w:p>
        </w:tc>
      </w:tr>
      <w:tr w:rsidR="00A969FD" w:rsidRPr="00A04447" w14:paraId="09747542" w14:textId="77777777" w:rsidTr="78DEC860">
        <w:trPr>
          <w:gridBefore w:val="1"/>
          <w:wBefore w:w="6" w:type="dxa"/>
        </w:trPr>
        <w:tc>
          <w:tcPr>
            <w:tcW w:w="441" w:type="dxa"/>
            <w:shd w:val="clear" w:color="auto" w:fill="auto"/>
          </w:tcPr>
          <w:p w14:paraId="79357647" w14:textId="77777777" w:rsidR="00A969FD" w:rsidRPr="00A04447" w:rsidRDefault="004B11EC" w:rsidP="00A969FD">
            <w:pPr>
              <w:spacing w:line="240" w:lineRule="auto"/>
              <w:rPr>
                <w:rFonts w:cs="Arial"/>
                <w:sz w:val="16"/>
                <w:szCs w:val="16"/>
              </w:rPr>
            </w:pPr>
            <w:r>
              <w:rPr>
                <w:sz w:val="16"/>
              </w:rPr>
              <w:t>22</w:t>
            </w:r>
          </w:p>
        </w:tc>
        <w:tc>
          <w:tcPr>
            <w:tcW w:w="4830" w:type="dxa"/>
            <w:shd w:val="clear" w:color="auto" w:fill="auto"/>
          </w:tcPr>
          <w:p w14:paraId="13077CC1" w14:textId="15095599" w:rsidR="00A969FD" w:rsidRPr="00A04447" w:rsidRDefault="00CC1A7E" w:rsidP="00A969FD">
            <w:pPr>
              <w:pStyle w:val="Bullet"/>
              <w:numPr>
                <w:ilvl w:val="0"/>
                <w:numId w:val="0"/>
              </w:numPr>
              <w:ind w:left="33"/>
            </w:pPr>
            <w:r>
              <w:rPr>
                <w:b/>
                <w:sz w:val="24"/>
              </w:rPr>
              <w:t xml:space="preserve">** </w:t>
            </w:r>
            <w:r>
              <w:t xml:space="preserve">Lorsque les données critiques sont stockées hors de Suisse ou qu’elles sont accessibles depuis l’étranger, évaluation si les risques accrus qui en résultent sont </w:t>
            </w:r>
            <w:r w:rsidR="00515CE6">
              <w:t xml:space="preserve">atténués </w:t>
            </w:r>
            <w:r>
              <w:t>et les données protégées de manière appropriée.</w:t>
            </w:r>
          </w:p>
        </w:tc>
        <w:tc>
          <w:tcPr>
            <w:tcW w:w="3969" w:type="dxa"/>
            <w:shd w:val="clear" w:color="auto" w:fill="auto"/>
          </w:tcPr>
          <w:p w14:paraId="2149AE70" w14:textId="77777777" w:rsidR="00A969FD" w:rsidRPr="00A04447" w:rsidRDefault="00CC1A7E" w:rsidP="00A969FD">
            <w:pPr>
              <w:pStyle w:val="Bullet"/>
              <w:numPr>
                <w:ilvl w:val="0"/>
                <w:numId w:val="0"/>
              </w:numPr>
              <w:ind w:left="33"/>
            </w:pPr>
            <w:r>
              <w:rPr>
                <w:b/>
                <w:sz w:val="24"/>
              </w:rPr>
              <w:t xml:space="preserve">** </w:t>
            </w:r>
            <w:r>
              <w:t>Examen sur la base d’un échantillon approprié si des mesures organisationnelles et techniques sont prises pour contrôler de manière appropriée les risques accrus et protéger de manière appropriée les données critiques lorsqu’elles sont stockées hors de Suisse ou qu’elles sont accessibles depuis l’étranger.</w:t>
            </w:r>
          </w:p>
        </w:tc>
        <w:tc>
          <w:tcPr>
            <w:tcW w:w="2694" w:type="dxa"/>
            <w:shd w:val="clear" w:color="auto" w:fill="auto"/>
          </w:tcPr>
          <w:p w14:paraId="22B5CC9D" w14:textId="77777777" w:rsidR="00A969FD" w:rsidRPr="00EF528C" w:rsidRDefault="00A969FD" w:rsidP="00A969FD">
            <w:pPr>
              <w:spacing w:line="240" w:lineRule="auto"/>
              <w:rPr>
                <w:rFonts w:cs="Arial"/>
                <w:sz w:val="16"/>
                <w:szCs w:val="16"/>
                <w:lang w:val="fr-CH"/>
              </w:rPr>
            </w:pPr>
          </w:p>
        </w:tc>
        <w:tc>
          <w:tcPr>
            <w:tcW w:w="992" w:type="dxa"/>
            <w:shd w:val="clear" w:color="auto" w:fill="auto"/>
          </w:tcPr>
          <w:p w14:paraId="33777947" w14:textId="77777777" w:rsidR="00A969FD" w:rsidRPr="00EF528C" w:rsidRDefault="00A969FD" w:rsidP="00A969FD">
            <w:pPr>
              <w:spacing w:line="240" w:lineRule="auto"/>
              <w:rPr>
                <w:rFonts w:cs="Arial"/>
                <w:sz w:val="16"/>
                <w:szCs w:val="16"/>
                <w:lang w:val="fr-CH"/>
              </w:rPr>
            </w:pPr>
          </w:p>
        </w:tc>
      </w:tr>
      <w:tr w:rsidR="00A969FD" w:rsidRPr="00A04447" w14:paraId="7F62A23D" w14:textId="77777777" w:rsidTr="0011737B">
        <w:trPr>
          <w:gridBefore w:val="1"/>
          <w:wBefore w:w="6" w:type="dxa"/>
        </w:trPr>
        <w:tc>
          <w:tcPr>
            <w:tcW w:w="129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31DFF" w14:textId="77777777" w:rsidR="00A969FD" w:rsidRPr="00A04447" w:rsidRDefault="00A969FD" w:rsidP="00A969FD">
            <w:pPr>
              <w:spacing w:line="240" w:lineRule="auto"/>
              <w:rPr>
                <w:rFonts w:cs="Arial"/>
                <w:sz w:val="16"/>
                <w:szCs w:val="16"/>
              </w:rPr>
            </w:pPr>
            <w:r>
              <w:rPr>
                <w:i/>
                <w:sz w:val="16"/>
              </w:rPr>
              <w:t>Incidents (Cm 81 de la Circ.-FINMA 23/1) :</w:t>
            </w:r>
          </w:p>
        </w:tc>
      </w:tr>
      <w:tr w:rsidR="00401D47" w:rsidRPr="00A04447" w14:paraId="5132A261" w14:textId="77777777" w:rsidTr="78DEC860">
        <w:trPr>
          <w:gridBefore w:val="1"/>
          <w:wBefore w:w="6" w:type="dxa"/>
        </w:trPr>
        <w:tc>
          <w:tcPr>
            <w:tcW w:w="441" w:type="dxa"/>
            <w:shd w:val="clear" w:color="auto" w:fill="auto"/>
          </w:tcPr>
          <w:p w14:paraId="05F6FFDD" w14:textId="77777777" w:rsidR="00401D47" w:rsidRPr="00A04447" w:rsidRDefault="004B11EC" w:rsidP="00A969FD">
            <w:pPr>
              <w:spacing w:line="240" w:lineRule="auto"/>
              <w:rPr>
                <w:rFonts w:cs="Arial"/>
                <w:sz w:val="16"/>
                <w:szCs w:val="16"/>
              </w:rPr>
            </w:pPr>
            <w:r>
              <w:rPr>
                <w:sz w:val="16"/>
              </w:rPr>
              <w:t>23</w:t>
            </w:r>
          </w:p>
        </w:tc>
        <w:tc>
          <w:tcPr>
            <w:tcW w:w="4830" w:type="dxa"/>
            <w:shd w:val="clear" w:color="auto" w:fill="auto"/>
          </w:tcPr>
          <w:p w14:paraId="6FC284F1" w14:textId="77777777" w:rsidR="00401D47" w:rsidRPr="00A04447" w:rsidRDefault="00401D47" w:rsidP="00A969FD">
            <w:pPr>
              <w:pStyle w:val="Bullet"/>
              <w:numPr>
                <w:ilvl w:val="0"/>
                <w:numId w:val="0"/>
              </w:numPr>
              <w:ind w:left="33"/>
            </w:pPr>
            <w:r>
              <w:t>Évaluation du caractère approprié des processus, procédures et contrôles relatifs à la gestion des incidents qui entravent de manière importante la confidentialité, l’intégrité ou la disponibilité des données critiques.</w:t>
            </w:r>
          </w:p>
        </w:tc>
        <w:tc>
          <w:tcPr>
            <w:tcW w:w="3969" w:type="dxa"/>
            <w:shd w:val="clear" w:color="auto" w:fill="auto"/>
          </w:tcPr>
          <w:p w14:paraId="14731295" w14:textId="612324EC" w:rsidR="005D57A3" w:rsidRPr="00A04447" w:rsidDel="007F7904" w:rsidRDefault="005D57A3" w:rsidP="005D57A3">
            <w:pPr>
              <w:pStyle w:val="Bullet"/>
              <w:numPr>
                <w:ilvl w:val="0"/>
                <w:numId w:val="0"/>
              </w:numPr>
              <w:ind w:left="33"/>
            </w:pPr>
            <w:r>
              <w:t>Examen de l’efficacité opérationnelle du processus d’annonce à la FINMA sur la base d’un échantillon approprié d’incidents ayant entravé la confidentialité, l’intégrité ou la disponibilité de</w:t>
            </w:r>
            <w:r w:rsidR="00916516">
              <w:t>s</w:t>
            </w:r>
            <w:r>
              <w:t xml:space="preserve"> données critiques.</w:t>
            </w:r>
          </w:p>
        </w:tc>
        <w:tc>
          <w:tcPr>
            <w:tcW w:w="2694" w:type="dxa"/>
            <w:shd w:val="clear" w:color="auto" w:fill="auto"/>
          </w:tcPr>
          <w:p w14:paraId="1D9C8984" w14:textId="77777777" w:rsidR="00401D47" w:rsidRPr="00EF528C" w:rsidRDefault="00401D47" w:rsidP="00A969FD">
            <w:pPr>
              <w:spacing w:line="240" w:lineRule="auto"/>
              <w:rPr>
                <w:rFonts w:cs="Arial"/>
                <w:sz w:val="16"/>
                <w:szCs w:val="16"/>
                <w:lang w:val="fr-CH"/>
              </w:rPr>
            </w:pPr>
          </w:p>
        </w:tc>
        <w:tc>
          <w:tcPr>
            <w:tcW w:w="992" w:type="dxa"/>
            <w:shd w:val="clear" w:color="auto" w:fill="auto"/>
          </w:tcPr>
          <w:p w14:paraId="195446F3" w14:textId="77777777" w:rsidR="00401D47" w:rsidRPr="00EF528C" w:rsidRDefault="00401D47" w:rsidP="00A969FD">
            <w:pPr>
              <w:spacing w:line="240" w:lineRule="auto"/>
              <w:rPr>
                <w:rFonts w:cs="Arial"/>
                <w:sz w:val="16"/>
                <w:szCs w:val="16"/>
                <w:lang w:val="fr-CH"/>
              </w:rPr>
            </w:pPr>
          </w:p>
        </w:tc>
      </w:tr>
      <w:tr w:rsidR="00A969FD" w:rsidRPr="00A04447" w14:paraId="08C1AF65" w14:textId="77777777" w:rsidTr="0011737B">
        <w:trPr>
          <w:gridBefore w:val="1"/>
          <w:wBefore w:w="6" w:type="dxa"/>
        </w:trPr>
        <w:tc>
          <w:tcPr>
            <w:tcW w:w="129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C55BB" w14:textId="77777777" w:rsidR="00A969FD" w:rsidRPr="00EF528C" w:rsidRDefault="00A969FD" w:rsidP="00A969FD">
            <w:pPr>
              <w:spacing w:line="240" w:lineRule="auto"/>
              <w:rPr>
                <w:rFonts w:cs="Arial"/>
                <w:i/>
                <w:iCs/>
                <w:sz w:val="16"/>
                <w:szCs w:val="16"/>
              </w:rPr>
            </w:pPr>
            <w:r w:rsidRPr="00EF528C">
              <w:rPr>
                <w:i/>
                <w:iCs/>
                <w:sz w:val="16"/>
              </w:rPr>
              <w:t>Examen de diligence (Cm 82 de la Circ.-FINMA 23/1) :</w:t>
            </w:r>
          </w:p>
        </w:tc>
      </w:tr>
      <w:tr w:rsidR="00A969FD" w:rsidRPr="00A04447" w14:paraId="49B5FE1A" w14:textId="77777777" w:rsidTr="78DEC860">
        <w:trPr>
          <w:gridBefore w:val="1"/>
          <w:wBefore w:w="6" w:type="dxa"/>
        </w:trPr>
        <w:tc>
          <w:tcPr>
            <w:tcW w:w="441" w:type="dxa"/>
            <w:shd w:val="clear" w:color="auto" w:fill="auto"/>
          </w:tcPr>
          <w:p w14:paraId="09725B9C" w14:textId="77777777" w:rsidR="00A969FD" w:rsidRPr="00A04447" w:rsidRDefault="004B11EC" w:rsidP="00A969FD">
            <w:pPr>
              <w:spacing w:line="240" w:lineRule="auto"/>
              <w:rPr>
                <w:rFonts w:cs="Arial"/>
                <w:sz w:val="16"/>
                <w:szCs w:val="16"/>
              </w:rPr>
            </w:pPr>
            <w:r>
              <w:rPr>
                <w:sz w:val="16"/>
              </w:rPr>
              <w:t>24</w:t>
            </w:r>
          </w:p>
        </w:tc>
        <w:tc>
          <w:tcPr>
            <w:tcW w:w="4830" w:type="dxa"/>
            <w:shd w:val="clear" w:color="auto" w:fill="auto"/>
          </w:tcPr>
          <w:p w14:paraId="03311FB4" w14:textId="77777777" w:rsidR="00A969FD" w:rsidRPr="00A04447" w:rsidRDefault="00A969FD" w:rsidP="00A969FD">
            <w:pPr>
              <w:pStyle w:val="Bullet"/>
              <w:numPr>
                <w:ilvl w:val="0"/>
                <w:numId w:val="0"/>
              </w:numPr>
              <w:ind w:left="33"/>
            </w:pPr>
            <w:r>
              <w:t xml:space="preserve">Évaluation du caractère approprié de l’examen de diligence </w:t>
            </w:r>
            <w:r>
              <w:rPr>
                <w:i/>
              </w:rPr>
              <w:t>(due diligence)</w:t>
            </w:r>
            <w:r>
              <w:t xml:space="preserve"> lors du choix des prestataires qui peuvent accéder aux données critiques ou les traiter.</w:t>
            </w:r>
          </w:p>
          <w:p w14:paraId="0E9A006E" w14:textId="77777777" w:rsidR="00A969FD" w:rsidRPr="0011737B" w:rsidRDefault="00A969FD" w:rsidP="00A969FD">
            <w:pPr>
              <w:pStyle w:val="Bullet"/>
              <w:numPr>
                <w:ilvl w:val="0"/>
                <w:numId w:val="0"/>
              </w:numPr>
              <w:ind w:left="33"/>
            </w:pPr>
          </w:p>
        </w:tc>
        <w:tc>
          <w:tcPr>
            <w:tcW w:w="3969" w:type="dxa"/>
            <w:shd w:val="clear" w:color="auto" w:fill="auto"/>
          </w:tcPr>
          <w:p w14:paraId="450F2CBE" w14:textId="13A50F01" w:rsidR="00A969FD" w:rsidRPr="00A04447" w:rsidRDefault="00C3258A" w:rsidP="00A969FD">
            <w:pPr>
              <w:pStyle w:val="Bullet"/>
              <w:numPr>
                <w:ilvl w:val="0"/>
                <w:numId w:val="0"/>
              </w:numPr>
              <w:ind w:left="33"/>
            </w:pPr>
            <w:r>
              <w:t>S</w:t>
            </w:r>
            <w:r w:rsidR="000C6A90">
              <w:t>ur la base d’un échantillon approprié de prestataires de services ayant accès à des données critiques</w:t>
            </w:r>
            <w:r>
              <w:t>, évaluer</w:t>
            </w:r>
            <w:r w:rsidR="000C6A90">
              <w:t xml:space="preserve"> si un examen de diligence </w:t>
            </w:r>
            <w:r w:rsidR="000C6A90">
              <w:rPr>
                <w:i/>
              </w:rPr>
              <w:t>(due diligence)</w:t>
            </w:r>
            <w:r w:rsidR="000C6A90">
              <w:t xml:space="preserve"> adéquat a été ou est effectué lors du choix des prestataires. </w:t>
            </w:r>
          </w:p>
          <w:p w14:paraId="72344904" w14:textId="77777777" w:rsidR="00A969FD" w:rsidRPr="00EF528C" w:rsidRDefault="00A969FD" w:rsidP="00A969FD">
            <w:pPr>
              <w:pStyle w:val="Bullet"/>
              <w:numPr>
                <w:ilvl w:val="0"/>
                <w:numId w:val="0"/>
              </w:numPr>
              <w:ind w:left="33"/>
              <w:rPr>
                <w:i/>
                <w:lang w:val="fr-CH"/>
              </w:rPr>
            </w:pPr>
          </w:p>
        </w:tc>
        <w:tc>
          <w:tcPr>
            <w:tcW w:w="2694" w:type="dxa"/>
            <w:shd w:val="clear" w:color="auto" w:fill="auto"/>
          </w:tcPr>
          <w:p w14:paraId="5AE2100B" w14:textId="77777777" w:rsidR="00A969FD" w:rsidRPr="00EF528C" w:rsidRDefault="00A969FD" w:rsidP="00A969FD">
            <w:pPr>
              <w:spacing w:line="240" w:lineRule="auto"/>
              <w:rPr>
                <w:rFonts w:cs="Arial"/>
                <w:sz w:val="16"/>
                <w:szCs w:val="16"/>
                <w:lang w:val="fr-CH"/>
              </w:rPr>
            </w:pPr>
          </w:p>
        </w:tc>
        <w:tc>
          <w:tcPr>
            <w:tcW w:w="992" w:type="dxa"/>
            <w:shd w:val="clear" w:color="auto" w:fill="auto"/>
          </w:tcPr>
          <w:p w14:paraId="2D8E5DEC" w14:textId="77777777" w:rsidR="00A969FD" w:rsidRPr="00EF528C" w:rsidRDefault="00A969FD" w:rsidP="00A969FD">
            <w:pPr>
              <w:spacing w:line="240" w:lineRule="auto"/>
              <w:rPr>
                <w:rFonts w:cs="Arial"/>
                <w:sz w:val="16"/>
                <w:szCs w:val="16"/>
                <w:lang w:val="fr-CH"/>
              </w:rPr>
            </w:pPr>
          </w:p>
        </w:tc>
      </w:tr>
      <w:tr w:rsidR="00F56878" w:rsidRPr="00A04447" w14:paraId="37864C01" w14:textId="77777777" w:rsidTr="0011737B">
        <w:tc>
          <w:tcPr>
            <w:tcW w:w="447" w:type="dxa"/>
            <w:gridSpan w:val="2"/>
            <w:tcBorders>
              <w:top w:val="single" w:sz="4" w:space="0" w:color="auto"/>
              <w:left w:val="single" w:sz="4" w:space="0" w:color="auto"/>
              <w:bottom w:val="single" w:sz="4" w:space="0" w:color="auto"/>
              <w:right w:val="single" w:sz="4" w:space="0" w:color="auto"/>
            </w:tcBorders>
            <w:shd w:val="clear" w:color="auto" w:fill="auto"/>
          </w:tcPr>
          <w:p w14:paraId="65E1FD57" w14:textId="77777777" w:rsidR="00CA6213" w:rsidRPr="00A04447" w:rsidRDefault="004B11EC" w:rsidP="00A969FD">
            <w:pPr>
              <w:spacing w:line="240" w:lineRule="auto"/>
              <w:rPr>
                <w:rFonts w:cs="Arial"/>
                <w:sz w:val="16"/>
                <w:szCs w:val="16"/>
              </w:rPr>
            </w:pPr>
            <w:r>
              <w:rPr>
                <w:sz w:val="16"/>
              </w:rPr>
              <w:t>25</w:t>
            </w:r>
          </w:p>
        </w:tc>
        <w:tc>
          <w:tcPr>
            <w:tcW w:w="4830" w:type="dxa"/>
            <w:tcBorders>
              <w:top w:val="single" w:sz="4" w:space="0" w:color="auto"/>
              <w:left w:val="single" w:sz="4" w:space="0" w:color="auto"/>
              <w:bottom w:val="single" w:sz="4" w:space="0" w:color="auto"/>
              <w:right w:val="single" w:sz="4" w:space="0" w:color="auto"/>
            </w:tcBorders>
            <w:shd w:val="clear" w:color="auto" w:fill="auto"/>
          </w:tcPr>
          <w:p w14:paraId="29C0E0E7" w14:textId="77777777" w:rsidR="00CA6213" w:rsidRPr="00A04447" w:rsidRDefault="00CA6213" w:rsidP="00F56878">
            <w:pPr>
              <w:pStyle w:val="Bullet"/>
              <w:numPr>
                <w:ilvl w:val="0"/>
                <w:numId w:val="0"/>
              </w:numPr>
              <w:ind w:left="33"/>
            </w:pPr>
            <w:r>
              <w:t>Évaluation si des critères adéquats relatifs au traitement des prestataires ayant accès à des données critiques sont définis et réglés contractuellement.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80BFC7" w14:textId="3E3D54EF" w:rsidR="000C6A90" w:rsidRPr="00A04447" w:rsidRDefault="00C3258A" w:rsidP="000C6A90">
            <w:pPr>
              <w:pStyle w:val="Bullet"/>
              <w:numPr>
                <w:ilvl w:val="0"/>
                <w:numId w:val="0"/>
              </w:numPr>
              <w:ind w:left="33"/>
            </w:pPr>
            <w:r>
              <w:t>S</w:t>
            </w:r>
            <w:r w:rsidR="000C6A90">
              <w:t>ur la base d’un échantillon approprié de prestataires ayant accès à des données critiques</w:t>
            </w:r>
            <w:r>
              <w:t>, examiner</w:t>
            </w:r>
            <w:r w:rsidR="000C6A90">
              <w:t xml:space="preserve"> si la gestion des données critiques a été vérifiée et réglée avant la signature du contrat. </w:t>
            </w:r>
          </w:p>
          <w:p w14:paraId="514A2888" w14:textId="77777777" w:rsidR="000C6A90" w:rsidRPr="00EF528C" w:rsidDel="007F7904" w:rsidRDefault="000C6A90" w:rsidP="00F56878">
            <w:pPr>
              <w:pStyle w:val="Bullet"/>
              <w:numPr>
                <w:ilvl w:val="0"/>
                <w:numId w:val="0"/>
              </w:numPr>
              <w:ind w:left="33"/>
              <w:rPr>
                <w:lang w:val="fr-CH"/>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01D12F" w14:textId="77777777" w:rsidR="00CA6213" w:rsidRPr="00EF528C" w:rsidRDefault="00CA6213" w:rsidP="00A969FD">
            <w:pPr>
              <w:spacing w:line="240" w:lineRule="auto"/>
              <w:rPr>
                <w:rFonts w:cs="Arial"/>
                <w:sz w:val="16"/>
                <w:szCs w:val="16"/>
                <w:lang w:val="fr-CH"/>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C2C181" w14:textId="77777777" w:rsidR="00CA6213" w:rsidRPr="00EF528C" w:rsidRDefault="00CA6213" w:rsidP="00A969FD">
            <w:pPr>
              <w:spacing w:line="240" w:lineRule="auto"/>
              <w:rPr>
                <w:rFonts w:cs="Arial"/>
                <w:sz w:val="16"/>
                <w:szCs w:val="16"/>
                <w:lang w:val="fr-CH"/>
              </w:rPr>
            </w:pPr>
          </w:p>
        </w:tc>
      </w:tr>
      <w:tr w:rsidR="00F56878" w:rsidRPr="00A04447" w14:paraId="338FA2DD" w14:textId="77777777" w:rsidTr="0011737B">
        <w:tc>
          <w:tcPr>
            <w:tcW w:w="447" w:type="dxa"/>
            <w:gridSpan w:val="2"/>
            <w:tcBorders>
              <w:top w:val="single" w:sz="4" w:space="0" w:color="auto"/>
              <w:left w:val="single" w:sz="4" w:space="0" w:color="auto"/>
              <w:bottom w:val="single" w:sz="4" w:space="0" w:color="auto"/>
              <w:right w:val="single" w:sz="4" w:space="0" w:color="auto"/>
            </w:tcBorders>
            <w:shd w:val="clear" w:color="auto" w:fill="auto"/>
          </w:tcPr>
          <w:p w14:paraId="361E898C" w14:textId="77777777" w:rsidR="00CA6213" w:rsidRPr="00A04447" w:rsidRDefault="004B11EC" w:rsidP="00A969FD">
            <w:pPr>
              <w:spacing w:line="240" w:lineRule="auto"/>
              <w:rPr>
                <w:rFonts w:cs="Arial"/>
                <w:sz w:val="16"/>
                <w:szCs w:val="16"/>
              </w:rPr>
            </w:pPr>
            <w:r>
              <w:rPr>
                <w:sz w:val="16"/>
              </w:rPr>
              <w:t>26</w:t>
            </w:r>
          </w:p>
        </w:tc>
        <w:tc>
          <w:tcPr>
            <w:tcW w:w="4830" w:type="dxa"/>
            <w:tcBorders>
              <w:top w:val="single" w:sz="4" w:space="0" w:color="auto"/>
              <w:left w:val="single" w:sz="4" w:space="0" w:color="auto"/>
              <w:bottom w:val="single" w:sz="4" w:space="0" w:color="auto"/>
              <w:right w:val="single" w:sz="4" w:space="0" w:color="auto"/>
            </w:tcBorders>
            <w:shd w:val="clear" w:color="auto" w:fill="auto"/>
          </w:tcPr>
          <w:p w14:paraId="4C8F88C4" w14:textId="77777777" w:rsidR="00CA6213" w:rsidRPr="0011737B" w:rsidRDefault="00CA6213">
            <w:pPr>
              <w:pStyle w:val="Bullet"/>
              <w:numPr>
                <w:ilvl w:val="0"/>
                <w:numId w:val="0"/>
              </w:numPr>
              <w:ind w:left="33"/>
            </w:pPr>
            <w:r>
              <w:t xml:space="preserve">Évaluation si les prestataires ayant accès à des données critiques sont périodiquement soumis à une surveillance et à un contrôle dans le cadre du système de contrôle interne de l’établissement.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7E96ED" w14:textId="51F017CF" w:rsidR="00525FA6" w:rsidRPr="00A04447" w:rsidRDefault="00C3258A" w:rsidP="00525FA6">
            <w:pPr>
              <w:pStyle w:val="Bullet"/>
              <w:numPr>
                <w:ilvl w:val="0"/>
                <w:numId w:val="0"/>
              </w:numPr>
              <w:ind w:left="33"/>
            </w:pPr>
            <w:r>
              <w:t>S</w:t>
            </w:r>
            <w:r w:rsidR="00525FA6">
              <w:t>ur la base d’un échantillon approprié de prestataires ayant accès à des données critiques</w:t>
            </w:r>
            <w:r>
              <w:t>, examiner</w:t>
            </w:r>
            <w:r w:rsidR="00525FA6">
              <w:t xml:space="preserve"> si leur utilisation des données est périodiquement soumise à une surveillance et à </w:t>
            </w:r>
            <w:proofErr w:type="gramStart"/>
            <w:r w:rsidR="00525FA6">
              <w:t>un contrôle fondés</w:t>
            </w:r>
            <w:proofErr w:type="gramEnd"/>
            <w:r w:rsidR="00525FA6">
              <w:t xml:space="preserve"> sur les risques.</w:t>
            </w:r>
          </w:p>
          <w:p w14:paraId="4870E620" w14:textId="77777777" w:rsidR="00525FA6" w:rsidRPr="00EF528C" w:rsidDel="007F7904" w:rsidRDefault="00525FA6" w:rsidP="00A969FD">
            <w:pPr>
              <w:pStyle w:val="Bullet"/>
              <w:numPr>
                <w:ilvl w:val="0"/>
                <w:numId w:val="0"/>
              </w:numPr>
              <w:ind w:left="33"/>
              <w:rPr>
                <w:lang w:val="fr-CH"/>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394646" w14:textId="77777777" w:rsidR="00CA6213" w:rsidRPr="00EF528C" w:rsidRDefault="00CA6213" w:rsidP="00A969FD">
            <w:pPr>
              <w:spacing w:line="240" w:lineRule="auto"/>
              <w:rPr>
                <w:rFonts w:cs="Arial"/>
                <w:sz w:val="16"/>
                <w:szCs w:val="16"/>
                <w:lang w:val="fr-CH"/>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49AD71" w14:textId="77777777" w:rsidR="00CA6213" w:rsidRPr="00EF528C" w:rsidRDefault="00CA6213" w:rsidP="00A969FD">
            <w:pPr>
              <w:spacing w:line="240" w:lineRule="auto"/>
              <w:rPr>
                <w:rFonts w:cs="Arial"/>
                <w:sz w:val="16"/>
                <w:szCs w:val="16"/>
                <w:lang w:val="fr-CH"/>
              </w:rPr>
            </w:pPr>
          </w:p>
        </w:tc>
      </w:tr>
    </w:tbl>
    <w:p w14:paraId="2867D7D2" w14:textId="77777777" w:rsidR="00C54C98" w:rsidRPr="00A04447" w:rsidRDefault="00C54C98" w:rsidP="00352874">
      <w:pPr>
        <w:spacing w:line="240" w:lineRule="auto"/>
        <w:rPr>
          <w:rFonts w:cs="Arial"/>
          <w:b/>
        </w:rPr>
      </w:pPr>
    </w:p>
    <w:p w14:paraId="32CF5D78" w14:textId="77777777" w:rsidR="009F683E" w:rsidRPr="00E012BF" w:rsidRDefault="00513348" w:rsidP="00F6760D">
      <w:pPr>
        <w:spacing w:before="240"/>
        <w:jc w:val="center"/>
        <w:rPr>
          <w:rFonts w:cs="Arial"/>
        </w:rPr>
      </w:pPr>
      <w:bookmarkStart w:id="0" w:name="_Hlk152225000"/>
      <w:r>
        <w:t>*********************************</w:t>
      </w:r>
      <w:bookmarkEnd w:id="0"/>
    </w:p>
    <w:sectPr w:rsidR="009F683E" w:rsidRPr="00E012BF" w:rsidSect="00814DA4">
      <w:headerReference w:type="default" r:id="rId12"/>
      <w:footerReference w:type="default" r:id="rId13"/>
      <w:pgSz w:w="16838" w:h="11906" w:orient="landscape"/>
      <w:pgMar w:top="1702" w:right="1417" w:bottom="1135" w:left="1134" w:header="426"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96A2" w14:textId="77777777" w:rsidR="00E17F2E" w:rsidRDefault="00E17F2E" w:rsidP="0073176F">
      <w:pPr>
        <w:spacing w:after="0" w:line="240" w:lineRule="auto"/>
      </w:pPr>
      <w:r>
        <w:separator/>
      </w:r>
    </w:p>
  </w:endnote>
  <w:endnote w:type="continuationSeparator" w:id="0">
    <w:p w14:paraId="44319BB8" w14:textId="77777777" w:rsidR="00E17F2E" w:rsidRDefault="00E17F2E" w:rsidP="0073176F">
      <w:pPr>
        <w:spacing w:after="0" w:line="240" w:lineRule="auto"/>
      </w:pPr>
      <w:r>
        <w:continuationSeparator/>
      </w:r>
    </w:p>
  </w:endnote>
  <w:endnote w:type="continuationNotice" w:id="1">
    <w:p w14:paraId="467F99E3" w14:textId="77777777" w:rsidR="00E17F2E" w:rsidRDefault="00E17F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Arial Narrow"/>
    <w:charset w:val="00"/>
    <w:family w:val="auto"/>
    <w:pitch w:val="variable"/>
    <w:sig w:usb0="A00002AF" w:usb1="5000206A" w:usb2="00000000" w:usb3="00000000" w:csb0="0000009F" w:csb1="00000000"/>
  </w:font>
  <w:font w:name="EYInterstate">
    <w:altName w:val="Times New Roman"/>
    <w:charset w:val="00"/>
    <w:family w:val="auto"/>
    <w:pitch w:val="variable"/>
    <w:sig w:usb0="00000001"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9E07" w14:textId="14856715" w:rsidR="0066492A" w:rsidRDefault="001201B6" w:rsidP="00021D9C">
    <w:pPr>
      <w:pStyle w:val="Pieddepage"/>
      <w:tabs>
        <w:tab w:val="clear" w:pos="9072"/>
        <w:tab w:val="right" w:pos="14317"/>
      </w:tabs>
      <w:rPr>
        <w:sz w:val="16"/>
        <w:szCs w:val="16"/>
      </w:rPr>
    </w:pPr>
    <w:r>
      <w:rPr>
        <w:sz w:val="16"/>
      </w:rPr>
      <w:t>Procédures</w:t>
    </w:r>
    <w:r w:rsidR="0066492A">
      <w:rPr>
        <w:sz w:val="16"/>
      </w:rPr>
      <w:t xml:space="preserve"> applicables au domaine d’audit « Gestion des risques des données critiques »</w:t>
    </w:r>
  </w:p>
  <w:p w14:paraId="41595A65" w14:textId="7E53C262" w:rsidR="0066492A" w:rsidRPr="0045532C" w:rsidRDefault="0066492A" w:rsidP="00021D9C">
    <w:pPr>
      <w:pStyle w:val="Pieddepage"/>
      <w:tabs>
        <w:tab w:val="clear" w:pos="9072"/>
        <w:tab w:val="right" w:pos="14317"/>
      </w:tabs>
      <w:rPr>
        <w:rFonts w:cs="Arial"/>
        <w:sz w:val="16"/>
        <w:szCs w:val="16"/>
      </w:rPr>
    </w:pPr>
    <w:r>
      <w:rPr>
        <w:sz w:val="16"/>
      </w:rPr>
      <w:t>Version du 30 novembre 2023, applicable dès la période d’audit 2024 (années d’audit débutant au plus tôt le 1</w:t>
    </w:r>
    <w:r>
      <w:rPr>
        <w:sz w:val="16"/>
        <w:vertAlign w:val="superscript"/>
      </w:rPr>
      <w:t>er</w:t>
    </w:r>
    <w:r>
      <w:rPr>
        <w:sz w:val="16"/>
      </w:rPr>
      <w:t> janvier 2024)</w:t>
    </w:r>
    <w:r>
      <w:tab/>
    </w:r>
    <w:r>
      <w:rPr>
        <w:sz w:val="16"/>
      </w:rPr>
      <w:t xml:space="preserve">Page </w:t>
    </w:r>
    <w:r w:rsidRPr="0011737B">
      <w:rPr>
        <w:rFonts w:cs="Arial"/>
        <w:sz w:val="16"/>
      </w:rPr>
      <w:fldChar w:fldCharType="begin"/>
    </w:r>
    <w:r w:rsidRPr="0045532C">
      <w:rPr>
        <w:rFonts w:cs="Arial"/>
        <w:sz w:val="16"/>
      </w:rPr>
      <w:instrText xml:space="preserve"> PAGE   \* MERGEFORMAT </w:instrText>
    </w:r>
    <w:r w:rsidRPr="0011737B">
      <w:rPr>
        <w:rFonts w:cs="Arial"/>
        <w:sz w:val="16"/>
      </w:rPr>
      <w:fldChar w:fldCharType="separate"/>
    </w:r>
    <w:r>
      <w:rPr>
        <w:rFonts w:cs="Arial"/>
        <w:sz w:val="16"/>
      </w:rPr>
      <w:t>10</w:t>
    </w:r>
    <w:r w:rsidRPr="0011737B">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AADE" w14:textId="77777777" w:rsidR="00E17F2E" w:rsidRDefault="00E17F2E" w:rsidP="0073176F">
      <w:pPr>
        <w:spacing w:after="0" w:line="240" w:lineRule="auto"/>
      </w:pPr>
      <w:r>
        <w:separator/>
      </w:r>
    </w:p>
  </w:footnote>
  <w:footnote w:type="continuationSeparator" w:id="0">
    <w:p w14:paraId="2D79991C" w14:textId="77777777" w:rsidR="00E17F2E" w:rsidRDefault="00E17F2E" w:rsidP="0073176F">
      <w:pPr>
        <w:spacing w:after="0" w:line="240" w:lineRule="auto"/>
      </w:pPr>
      <w:r>
        <w:continuationSeparator/>
      </w:r>
    </w:p>
  </w:footnote>
  <w:footnote w:type="continuationNotice" w:id="1">
    <w:p w14:paraId="1958030F" w14:textId="77777777" w:rsidR="00E17F2E" w:rsidRDefault="00E17F2E">
      <w:pPr>
        <w:spacing w:before="0" w:after="0" w:line="240" w:lineRule="auto"/>
      </w:pPr>
    </w:p>
  </w:footnote>
  <w:footnote w:id="2">
    <w:p w14:paraId="206E833D" w14:textId="3E24C238" w:rsidR="0066492A" w:rsidRPr="00E97C31" w:rsidRDefault="0066492A">
      <w:pPr>
        <w:pStyle w:val="Notedebasdepage"/>
      </w:pPr>
      <w:r>
        <w:rPr>
          <w:rStyle w:val="Appelnotedebasdep"/>
        </w:rPr>
        <w:footnoteRef/>
      </w:r>
      <w:r>
        <w:t xml:space="preserve"> </w:t>
      </w:r>
      <w:r>
        <w:rPr>
          <w:sz w:val="18"/>
        </w:rPr>
        <w:t>Cm 33 et 34</w:t>
      </w:r>
      <w:r w:rsidR="001201B6">
        <w:rPr>
          <w:sz w:val="18"/>
        </w:rPr>
        <w:t xml:space="preserve"> de la Circ.-FINMA 13/3</w:t>
      </w:r>
    </w:p>
  </w:footnote>
  <w:footnote w:id="3">
    <w:p w14:paraId="4AAD7AB3" w14:textId="77777777" w:rsidR="00301B92" w:rsidRPr="00490D5C" w:rsidRDefault="00301B92">
      <w:pPr>
        <w:pStyle w:val="Notedebasdepage"/>
      </w:pPr>
      <w:r>
        <w:rPr>
          <w:rStyle w:val="Appelnotedebasdep"/>
        </w:rPr>
        <w:footnoteRef/>
      </w:r>
      <w:r>
        <w:t xml:space="preserve"> </w:t>
      </w:r>
      <w:r>
        <w:rPr>
          <w:sz w:val="18"/>
        </w:rPr>
        <w:t>Circ.-FINMA 23/1 annexe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07A9" w14:textId="77777777" w:rsidR="0066492A" w:rsidRPr="0045532C" w:rsidRDefault="0066492A" w:rsidP="00814DA4">
    <w:pPr>
      <w:pStyle w:val="En-tte"/>
      <w:tabs>
        <w:tab w:val="clear" w:pos="4536"/>
        <w:tab w:val="clear" w:pos="9072"/>
        <w:tab w:val="left" w:pos="3969"/>
        <w:tab w:val="right" w:pos="14317"/>
      </w:tabs>
      <w:rPr>
        <w:rFonts w:cs="Arial"/>
        <w:sz w:val="14"/>
        <w:szCs w:val="14"/>
      </w:rPr>
    </w:pPr>
    <w:r>
      <w:rPr>
        <w:noProof/>
      </w:rPr>
      <w:drawing>
        <wp:anchor distT="0" distB="0" distL="114300" distR="114300" simplePos="0" relativeHeight="251658240" behindDoc="1" locked="0" layoutInCell="1" allowOverlap="1" wp14:anchorId="561CDF6E" wp14:editId="2CB46AB6">
          <wp:simplePos x="0" y="0"/>
          <wp:positionH relativeFrom="column">
            <wp:posOffset>7361555</wp:posOffset>
          </wp:positionH>
          <wp:positionV relativeFrom="paragraph">
            <wp:posOffset>-36830</wp:posOffset>
          </wp:positionV>
          <wp:extent cx="1633855" cy="719455"/>
          <wp:effectExtent l="0" t="0" r="4445" b="4445"/>
          <wp:wrapTight wrapText="bothSides">
            <wp:wrapPolygon edited="0">
              <wp:start x="0" y="0"/>
              <wp:lineTo x="0" y="21162"/>
              <wp:lineTo x="8311" y="21162"/>
              <wp:lineTo x="15363" y="21162"/>
              <wp:lineTo x="17377" y="21162"/>
              <wp:lineTo x="20148" y="19446"/>
              <wp:lineTo x="21407" y="16586"/>
              <wp:lineTo x="21407" y="4004"/>
              <wp:lineTo x="19392" y="2288"/>
              <wp:lineTo x="9066"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FIN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38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highlight w:val="yellow"/>
      </w:rPr>
      <w:t>[Établissement XY]</w:t>
    </w:r>
    <w:r>
      <w:tab/>
    </w:r>
    <w:r>
      <w:rPr>
        <w:sz w:val="16"/>
      </w:rPr>
      <w:t xml:space="preserve">Référence : </w:t>
    </w:r>
    <w:r>
      <w:rPr>
        <w:sz w:val="16"/>
        <w:highlight w:val="yellow"/>
      </w:rPr>
      <w:t>[ajouter la référence]</w:t>
    </w:r>
  </w:p>
  <w:p w14:paraId="3DC8A308" w14:textId="77777777" w:rsidR="0066492A" w:rsidRPr="0045532C" w:rsidRDefault="0066492A" w:rsidP="00814DA4">
    <w:pPr>
      <w:pStyle w:val="En-tte"/>
      <w:tabs>
        <w:tab w:val="clear" w:pos="4536"/>
        <w:tab w:val="clear" w:pos="9072"/>
        <w:tab w:val="left" w:pos="3969"/>
        <w:tab w:val="right" w:pos="14317"/>
      </w:tabs>
      <w:rPr>
        <w:rFonts w:cs="Arial"/>
        <w:sz w:val="16"/>
        <w:szCs w:val="16"/>
      </w:rPr>
    </w:pPr>
    <w:r>
      <w:rPr>
        <w:sz w:val="16"/>
      </w:rPr>
      <w:t xml:space="preserve">Période d’audit </w:t>
    </w:r>
    <w:r>
      <w:rPr>
        <w:sz w:val="16"/>
        <w:highlight w:val="yellow"/>
      </w:rPr>
      <w:t>20YY</w:t>
    </w:r>
    <w:r>
      <w:tab/>
    </w:r>
    <w:r>
      <w:rPr>
        <w:b/>
        <w:sz w:val="16"/>
      </w:rPr>
      <w:t>Gestion des risques des données critiques</w:t>
    </w:r>
  </w:p>
  <w:p w14:paraId="55232C11" w14:textId="77777777" w:rsidR="0066492A" w:rsidRDefault="0066492A" w:rsidP="00814DA4">
    <w:pPr>
      <w:pStyle w:val="En-tte"/>
      <w:rPr>
        <w:rFonts w:cs="Arial"/>
        <w:sz w:val="18"/>
        <w:szCs w:val="18"/>
      </w:rPr>
    </w:pPr>
  </w:p>
  <w:p w14:paraId="415E70ED" w14:textId="77777777" w:rsidR="0066492A" w:rsidRDefault="0066492A" w:rsidP="00814DA4">
    <w:pPr>
      <w:pStyle w:val="En-tte"/>
      <w:rPr>
        <w:rFonts w:cs="Arial"/>
        <w:sz w:val="18"/>
        <w:szCs w:val="18"/>
      </w:rPr>
    </w:pPr>
  </w:p>
  <w:p w14:paraId="5F1F0B63" w14:textId="77777777" w:rsidR="0066492A" w:rsidRPr="0045532C" w:rsidRDefault="0066492A" w:rsidP="00814DA4">
    <w:pPr>
      <w:pStyle w:val="En-tte"/>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D0AB4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894856"/>
    <w:multiLevelType w:val="hybridMultilevel"/>
    <w:tmpl w:val="FEC8F372"/>
    <w:lvl w:ilvl="0" w:tplc="024A35AE">
      <w:start w:val="1"/>
      <w:numFmt w:val="bullet"/>
      <w:lvlText w:val=""/>
      <w:lvlJc w:val="left"/>
      <w:pPr>
        <w:ind w:left="896" w:hanging="360"/>
      </w:pPr>
      <w:rPr>
        <w:rFonts w:ascii="Symbol" w:hAnsi="Symbol" w:hint="default"/>
        <w:sz w:val="20"/>
        <w:szCs w:val="20"/>
      </w:rPr>
    </w:lvl>
    <w:lvl w:ilvl="1" w:tplc="08070003" w:tentative="1">
      <w:start w:val="1"/>
      <w:numFmt w:val="bullet"/>
      <w:lvlText w:val="o"/>
      <w:lvlJc w:val="left"/>
      <w:pPr>
        <w:ind w:left="1616" w:hanging="360"/>
      </w:pPr>
      <w:rPr>
        <w:rFonts w:ascii="Courier New" w:hAnsi="Courier New" w:cs="Courier New" w:hint="default"/>
      </w:rPr>
    </w:lvl>
    <w:lvl w:ilvl="2" w:tplc="08070005" w:tentative="1">
      <w:start w:val="1"/>
      <w:numFmt w:val="bullet"/>
      <w:lvlText w:val=""/>
      <w:lvlJc w:val="left"/>
      <w:pPr>
        <w:ind w:left="2336" w:hanging="360"/>
      </w:pPr>
      <w:rPr>
        <w:rFonts w:ascii="Wingdings" w:hAnsi="Wingdings" w:hint="default"/>
      </w:rPr>
    </w:lvl>
    <w:lvl w:ilvl="3" w:tplc="08070001" w:tentative="1">
      <w:start w:val="1"/>
      <w:numFmt w:val="bullet"/>
      <w:lvlText w:val=""/>
      <w:lvlJc w:val="left"/>
      <w:pPr>
        <w:ind w:left="3056" w:hanging="360"/>
      </w:pPr>
      <w:rPr>
        <w:rFonts w:ascii="Symbol" w:hAnsi="Symbol" w:hint="default"/>
      </w:rPr>
    </w:lvl>
    <w:lvl w:ilvl="4" w:tplc="08070003" w:tentative="1">
      <w:start w:val="1"/>
      <w:numFmt w:val="bullet"/>
      <w:lvlText w:val="o"/>
      <w:lvlJc w:val="left"/>
      <w:pPr>
        <w:ind w:left="3776" w:hanging="360"/>
      </w:pPr>
      <w:rPr>
        <w:rFonts w:ascii="Courier New" w:hAnsi="Courier New" w:cs="Courier New" w:hint="default"/>
      </w:rPr>
    </w:lvl>
    <w:lvl w:ilvl="5" w:tplc="08070005" w:tentative="1">
      <w:start w:val="1"/>
      <w:numFmt w:val="bullet"/>
      <w:lvlText w:val=""/>
      <w:lvlJc w:val="left"/>
      <w:pPr>
        <w:ind w:left="4496" w:hanging="360"/>
      </w:pPr>
      <w:rPr>
        <w:rFonts w:ascii="Wingdings" w:hAnsi="Wingdings" w:hint="default"/>
      </w:rPr>
    </w:lvl>
    <w:lvl w:ilvl="6" w:tplc="08070001" w:tentative="1">
      <w:start w:val="1"/>
      <w:numFmt w:val="bullet"/>
      <w:lvlText w:val=""/>
      <w:lvlJc w:val="left"/>
      <w:pPr>
        <w:ind w:left="5216" w:hanging="360"/>
      </w:pPr>
      <w:rPr>
        <w:rFonts w:ascii="Symbol" w:hAnsi="Symbol" w:hint="default"/>
      </w:rPr>
    </w:lvl>
    <w:lvl w:ilvl="7" w:tplc="08070003" w:tentative="1">
      <w:start w:val="1"/>
      <w:numFmt w:val="bullet"/>
      <w:lvlText w:val="o"/>
      <w:lvlJc w:val="left"/>
      <w:pPr>
        <w:ind w:left="5936" w:hanging="360"/>
      </w:pPr>
      <w:rPr>
        <w:rFonts w:ascii="Courier New" w:hAnsi="Courier New" w:cs="Courier New" w:hint="default"/>
      </w:rPr>
    </w:lvl>
    <w:lvl w:ilvl="8" w:tplc="08070005" w:tentative="1">
      <w:start w:val="1"/>
      <w:numFmt w:val="bullet"/>
      <w:lvlText w:val=""/>
      <w:lvlJc w:val="left"/>
      <w:pPr>
        <w:ind w:left="6656" w:hanging="360"/>
      </w:pPr>
      <w:rPr>
        <w:rFonts w:ascii="Wingdings" w:hAnsi="Wingdings" w:hint="default"/>
      </w:rPr>
    </w:lvl>
  </w:abstractNum>
  <w:abstractNum w:abstractNumId="2" w15:restartNumberingAfterBreak="0">
    <w:nsid w:val="04BF55AA"/>
    <w:multiLevelType w:val="hybridMultilevel"/>
    <w:tmpl w:val="2468076C"/>
    <w:lvl w:ilvl="0" w:tplc="08070001">
      <w:start w:val="1"/>
      <w:numFmt w:val="bullet"/>
      <w:lvlText w:val=""/>
      <w:lvlJc w:val="left"/>
      <w:pPr>
        <w:ind w:left="536" w:hanging="360"/>
      </w:pPr>
      <w:rPr>
        <w:rFonts w:ascii="Symbol" w:hAnsi="Symbol" w:hint="default"/>
      </w:rPr>
    </w:lvl>
    <w:lvl w:ilvl="1" w:tplc="FFFFFFFF" w:tentative="1">
      <w:start w:val="1"/>
      <w:numFmt w:val="bullet"/>
      <w:lvlText w:val="o"/>
      <w:lvlJc w:val="left"/>
      <w:pPr>
        <w:ind w:left="1256" w:hanging="360"/>
      </w:pPr>
      <w:rPr>
        <w:rFonts w:ascii="Courier New" w:hAnsi="Courier New" w:cs="Courier New" w:hint="default"/>
      </w:rPr>
    </w:lvl>
    <w:lvl w:ilvl="2" w:tplc="FFFFFFFF" w:tentative="1">
      <w:start w:val="1"/>
      <w:numFmt w:val="bullet"/>
      <w:lvlText w:val=""/>
      <w:lvlJc w:val="left"/>
      <w:pPr>
        <w:ind w:left="1976" w:hanging="360"/>
      </w:pPr>
      <w:rPr>
        <w:rFonts w:ascii="Wingdings" w:hAnsi="Wingdings" w:hint="default"/>
      </w:rPr>
    </w:lvl>
    <w:lvl w:ilvl="3" w:tplc="FFFFFFFF" w:tentative="1">
      <w:start w:val="1"/>
      <w:numFmt w:val="bullet"/>
      <w:lvlText w:val=""/>
      <w:lvlJc w:val="left"/>
      <w:pPr>
        <w:ind w:left="2696" w:hanging="360"/>
      </w:pPr>
      <w:rPr>
        <w:rFonts w:ascii="Symbol" w:hAnsi="Symbol" w:hint="default"/>
      </w:rPr>
    </w:lvl>
    <w:lvl w:ilvl="4" w:tplc="FFFFFFFF" w:tentative="1">
      <w:start w:val="1"/>
      <w:numFmt w:val="bullet"/>
      <w:lvlText w:val="o"/>
      <w:lvlJc w:val="left"/>
      <w:pPr>
        <w:ind w:left="3416" w:hanging="360"/>
      </w:pPr>
      <w:rPr>
        <w:rFonts w:ascii="Courier New" w:hAnsi="Courier New" w:cs="Courier New" w:hint="default"/>
      </w:rPr>
    </w:lvl>
    <w:lvl w:ilvl="5" w:tplc="FFFFFFFF" w:tentative="1">
      <w:start w:val="1"/>
      <w:numFmt w:val="bullet"/>
      <w:lvlText w:val=""/>
      <w:lvlJc w:val="left"/>
      <w:pPr>
        <w:ind w:left="4136" w:hanging="360"/>
      </w:pPr>
      <w:rPr>
        <w:rFonts w:ascii="Wingdings" w:hAnsi="Wingdings" w:hint="default"/>
      </w:rPr>
    </w:lvl>
    <w:lvl w:ilvl="6" w:tplc="FFFFFFFF" w:tentative="1">
      <w:start w:val="1"/>
      <w:numFmt w:val="bullet"/>
      <w:lvlText w:val=""/>
      <w:lvlJc w:val="left"/>
      <w:pPr>
        <w:ind w:left="4856" w:hanging="360"/>
      </w:pPr>
      <w:rPr>
        <w:rFonts w:ascii="Symbol" w:hAnsi="Symbol" w:hint="default"/>
      </w:rPr>
    </w:lvl>
    <w:lvl w:ilvl="7" w:tplc="FFFFFFFF" w:tentative="1">
      <w:start w:val="1"/>
      <w:numFmt w:val="bullet"/>
      <w:lvlText w:val="o"/>
      <w:lvlJc w:val="left"/>
      <w:pPr>
        <w:ind w:left="5576" w:hanging="360"/>
      </w:pPr>
      <w:rPr>
        <w:rFonts w:ascii="Courier New" w:hAnsi="Courier New" w:cs="Courier New" w:hint="default"/>
      </w:rPr>
    </w:lvl>
    <w:lvl w:ilvl="8" w:tplc="FFFFFFFF" w:tentative="1">
      <w:start w:val="1"/>
      <w:numFmt w:val="bullet"/>
      <w:lvlText w:val=""/>
      <w:lvlJc w:val="left"/>
      <w:pPr>
        <w:ind w:left="6296" w:hanging="360"/>
      </w:pPr>
      <w:rPr>
        <w:rFonts w:ascii="Wingdings" w:hAnsi="Wingdings" w:hint="default"/>
      </w:rPr>
    </w:lvl>
  </w:abstractNum>
  <w:abstractNum w:abstractNumId="3" w15:restartNumberingAfterBreak="0">
    <w:nsid w:val="0C8A2FBA"/>
    <w:multiLevelType w:val="hybridMultilevel"/>
    <w:tmpl w:val="83F00160"/>
    <w:lvl w:ilvl="0" w:tplc="08070001">
      <w:start w:val="1"/>
      <w:numFmt w:val="bullet"/>
      <w:lvlText w:val=""/>
      <w:lvlJc w:val="left"/>
      <w:pPr>
        <w:ind w:left="569" w:hanging="360"/>
      </w:pPr>
      <w:rPr>
        <w:rFonts w:ascii="Symbol" w:hAnsi="Symbol" w:hint="default"/>
      </w:rPr>
    </w:lvl>
    <w:lvl w:ilvl="1" w:tplc="FFFFFFFF" w:tentative="1">
      <w:start w:val="1"/>
      <w:numFmt w:val="bullet"/>
      <w:lvlText w:val="o"/>
      <w:lvlJc w:val="left"/>
      <w:pPr>
        <w:ind w:left="1473" w:hanging="360"/>
      </w:pPr>
      <w:rPr>
        <w:rFonts w:ascii="Courier New" w:hAnsi="Courier New" w:cs="Courier New" w:hint="default"/>
      </w:rPr>
    </w:lvl>
    <w:lvl w:ilvl="2" w:tplc="FFFFFFFF" w:tentative="1">
      <w:start w:val="1"/>
      <w:numFmt w:val="bullet"/>
      <w:lvlText w:val=""/>
      <w:lvlJc w:val="left"/>
      <w:pPr>
        <w:ind w:left="2193" w:hanging="360"/>
      </w:pPr>
      <w:rPr>
        <w:rFonts w:ascii="Wingdings" w:hAnsi="Wingdings" w:hint="default"/>
      </w:rPr>
    </w:lvl>
    <w:lvl w:ilvl="3" w:tplc="FFFFFFFF" w:tentative="1">
      <w:start w:val="1"/>
      <w:numFmt w:val="bullet"/>
      <w:lvlText w:val=""/>
      <w:lvlJc w:val="left"/>
      <w:pPr>
        <w:ind w:left="2913" w:hanging="360"/>
      </w:pPr>
      <w:rPr>
        <w:rFonts w:ascii="Symbol" w:hAnsi="Symbol" w:hint="default"/>
      </w:rPr>
    </w:lvl>
    <w:lvl w:ilvl="4" w:tplc="FFFFFFFF" w:tentative="1">
      <w:start w:val="1"/>
      <w:numFmt w:val="bullet"/>
      <w:lvlText w:val="o"/>
      <w:lvlJc w:val="left"/>
      <w:pPr>
        <w:ind w:left="3633" w:hanging="360"/>
      </w:pPr>
      <w:rPr>
        <w:rFonts w:ascii="Courier New" w:hAnsi="Courier New" w:cs="Courier New" w:hint="default"/>
      </w:rPr>
    </w:lvl>
    <w:lvl w:ilvl="5" w:tplc="FFFFFFFF" w:tentative="1">
      <w:start w:val="1"/>
      <w:numFmt w:val="bullet"/>
      <w:lvlText w:val=""/>
      <w:lvlJc w:val="left"/>
      <w:pPr>
        <w:ind w:left="4353" w:hanging="360"/>
      </w:pPr>
      <w:rPr>
        <w:rFonts w:ascii="Wingdings" w:hAnsi="Wingdings" w:hint="default"/>
      </w:rPr>
    </w:lvl>
    <w:lvl w:ilvl="6" w:tplc="FFFFFFFF" w:tentative="1">
      <w:start w:val="1"/>
      <w:numFmt w:val="bullet"/>
      <w:lvlText w:val=""/>
      <w:lvlJc w:val="left"/>
      <w:pPr>
        <w:ind w:left="5073" w:hanging="360"/>
      </w:pPr>
      <w:rPr>
        <w:rFonts w:ascii="Symbol" w:hAnsi="Symbol" w:hint="default"/>
      </w:rPr>
    </w:lvl>
    <w:lvl w:ilvl="7" w:tplc="FFFFFFFF" w:tentative="1">
      <w:start w:val="1"/>
      <w:numFmt w:val="bullet"/>
      <w:lvlText w:val="o"/>
      <w:lvlJc w:val="left"/>
      <w:pPr>
        <w:ind w:left="5793" w:hanging="360"/>
      </w:pPr>
      <w:rPr>
        <w:rFonts w:ascii="Courier New" w:hAnsi="Courier New" w:cs="Courier New" w:hint="default"/>
      </w:rPr>
    </w:lvl>
    <w:lvl w:ilvl="8" w:tplc="FFFFFFFF" w:tentative="1">
      <w:start w:val="1"/>
      <w:numFmt w:val="bullet"/>
      <w:lvlText w:val=""/>
      <w:lvlJc w:val="left"/>
      <w:pPr>
        <w:ind w:left="6513" w:hanging="360"/>
      </w:pPr>
      <w:rPr>
        <w:rFonts w:ascii="Wingdings" w:hAnsi="Wingdings" w:hint="default"/>
      </w:rPr>
    </w:lvl>
  </w:abstractNum>
  <w:abstractNum w:abstractNumId="4" w15:restartNumberingAfterBreak="0">
    <w:nsid w:val="165B635B"/>
    <w:multiLevelType w:val="hybridMultilevel"/>
    <w:tmpl w:val="EBCEF56A"/>
    <w:lvl w:ilvl="0" w:tplc="5002EFD8">
      <w:numFmt w:val="bullet"/>
      <w:lvlText w:val=""/>
      <w:lvlJc w:val="left"/>
      <w:pPr>
        <w:ind w:left="720" w:hanging="360"/>
      </w:pPr>
      <w:rPr>
        <w:rFonts w:ascii="Wingdings" w:eastAsiaTheme="minorHAnsi" w:hAnsi="Wingdings" w:cstheme="min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6" w15:restartNumberingAfterBreak="0">
    <w:nsid w:val="1F7D3D87"/>
    <w:multiLevelType w:val="hybridMultilevel"/>
    <w:tmpl w:val="42A629F4"/>
    <w:lvl w:ilvl="0" w:tplc="08070001">
      <w:start w:val="1"/>
      <w:numFmt w:val="bullet"/>
      <w:lvlText w:val=""/>
      <w:lvlJc w:val="left"/>
      <w:pPr>
        <w:ind w:left="753" w:hanging="360"/>
      </w:pPr>
      <w:rPr>
        <w:rFonts w:ascii="Symbol" w:hAnsi="Symbol" w:hint="default"/>
      </w:rPr>
    </w:lvl>
    <w:lvl w:ilvl="1" w:tplc="08070003" w:tentative="1">
      <w:start w:val="1"/>
      <w:numFmt w:val="bullet"/>
      <w:lvlText w:val="o"/>
      <w:lvlJc w:val="left"/>
      <w:pPr>
        <w:ind w:left="1473" w:hanging="360"/>
      </w:pPr>
      <w:rPr>
        <w:rFonts w:ascii="Courier New" w:hAnsi="Courier New" w:cs="Courier New" w:hint="default"/>
      </w:rPr>
    </w:lvl>
    <w:lvl w:ilvl="2" w:tplc="08070005" w:tentative="1">
      <w:start w:val="1"/>
      <w:numFmt w:val="bullet"/>
      <w:lvlText w:val=""/>
      <w:lvlJc w:val="left"/>
      <w:pPr>
        <w:ind w:left="2193" w:hanging="360"/>
      </w:pPr>
      <w:rPr>
        <w:rFonts w:ascii="Wingdings" w:hAnsi="Wingdings" w:hint="default"/>
      </w:rPr>
    </w:lvl>
    <w:lvl w:ilvl="3" w:tplc="08070001" w:tentative="1">
      <w:start w:val="1"/>
      <w:numFmt w:val="bullet"/>
      <w:lvlText w:val=""/>
      <w:lvlJc w:val="left"/>
      <w:pPr>
        <w:ind w:left="2913" w:hanging="360"/>
      </w:pPr>
      <w:rPr>
        <w:rFonts w:ascii="Symbol" w:hAnsi="Symbol" w:hint="default"/>
      </w:rPr>
    </w:lvl>
    <w:lvl w:ilvl="4" w:tplc="08070003" w:tentative="1">
      <w:start w:val="1"/>
      <w:numFmt w:val="bullet"/>
      <w:lvlText w:val="o"/>
      <w:lvlJc w:val="left"/>
      <w:pPr>
        <w:ind w:left="3633" w:hanging="360"/>
      </w:pPr>
      <w:rPr>
        <w:rFonts w:ascii="Courier New" w:hAnsi="Courier New" w:cs="Courier New" w:hint="default"/>
      </w:rPr>
    </w:lvl>
    <w:lvl w:ilvl="5" w:tplc="08070005" w:tentative="1">
      <w:start w:val="1"/>
      <w:numFmt w:val="bullet"/>
      <w:lvlText w:val=""/>
      <w:lvlJc w:val="left"/>
      <w:pPr>
        <w:ind w:left="4353" w:hanging="360"/>
      </w:pPr>
      <w:rPr>
        <w:rFonts w:ascii="Wingdings" w:hAnsi="Wingdings" w:hint="default"/>
      </w:rPr>
    </w:lvl>
    <w:lvl w:ilvl="6" w:tplc="08070001" w:tentative="1">
      <w:start w:val="1"/>
      <w:numFmt w:val="bullet"/>
      <w:lvlText w:val=""/>
      <w:lvlJc w:val="left"/>
      <w:pPr>
        <w:ind w:left="5073" w:hanging="360"/>
      </w:pPr>
      <w:rPr>
        <w:rFonts w:ascii="Symbol" w:hAnsi="Symbol" w:hint="default"/>
      </w:rPr>
    </w:lvl>
    <w:lvl w:ilvl="7" w:tplc="08070003" w:tentative="1">
      <w:start w:val="1"/>
      <w:numFmt w:val="bullet"/>
      <w:lvlText w:val="o"/>
      <w:lvlJc w:val="left"/>
      <w:pPr>
        <w:ind w:left="5793" w:hanging="360"/>
      </w:pPr>
      <w:rPr>
        <w:rFonts w:ascii="Courier New" w:hAnsi="Courier New" w:cs="Courier New" w:hint="default"/>
      </w:rPr>
    </w:lvl>
    <w:lvl w:ilvl="8" w:tplc="08070005" w:tentative="1">
      <w:start w:val="1"/>
      <w:numFmt w:val="bullet"/>
      <w:lvlText w:val=""/>
      <w:lvlJc w:val="left"/>
      <w:pPr>
        <w:ind w:left="6513" w:hanging="360"/>
      </w:pPr>
      <w:rPr>
        <w:rFonts w:ascii="Wingdings" w:hAnsi="Wingdings" w:hint="default"/>
      </w:rPr>
    </w:lvl>
  </w:abstractNum>
  <w:abstractNum w:abstractNumId="7" w15:restartNumberingAfterBreak="0">
    <w:nsid w:val="203E20BD"/>
    <w:multiLevelType w:val="multilevel"/>
    <w:tmpl w:val="545A961C"/>
    <w:numStyleLink w:val="ListePP"/>
  </w:abstractNum>
  <w:abstractNum w:abstractNumId="8" w15:restartNumberingAfterBreak="0">
    <w:nsid w:val="613C7917"/>
    <w:multiLevelType w:val="hybridMultilevel"/>
    <w:tmpl w:val="8D5A2D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3320E12"/>
    <w:multiLevelType w:val="hybridMultilevel"/>
    <w:tmpl w:val="953812F2"/>
    <w:lvl w:ilvl="0" w:tplc="C5D2A41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19146386">
    <w:abstractNumId w:val="5"/>
  </w:num>
  <w:num w:numId="2" w16cid:durableId="1805274432">
    <w:abstractNumId w:val="7"/>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Titre3"/>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 w16cid:durableId="787971380">
    <w:abstractNumId w:val="9"/>
  </w:num>
  <w:num w:numId="4" w16cid:durableId="1607997833">
    <w:abstractNumId w:val="0"/>
  </w:num>
  <w:num w:numId="5" w16cid:durableId="375156564">
    <w:abstractNumId w:val="8"/>
  </w:num>
  <w:num w:numId="6" w16cid:durableId="497773368">
    <w:abstractNumId w:val="1"/>
  </w:num>
  <w:num w:numId="7" w16cid:durableId="899024537">
    <w:abstractNumId w:val="3"/>
  </w:num>
  <w:num w:numId="8" w16cid:durableId="569392461">
    <w:abstractNumId w:val="2"/>
  </w:num>
  <w:num w:numId="9" w16cid:durableId="267392425">
    <w:abstractNumId w:val="9"/>
  </w:num>
  <w:num w:numId="10" w16cid:durableId="1279336199">
    <w:abstractNumId w:val="9"/>
  </w:num>
  <w:num w:numId="11" w16cid:durableId="2114393611">
    <w:abstractNumId w:val="9"/>
  </w:num>
  <w:num w:numId="12" w16cid:durableId="1307590587">
    <w:abstractNumId w:val="9"/>
  </w:num>
  <w:num w:numId="13" w16cid:durableId="433132813">
    <w:abstractNumId w:val="4"/>
  </w:num>
  <w:num w:numId="14" w16cid:durableId="2074350923">
    <w:abstractNumId w:val="10"/>
  </w:num>
  <w:num w:numId="15" w16cid:durableId="85075130">
    <w:abstractNumId w:val="6"/>
  </w:num>
  <w:num w:numId="16" w16cid:durableId="28346300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autoHyphenation/>
  <w:hyphenationZone w:val="567"/>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6F"/>
    <w:rsid w:val="0000351D"/>
    <w:rsid w:val="000038B7"/>
    <w:rsid w:val="00004411"/>
    <w:rsid w:val="00006BC9"/>
    <w:rsid w:val="00007639"/>
    <w:rsid w:val="000107E5"/>
    <w:rsid w:val="00012AEB"/>
    <w:rsid w:val="00012CCD"/>
    <w:rsid w:val="00013CC5"/>
    <w:rsid w:val="00013EE2"/>
    <w:rsid w:val="000149DF"/>
    <w:rsid w:val="00014CAD"/>
    <w:rsid w:val="0001506A"/>
    <w:rsid w:val="000158F5"/>
    <w:rsid w:val="00016202"/>
    <w:rsid w:val="00016B0E"/>
    <w:rsid w:val="00016C72"/>
    <w:rsid w:val="00017F83"/>
    <w:rsid w:val="00020474"/>
    <w:rsid w:val="00020E76"/>
    <w:rsid w:val="0002133D"/>
    <w:rsid w:val="00021D9C"/>
    <w:rsid w:val="00022135"/>
    <w:rsid w:val="00022671"/>
    <w:rsid w:val="0002429A"/>
    <w:rsid w:val="00025CEE"/>
    <w:rsid w:val="0002624A"/>
    <w:rsid w:val="00027371"/>
    <w:rsid w:val="00030F77"/>
    <w:rsid w:val="000327B2"/>
    <w:rsid w:val="000363B1"/>
    <w:rsid w:val="000366CA"/>
    <w:rsid w:val="00036D65"/>
    <w:rsid w:val="00036DF6"/>
    <w:rsid w:val="000372F1"/>
    <w:rsid w:val="00041BB7"/>
    <w:rsid w:val="000424C9"/>
    <w:rsid w:val="0004253A"/>
    <w:rsid w:val="000448D3"/>
    <w:rsid w:val="00044A39"/>
    <w:rsid w:val="00044D5B"/>
    <w:rsid w:val="000469F0"/>
    <w:rsid w:val="00047096"/>
    <w:rsid w:val="00047792"/>
    <w:rsid w:val="00047C8C"/>
    <w:rsid w:val="00051370"/>
    <w:rsid w:val="00051655"/>
    <w:rsid w:val="00051C1E"/>
    <w:rsid w:val="00052588"/>
    <w:rsid w:val="000562A1"/>
    <w:rsid w:val="000608A8"/>
    <w:rsid w:val="00060B8A"/>
    <w:rsid w:val="000614A8"/>
    <w:rsid w:val="00061540"/>
    <w:rsid w:val="00061BA4"/>
    <w:rsid w:val="000624A4"/>
    <w:rsid w:val="000634CA"/>
    <w:rsid w:val="0006355F"/>
    <w:rsid w:val="00064120"/>
    <w:rsid w:val="0006504A"/>
    <w:rsid w:val="000652CA"/>
    <w:rsid w:val="00065D05"/>
    <w:rsid w:val="000661B3"/>
    <w:rsid w:val="0007021F"/>
    <w:rsid w:val="000713A5"/>
    <w:rsid w:val="000720AC"/>
    <w:rsid w:val="0007268B"/>
    <w:rsid w:val="00072EA9"/>
    <w:rsid w:val="00073440"/>
    <w:rsid w:val="000735D6"/>
    <w:rsid w:val="00073A17"/>
    <w:rsid w:val="00076402"/>
    <w:rsid w:val="00076C32"/>
    <w:rsid w:val="00082C26"/>
    <w:rsid w:val="00082D9B"/>
    <w:rsid w:val="00083FB0"/>
    <w:rsid w:val="000843F8"/>
    <w:rsid w:val="00085409"/>
    <w:rsid w:val="00085B58"/>
    <w:rsid w:val="00086741"/>
    <w:rsid w:val="00087EC0"/>
    <w:rsid w:val="0009064E"/>
    <w:rsid w:val="00090ADF"/>
    <w:rsid w:val="00090C3E"/>
    <w:rsid w:val="00090FAF"/>
    <w:rsid w:val="0009234F"/>
    <w:rsid w:val="000926CB"/>
    <w:rsid w:val="00092F40"/>
    <w:rsid w:val="00093407"/>
    <w:rsid w:val="00095183"/>
    <w:rsid w:val="000951D2"/>
    <w:rsid w:val="00095592"/>
    <w:rsid w:val="000A01EA"/>
    <w:rsid w:val="000A0B0F"/>
    <w:rsid w:val="000A1BD5"/>
    <w:rsid w:val="000A42AC"/>
    <w:rsid w:val="000A4F37"/>
    <w:rsid w:val="000A581D"/>
    <w:rsid w:val="000A6E44"/>
    <w:rsid w:val="000B0AEC"/>
    <w:rsid w:val="000B3D37"/>
    <w:rsid w:val="000B5B37"/>
    <w:rsid w:val="000B5CB9"/>
    <w:rsid w:val="000B6A11"/>
    <w:rsid w:val="000B7C09"/>
    <w:rsid w:val="000C0BDE"/>
    <w:rsid w:val="000C0CA7"/>
    <w:rsid w:val="000C15A8"/>
    <w:rsid w:val="000C32E6"/>
    <w:rsid w:val="000C4207"/>
    <w:rsid w:val="000C598B"/>
    <w:rsid w:val="000C6A90"/>
    <w:rsid w:val="000C7424"/>
    <w:rsid w:val="000C7D90"/>
    <w:rsid w:val="000D13B1"/>
    <w:rsid w:val="000D398C"/>
    <w:rsid w:val="000D5E0A"/>
    <w:rsid w:val="000D6161"/>
    <w:rsid w:val="000E043C"/>
    <w:rsid w:val="000E06D6"/>
    <w:rsid w:val="000E1050"/>
    <w:rsid w:val="000E1235"/>
    <w:rsid w:val="000E1C2F"/>
    <w:rsid w:val="000E3618"/>
    <w:rsid w:val="000E37FC"/>
    <w:rsid w:val="000E489F"/>
    <w:rsid w:val="000E50B3"/>
    <w:rsid w:val="000E521B"/>
    <w:rsid w:val="000E590A"/>
    <w:rsid w:val="000E677E"/>
    <w:rsid w:val="000E7468"/>
    <w:rsid w:val="000F1916"/>
    <w:rsid w:val="000F2E56"/>
    <w:rsid w:val="000F2EE4"/>
    <w:rsid w:val="000F42F4"/>
    <w:rsid w:val="000F4671"/>
    <w:rsid w:val="000F4B27"/>
    <w:rsid w:val="000F5A75"/>
    <w:rsid w:val="000F6057"/>
    <w:rsid w:val="000F7FE4"/>
    <w:rsid w:val="00100F5B"/>
    <w:rsid w:val="0010137B"/>
    <w:rsid w:val="0010402D"/>
    <w:rsid w:val="00107E58"/>
    <w:rsid w:val="0011059F"/>
    <w:rsid w:val="001112D4"/>
    <w:rsid w:val="00111449"/>
    <w:rsid w:val="00111BD5"/>
    <w:rsid w:val="001125B1"/>
    <w:rsid w:val="0011472B"/>
    <w:rsid w:val="00114D13"/>
    <w:rsid w:val="0011737B"/>
    <w:rsid w:val="001201B6"/>
    <w:rsid w:val="0012026E"/>
    <w:rsid w:val="00120E76"/>
    <w:rsid w:val="00121478"/>
    <w:rsid w:val="00123746"/>
    <w:rsid w:val="0012381D"/>
    <w:rsid w:val="00123E39"/>
    <w:rsid w:val="0012418A"/>
    <w:rsid w:val="00124C11"/>
    <w:rsid w:val="00125A24"/>
    <w:rsid w:val="001261B4"/>
    <w:rsid w:val="00126E6E"/>
    <w:rsid w:val="00127B56"/>
    <w:rsid w:val="00127DE6"/>
    <w:rsid w:val="00130B30"/>
    <w:rsid w:val="00131D47"/>
    <w:rsid w:val="00132773"/>
    <w:rsid w:val="0014034B"/>
    <w:rsid w:val="0014194D"/>
    <w:rsid w:val="00142C84"/>
    <w:rsid w:val="0014398E"/>
    <w:rsid w:val="001458C8"/>
    <w:rsid w:val="00146B9B"/>
    <w:rsid w:val="00146BD6"/>
    <w:rsid w:val="0014750E"/>
    <w:rsid w:val="00147694"/>
    <w:rsid w:val="001524A9"/>
    <w:rsid w:val="0015290D"/>
    <w:rsid w:val="001532BD"/>
    <w:rsid w:val="00153358"/>
    <w:rsid w:val="00154814"/>
    <w:rsid w:val="00155567"/>
    <w:rsid w:val="001610BF"/>
    <w:rsid w:val="0016227F"/>
    <w:rsid w:val="00162C12"/>
    <w:rsid w:val="001658FC"/>
    <w:rsid w:val="0016794B"/>
    <w:rsid w:val="0017032A"/>
    <w:rsid w:val="001737DA"/>
    <w:rsid w:val="00173ED3"/>
    <w:rsid w:val="0017531B"/>
    <w:rsid w:val="001755B5"/>
    <w:rsid w:val="00175CF3"/>
    <w:rsid w:val="0017621E"/>
    <w:rsid w:val="001768B7"/>
    <w:rsid w:val="0018174A"/>
    <w:rsid w:val="00182272"/>
    <w:rsid w:val="00183482"/>
    <w:rsid w:val="00183846"/>
    <w:rsid w:val="00185722"/>
    <w:rsid w:val="00191D14"/>
    <w:rsid w:val="0019207D"/>
    <w:rsid w:val="0019241A"/>
    <w:rsid w:val="00194422"/>
    <w:rsid w:val="00194C02"/>
    <w:rsid w:val="001954E8"/>
    <w:rsid w:val="00195B85"/>
    <w:rsid w:val="0019797A"/>
    <w:rsid w:val="001A0B13"/>
    <w:rsid w:val="001A105A"/>
    <w:rsid w:val="001A1AC0"/>
    <w:rsid w:val="001A1B32"/>
    <w:rsid w:val="001A273D"/>
    <w:rsid w:val="001A39AF"/>
    <w:rsid w:val="001A548A"/>
    <w:rsid w:val="001A6C31"/>
    <w:rsid w:val="001B044A"/>
    <w:rsid w:val="001B0E19"/>
    <w:rsid w:val="001B115C"/>
    <w:rsid w:val="001B2788"/>
    <w:rsid w:val="001B3543"/>
    <w:rsid w:val="001B3A1A"/>
    <w:rsid w:val="001B416F"/>
    <w:rsid w:val="001B4BC1"/>
    <w:rsid w:val="001B5E0D"/>
    <w:rsid w:val="001B67BE"/>
    <w:rsid w:val="001B763E"/>
    <w:rsid w:val="001C001D"/>
    <w:rsid w:val="001C1216"/>
    <w:rsid w:val="001C4063"/>
    <w:rsid w:val="001C52E8"/>
    <w:rsid w:val="001C6590"/>
    <w:rsid w:val="001C7344"/>
    <w:rsid w:val="001D0059"/>
    <w:rsid w:val="001D023A"/>
    <w:rsid w:val="001D2E6B"/>
    <w:rsid w:val="001D5800"/>
    <w:rsid w:val="001D6AE7"/>
    <w:rsid w:val="001E05A9"/>
    <w:rsid w:val="001E0C10"/>
    <w:rsid w:val="001E13CE"/>
    <w:rsid w:val="001E1ED0"/>
    <w:rsid w:val="001E2A56"/>
    <w:rsid w:val="001E46C1"/>
    <w:rsid w:val="001E6CC8"/>
    <w:rsid w:val="001E72F6"/>
    <w:rsid w:val="001F06E1"/>
    <w:rsid w:val="001F1D01"/>
    <w:rsid w:val="001F30F0"/>
    <w:rsid w:val="001F34CD"/>
    <w:rsid w:val="001F65D0"/>
    <w:rsid w:val="001F72BE"/>
    <w:rsid w:val="001F77B1"/>
    <w:rsid w:val="001F782E"/>
    <w:rsid w:val="00200539"/>
    <w:rsid w:val="00200ECE"/>
    <w:rsid w:val="00201E2E"/>
    <w:rsid w:val="002047F8"/>
    <w:rsid w:val="00207C18"/>
    <w:rsid w:val="002104F2"/>
    <w:rsid w:val="002104FD"/>
    <w:rsid w:val="00210606"/>
    <w:rsid w:val="0021155E"/>
    <w:rsid w:val="00211A49"/>
    <w:rsid w:val="00211D49"/>
    <w:rsid w:val="00211D75"/>
    <w:rsid w:val="00211D7A"/>
    <w:rsid w:val="0021403B"/>
    <w:rsid w:val="0021406D"/>
    <w:rsid w:val="002157DE"/>
    <w:rsid w:val="002159BD"/>
    <w:rsid w:val="00216358"/>
    <w:rsid w:val="0021768C"/>
    <w:rsid w:val="00220745"/>
    <w:rsid w:val="0022183B"/>
    <w:rsid w:val="002219EF"/>
    <w:rsid w:val="0022227C"/>
    <w:rsid w:val="00224F4E"/>
    <w:rsid w:val="002250AF"/>
    <w:rsid w:val="0022521D"/>
    <w:rsid w:val="00226493"/>
    <w:rsid w:val="0022774D"/>
    <w:rsid w:val="002311A4"/>
    <w:rsid w:val="00231D99"/>
    <w:rsid w:val="0023226C"/>
    <w:rsid w:val="00233AC2"/>
    <w:rsid w:val="0023405D"/>
    <w:rsid w:val="00234352"/>
    <w:rsid w:val="00234CCB"/>
    <w:rsid w:val="0023586D"/>
    <w:rsid w:val="00235C97"/>
    <w:rsid w:val="00240C18"/>
    <w:rsid w:val="0024269F"/>
    <w:rsid w:val="00243176"/>
    <w:rsid w:val="002438FE"/>
    <w:rsid w:val="0024768A"/>
    <w:rsid w:val="00250C32"/>
    <w:rsid w:val="00251456"/>
    <w:rsid w:val="0025192F"/>
    <w:rsid w:val="00253AE1"/>
    <w:rsid w:val="00253DDB"/>
    <w:rsid w:val="00254758"/>
    <w:rsid w:val="002553A1"/>
    <w:rsid w:val="0025569C"/>
    <w:rsid w:val="002605E6"/>
    <w:rsid w:val="00260655"/>
    <w:rsid w:val="0026083E"/>
    <w:rsid w:val="00261820"/>
    <w:rsid w:val="002626F3"/>
    <w:rsid w:val="0026274D"/>
    <w:rsid w:val="00263639"/>
    <w:rsid w:val="00264275"/>
    <w:rsid w:val="00266F48"/>
    <w:rsid w:val="00267097"/>
    <w:rsid w:val="002670AD"/>
    <w:rsid w:val="00267142"/>
    <w:rsid w:val="002729E7"/>
    <w:rsid w:val="002740BB"/>
    <w:rsid w:val="002743FF"/>
    <w:rsid w:val="00276409"/>
    <w:rsid w:val="0027643F"/>
    <w:rsid w:val="00280F47"/>
    <w:rsid w:val="00282365"/>
    <w:rsid w:val="002828D8"/>
    <w:rsid w:val="00283147"/>
    <w:rsid w:val="00284351"/>
    <w:rsid w:val="00284880"/>
    <w:rsid w:val="002875C2"/>
    <w:rsid w:val="00290212"/>
    <w:rsid w:val="00291845"/>
    <w:rsid w:val="002952FE"/>
    <w:rsid w:val="00295A46"/>
    <w:rsid w:val="002A0AFC"/>
    <w:rsid w:val="002A2544"/>
    <w:rsid w:val="002A3B3E"/>
    <w:rsid w:val="002A3BCB"/>
    <w:rsid w:val="002A3D86"/>
    <w:rsid w:val="002A40AE"/>
    <w:rsid w:val="002A4455"/>
    <w:rsid w:val="002A579C"/>
    <w:rsid w:val="002B0057"/>
    <w:rsid w:val="002B1202"/>
    <w:rsid w:val="002B19F9"/>
    <w:rsid w:val="002B2390"/>
    <w:rsid w:val="002B299D"/>
    <w:rsid w:val="002B3029"/>
    <w:rsid w:val="002B4808"/>
    <w:rsid w:val="002B4AE7"/>
    <w:rsid w:val="002B61B1"/>
    <w:rsid w:val="002B79CF"/>
    <w:rsid w:val="002C0AAF"/>
    <w:rsid w:val="002C0C2D"/>
    <w:rsid w:val="002C2523"/>
    <w:rsid w:val="002C3A35"/>
    <w:rsid w:val="002C4F91"/>
    <w:rsid w:val="002D08A4"/>
    <w:rsid w:val="002D1C55"/>
    <w:rsid w:val="002D2A40"/>
    <w:rsid w:val="002D3883"/>
    <w:rsid w:val="002D39F7"/>
    <w:rsid w:val="002D4C85"/>
    <w:rsid w:val="002D4DC0"/>
    <w:rsid w:val="002D56A5"/>
    <w:rsid w:val="002D5DB0"/>
    <w:rsid w:val="002D6DCC"/>
    <w:rsid w:val="002E033C"/>
    <w:rsid w:val="002E0686"/>
    <w:rsid w:val="002E1C7D"/>
    <w:rsid w:val="002E545F"/>
    <w:rsid w:val="002F0FC8"/>
    <w:rsid w:val="002F1359"/>
    <w:rsid w:val="002F17B6"/>
    <w:rsid w:val="002F2C0F"/>
    <w:rsid w:val="002F46F4"/>
    <w:rsid w:val="002F7710"/>
    <w:rsid w:val="002F7D23"/>
    <w:rsid w:val="002F7E16"/>
    <w:rsid w:val="002F7E5D"/>
    <w:rsid w:val="002F7EF3"/>
    <w:rsid w:val="00301420"/>
    <w:rsid w:val="0030165B"/>
    <w:rsid w:val="00301B92"/>
    <w:rsid w:val="00302DC8"/>
    <w:rsid w:val="00304472"/>
    <w:rsid w:val="00304C79"/>
    <w:rsid w:val="003065C6"/>
    <w:rsid w:val="00306638"/>
    <w:rsid w:val="003072C1"/>
    <w:rsid w:val="00307DC6"/>
    <w:rsid w:val="003105B9"/>
    <w:rsid w:val="00310C41"/>
    <w:rsid w:val="00311C64"/>
    <w:rsid w:val="003122AE"/>
    <w:rsid w:val="00312D1B"/>
    <w:rsid w:val="003130A1"/>
    <w:rsid w:val="00313E95"/>
    <w:rsid w:val="00314A15"/>
    <w:rsid w:val="0031568F"/>
    <w:rsid w:val="00315D63"/>
    <w:rsid w:val="003164E2"/>
    <w:rsid w:val="00317848"/>
    <w:rsid w:val="003179A2"/>
    <w:rsid w:val="0032007C"/>
    <w:rsid w:val="00320CAD"/>
    <w:rsid w:val="00321885"/>
    <w:rsid w:val="00321FD5"/>
    <w:rsid w:val="003227DF"/>
    <w:rsid w:val="00322EDE"/>
    <w:rsid w:val="00323F84"/>
    <w:rsid w:val="00324782"/>
    <w:rsid w:val="00327735"/>
    <w:rsid w:val="003324D9"/>
    <w:rsid w:val="00332A78"/>
    <w:rsid w:val="00332C17"/>
    <w:rsid w:val="00332DDE"/>
    <w:rsid w:val="003334B7"/>
    <w:rsid w:val="00333E26"/>
    <w:rsid w:val="0033419E"/>
    <w:rsid w:val="00334C1F"/>
    <w:rsid w:val="003351BB"/>
    <w:rsid w:val="003353FA"/>
    <w:rsid w:val="0033615A"/>
    <w:rsid w:val="003367A0"/>
    <w:rsid w:val="00336EF3"/>
    <w:rsid w:val="0033737E"/>
    <w:rsid w:val="00341735"/>
    <w:rsid w:val="00341BA1"/>
    <w:rsid w:val="00341DDA"/>
    <w:rsid w:val="0034411A"/>
    <w:rsid w:val="00350BD1"/>
    <w:rsid w:val="0035176B"/>
    <w:rsid w:val="003519F3"/>
    <w:rsid w:val="00351BE1"/>
    <w:rsid w:val="00351EB2"/>
    <w:rsid w:val="00352645"/>
    <w:rsid w:val="00352874"/>
    <w:rsid w:val="003540BD"/>
    <w:rsid w:val="00354FAD"/>
    <w:rsid w:val="00355A47"/>
    <w:rsid w:val="00355F9F"/>
    <w:rsid w:val="00356083"/>
    <w:rsid w:val="00357213"/>
    <w:rsid w:val="0035753E"/>
    <w:rsid w:val="003579C8"/>
    <w:rsid w:val="00357F14"/>
    <w:rsid w:val="003613F7"/>
    <w:rsid w:val="003634E4"/>
    <w:rsid w:val="0036411F"/>
    <w:rsid w:val="00364401"/>
    <w:rsid w:val="003651F1"/>
    <w:rsid w:val="003656E5"/>
    <w:rsid w:val="00365703"/>
    <w:rsid w:val="00366D3A"/>
    <w:rsid w:val="00367049"/>
    <w:rsid w:val="00367CC7"/>
    <w:rsid w:val="00370776"/>
    <w:rsid w:val="0037077C"/>
    <w:rsid w:val="00371281"/>
    <w:rsid w:val="003717DC"/>
    <w:rsid w:val="0037289F"/>
    <w:rsid w:val="00372CEA"/>
    <w:rsid w:val="003736E3"/>
    <w:rsid w:val="00374E35"/>
    <w:rsid w:val="003770D6"/>
    <w:rsid w:val="00380D71"/>
    <w:rsid w:val="0038190E"/>
    <w:rsid w:val="003827C3"/>
    <w:rsid w:val="00384E73"/>
    <w:rsid w:val="00385857"/>
    <w:rsid w:val="0038669F"/>
    <w:rsid w:val="00386A98"/>
    <w:rsid w:val="00390304"/>
    <w:rsid w:val="00392256"/>
    <w:rsid w:val="0039230B"/>
    <w:rsid w:val="00392C86"/>
    <w:rsid w:val="00394636"/>
    <w:rsid w:val="00395B22"/>
    <w:rsid w:val="00396249"/>
    <w:rsid w:val="003968DD"/>
    <w:rsid w:val="00396930"/>
    <w:rsid w:val="00396CC5"/>
    <w:rsid w:val="00396D67"/>
    <w:rsid w:val="003A1DA5"/>
    <w:rsid w:val="003A5EE2"/>
    <w:rsid w:val="003A63B2"/>
    <w:rsid w:val="003A656C"/>
    <w:rsid w:val="003A74C2"/>
    <w:rsid w:val="003A7667"/>
    <w:rsid w:val="003B0D18"/>
    <w:rsid w:val="003B1109"/>
    <w:rsid w:val="003B11D3"/>
    <w:rsid w:val="003B21E3"/>
    <w:rsid w:val="003B2B8A"/>
    <w:rsid w:val="003B3F09"/>
    <w:rsid w:val="003B610E"/>
    <w:rsid w:val="003B69AD"/>
    <w:rsid w:val="003C0030"/>
    <w:rsid w:val="003C0668"/>
    <w:rsid w:val="003C13A3"/>
    <w:rsid w:val="003C1C9A"/>
    <w:rsid w:val="003C3BBB"/>
    <w:rsid w:val="003C4F8E"/>
    <w:rsid w:val="003C5B48"/>
    <w:rsid w:val="003C5DDC"/>
    <w:rsid w:val="003C6F80"/>
    <w:rsid w:val="003C79BE"/>
    <w:rsid w:val="003C79E1"/>
    <w:rsid w:val="003D072E"/>
    <w:rsid w:val="003D0EDB"/>
    <w:rsid w:val="003D1621"/>
    <w:rsid w:val="003D1FBC"/>
    <w:rsid w:val="003D24D2"/>
    <w:rsid w:val="003D2D4A"/>
    <w:rsid w:val="003D3F0E"/>
    <w:rsid w:val="003D42C9"/>
    <w:rsid w:val="003E0B77"/>
    <w:rsid w:val="003E0B8B"/>
    <w:rsid w:val="003E1054"/>
    <w:rsid w:val="003E1DA2"/>
    <w:rsid w:val="003E21E5"/>
    <w:rsid w:val="003E2A5B"/>
    <w:rsid w:val="003E56FA"/>
    <w:rsid w:val="003E7DB9"/>
    <w:rsid w:val="003F1BA6"/>
    <w:rsid w:val="003F1EE5"/>
    <w:rsid w:val="003F2543"/>
    <w:rsid w:val="003F2BCB"/>
    <w:rsid w:val="003F4F30"/>
    <w:rsid w:val="003F50D1"/>
    <w:rsid w:val="003F55D5"/>
    <w:rsid w:val="003F6868"/>
    <w:rsid w:val="003F6D4F"/>
    <w:rsid w:val="003F6ECC"/>
    <w:rsid w:val="003F7016"/>
    <w:rsid w:val="003F7AD9"/>
    <w:rsid w:val="003F7D35"/>
    <w:rsid w:val="00400034"/>
    <w:rsid w:val="0040004E"/>
    <w:rsid w:val="00401D47"/>
    <w:rsid w:val="004025B9"/>
    <w:rsid w:val="0040313A"/>
    <w:rsid w:val="004039EA"/>
    <w:rsid w:val="00403B05"/>
    <w:rsid w:val="0040619D"/>
    <w:rsid w:val="0040701A"/>
    <w:rsid w:val="004112D6"/>
    <w:rsid w:val="00411CDA"/>
    <w:rsid w:val="0041269F"/>
    <w:rsid w:val="004128FE"/>
    <w:rsid w:val="004148E2"/>
    <w:rsid w:val="004165FE"/>
    <w:rsid w:val="00416AA6"/>
    <w:rsid w:val="00416B51"/>
    <w:rsid w:val="0041742E"/>
    <w:rsid w:val="004178C4"/>
    <w:rsid w:val="00420C07"/>
    <w:rsid w:val="00421376"/>
    <w:rsid w:val="00422480"/>
    <w:rsid w:val="00422AA1"/>
    <w:rsid w:val="00422DC3"/>
    <w:rsid w:val="00423239"/>
    <w:rsid w:val="004240C2"/>
    <w:rsid w:val="00424650"/>
    <w:rsid w:val="00424DA7"/>
    <w:rsid w:val="00425BF6"/>
    <w:rsid w:val="00427A62"/>
    <w:rsid w:val="00433E8D"/>
    <w:rsid w:val="00434174"/>
    <w:rsid w:val="00435848"/>
    <w:rsid w:val="00435ED2"/>
    <w:rsid w:val="00436011"/>
    <w:rsid w:val="004377EE"/>
    <w:rsid w:val="0044211A"/>
    <w:rsid w:val="00442993"/>
    <w:rsid w:val="00444C32"/>
    <w:rsid w:val="0044517C"/>
    <w:rsid w:val="004514BB"/>
    <w:rsid w:val="00451A4E"/>
    <w:rsid w:val="00451DBD"/>
    <w:rsid w:val="00452091"/>
    <w:rsid w:val="004533DA"/>
    <w:rsid w:val="004541E0"/>
    <w:rsid w:val="0045532C"/>
    <w:rsid w:val="00457C90"/>
    <w:rsid w:val="00461988"/>
    <w:rsid w:val="00461A02"/>
    <w:rsid w:val="004626C4"/>
    <w:rsid w:val="00464225"/>
    <w:rsid w:val="004649B5"/>
    <w:rsid w:val="00465DA3"/>
    <w:rsid w:val="004662BA"/>
    <w:rsid w:val="004677B3"/>
    <w:rsid w:val="00472883"/>
    <w:rsid w:val="00472994"/>
    <w:rsid w:val="0047308A"/>
    <w:rsid w:val="004761B3"/>
    <w:rsid w:val="00476DE3"/>
    <w:rsid w:val="004811E0"/>
    <w:rsid w:val="004814BC"/>
    <w:rsid w:val="004823CB"/>
    <w:rsid w:val="00482DA3"/>
    <w:rsid w:val="00484B69"/>
    <w:rsid w:val="004850F8"/>
    <w:rsid w:val="004868F5"/>
    <w:rsid w:val="0049056B"/>
    <w:rsid w:val="004907DE"/>
    <w:rsid w:val="00490D5C"/>
    <w:rsid w:val="004918A4"/>
    <w:rsid w:val="00494EE0"/>
    <w:rsid w:val="00496E5A"/>
    <w:rsid w:val="004A3157"/>
    <w:rsid w:val="004A3785"/>
    <w:rsid w:val="004A3F1E"/>
    <w:rsid w:val="004A5A59"/>
    <w:rsid w:val="004A5DC7"/>
    <w:rsid w:val="004A7E20"/>
    <w:rsid w:val="004A7E66"/>
    <w:rsid w:val="004B01E0"/>
    <w:rsid w:val="004B11EC"/>
    <w:rsid w:val="004B121B"/>
    <w:rsid w:val="004B2DBB"/>
    <w:rsid w:val="004B3D63"/>
    <w:rsid w:val="004B6EB8"/>
    <w:rsid w:val="004B77F7"/>
    <w:rsid w:val="004C201D"/>
    <w:rsid w:val="004C2138"/>
    <w:rsid w:val="004C288A"/>
    <w:rsid w:val="004C3708"/>
    <w:rsid w:val="004C3F57"/>
    <w:rsid w:val="004C43A0"/>
    <w:rsid w:val="004C46BF"/>
    <w:rsid w:val="004D0626"/>
    <w:rsid w:val="004D24D3"/>
    <w:rsid w:val="004D394F"/>
    <w:rsid w:val="004D6321"/>
    <w:rsid w:val="004D663E"/>
    <w:rsid w:val="004D76DE"/>
    <w:rsid w:val="004E1151"/>
    <w:rsid w:val="004E18CF"/>
    <w:rsid w:val="004E4B19"/>
    <w:rsid w:val="004E4E0D"/>
    <w:rsid w:val="004E51DB"/>
    <w:rsid w:val="004E51E7"/>
    <w:rsid w:val="004E7E53"/>
    <w:rsid w:val="004F0D79"/>
    <w:rsid w:val="004F1AC6"/>
    <w:rsid w:val="004F4848"/>
    <w:rsid w:val="004F5BE3"/>
    <w:rsid w:val="004F7EB7"/>
    <w:rsid w:val="0050043E"/>
    <w:rsid w:val="00502725"/>
    <w:rsid w:val="00503BE5"/>
    <w:rsid w:val="00505876"/>
    <w:rsid w:val="00506C24"/>
    <w:rsid w:val="005105C7"/>
    <w:rsid w:val="00510638"/>
    <w:rsid w:val="00513348"/>
    <w:rsid w:val="0051480E"/>
    <w:rsid w:val="00514B59"/>
    <w:rsid w:val="00514D2B"/>
    <w:rsid w:val="00515CE6"/>
    <w:rsid w:val="005164A0"/>
    <w:rsid w:val="00516B58"/>
    <w:rsid w:val="00516D6E"/>
    <w:rsid w:val="005172C0"/>
    <w:rsid w:val="005202DE"/>
    <w:rsid w:val="0052228B"/>
    <w:rsid w:val="00522E37"/>
    <w:rsid w:val="005233D5"/>
    <w:rsid w:val="00523631"/>
    <w:rsid w:val="00525FA6"/>
    <w:rsid w:val="005274D3"/>
    <w:rsid w:val="00530C3D"/>
    <w:rsid w:val="00530FE2"/>
    <w:rsid w:val="00531EE2"/>
    <w:rsid w:val="00531F18"/>
    <w:rsid w:val="00532473"/>
    <w:rsid w:val="00532EC6"/>
    <w:rsid w:val="0053333D"/>
    <w:rsid w:val="0053365C"/>
    <w:rsid w:val="0053405D"/>
    <w:rsid w:val="005351CB"/>
    <w:rsid w:val="005358C7"/>
    <w:rsid w:val="00537005"/>
    <w:rsid w:val="0053705C"/>
    <w:rsid w:val="00537333"/>
    <w:rsid w:val="00537739"/>
    <w:rsid w:val="00540201"/>
    <w:rsid w:val="005402E1"/>
    <w:rsid w:val="00540BDF"/>
    <w:rsid w:val="00540FBD"/>
    <w:rsid w:val="0054178D"/>
    <w:rsid w:val="005417FC"/>
    <w:rsid w:val="00543117"/>
    <w:rsid w:val="005443CE"/>
    <w:rsid w:val="005444E9"/>
    <w:rsid w:val="00544C0F"/>
    <w:rsid w:val="00545091"/>
    <w:rsid w:val="00547381"/>
    <w:rsid w:val="005476B5"/>
    <w:rsid w:val="005525AF"/>
    <w:rsid w:val="00554CE5"/>
    <w:rsid w:val="00554E74"/>
    <w:rsid w:val="00554EB0"/>
    <w:rsid w:val="0055660E"/>
    <w:rsid w:val="00562942"/>
    <w:rsid w:val="00562D68"/>
    <w:rsid w:val="0056438E"/>
    <w:rsid w:val="00565238"/>
    <w:rsid w:val="00565727"/>
    <w:rsid w:val="005666B9"/>
    <w:rsid w:val="00571956"/>
    <w:rsid w:val="005743E7"/>
    <w:rsid w:val="005748E8"/>
    <w:rsid w:val="00574DBE"/>
    <w:rsid w:val="00577539"/>
    <w:rsid w:val="0058037C"/>
    <w:rsid w:val="00583A54"/>
    <w:rsid w:val="00584D64"/>
    <w:rsid w:val="00584EE7"/>
    <w:rsid w:val="00585F7F"/>
    <w:rsid w:val="00586642"/>
    <w:rsid w:val="00587660"/>
    <w:rsid w:val="00587DC2"/>
    <w:rsid w:val="00590E57"/>
    <w:rsid w:val="00591D54"/>
    <w:rsid w:val="005935F5"/>
    <w:rsid w:val="00594CFF"/>
    <w:rsid w:val="00595213"/>
    <w:rsid w:val="00596B83"/>
    <w:rsid w:val="005977A9"/>
    <w:rsid w:val="005A2F74"/>
    <w:rsid w:val="005A3720"/>
    <w:rsid w:val="005A4026"/>
    <w:rsid w:val="005A476B"/>
    <w:rsid w:val="005A51E7"/>
    <w:rsid w:val="005A5AF1"/>
    <w:rsid w:val="005A6109"/>
    <w:rsid w:val="005A610B"/>
    <w:rsid w:val="005B0390"/>
    <w:rsid w:val="005B0451"/>
    <w:rsid w:val="005B131C"/>
    <w:rsid w:val="005B2DD6"/>
    <w:rsid w:val="005B348F"/>
    <w:rsid w:val="005B5A08"/>
    <w:rsid w:val="005B6310"/>
    <w:rsid w:val="005B6365"/>
    <w:rsid w:val="005B7D40"/>
    <w:rsid w:val="005C00F0"/>
    <w:rsid w:val="005C0BE2"/>
    <w:rsid w:val="005C0C64"/>
    <w:rsid w:val="005C1C95"/>
    <w:rsid w:val="005C1ED6"/>
    <w:rsid w:val="005C56EC"/>
    <w:rsid w:val="005C57A1"/>
    <w:rsid w:val="005C668B"/>
    <w:rsid w:val="005C71F0"/>
    <w:rsid w:val="005D00E1"/>
    <w:rsid w:val="005D0441"/>
    <w:rsid w:val="005D085A"/>
    <w:rsid w:val="005D2571"/>
    <w:rsid w:val="005D2808"/>
    <w:rsid w:val="005D3311"/>
    <w:rsid w:val="005D33C8"/>
    <w:rsid w:val="005D33E0"/>
    <w:rsid w:val="005D483E"/>
    <w:rsid w:val="005D57A3"/>
    <w:rsid w:val="005D6922"/>
    <w:rsid w:val="005E0093"/>
    <w:rsid w:val="005E2784"/>
    <w:rsid w:val="005E368D"/>
    <w:rsid w:val="005E3D2F"/>
    <w:rsid w:val="005E6F8D"/>
    <w:rsid w:val="005E7298"/>
    <w:rsid w:val="005E7745"/>
    <w:rsid w:val="005F056D"/>
    <w:rsid w:val="005F2860"/>
    <w:rsid w:val="005F4862"/>
    <w:rsid w:val="005F4B6D"/>
    <w:rsid w:val="005F5B6E"/>
    <w:rsid w:val="005F5D8D"/>
    <w:rsid w:val="005F5DA8"/>
    <w:rsid w:val="005F6217"/>
    <w:rsid w:val="005F6C55"/>
    <w:rsid w:val="005F7077"/>
    <w:rsid w:val="006003DA"/>
    <w:rsid w:val="006005CA"/>
    <w:rsid w:val="006016C8"/>
    <w:rsid w:val="0060349B"/>
    <w:rsid w:val="0060414E"/>
    <w:rsid w:val="00604518"/>
    <w:rsid w:val="006048C1"/>
    <w:rsid w:val="006050E4"/>
    <w:rsid w:val="0060535B"/>
    <w:rsid w:val="00606979"/>
    <w:rsid w:val="006072F5"/>
    <w:rsid w:val="006074AC"/>
    <w:rsid w:val="00610268"/>
    <w:rsid w:val="006106AB"/>
    <w:rsid w:val="00610BC3"/>
    <w:rsid w:val="00611FB4"/>
    <w:rsid w:val="006120B0"/>
    <w:rsid w:val="006143D4"/>
    <w:rsid w:val="00614C4B"/>
    <w:rsid w:val="00615279"/>
    <w:rsid w:val="00616D18"/>
    <w:rsid w:val="006173B6"/>
    <w:rsid w:val="00617A8C"/>
    <w:rsid w:val="00617D2B"/>
    <w:rsid w:val="00620BC5"/>
    <w:rsid w:val="00620C71"/>
    <w:rsid w:val="006210FC"/>
    <w:rsid w:val="00621145"/>
    <w:rsid w:val="006213D9"/>
    <w:rsid w:val="00621783"/>
    <w:rsid w:val="00621951"/>
    <w:rsid w:val="00621AE0"/>
    <w:rsid w:val="00622F58"/>
    <w:rsid w:val="00624574"/>
    <w:rsid w:val="00624FE8"/>
    <w:rsid w:val="00625603"/>
    <w:rsid w:val="0062648F"/>
    <w:rsid w:val="00630C32"/>
    <w:rsid w:val="00632338"/>
    <w:rsid w:val="00632746"/>
    <w:rsid w:val="00633000"/>
    <w:rsid w:val="00633459"/>
    <w:rsid w:val="0063346A"/>
    <w:rsid w:val="006347B6"/>
    <w:rsid w:val="00634A84"/>
    <w:rsid w:val="00634D6E"/>
    <w:rsid w:val="00635C2A"/>
    <w:rsid w:val="0063699F"/>
    <w:rsid w:val="00636BDE"/>
    <w:rsid w:val="0063794E"/>
    <w:rsid w:val="00637EDD"/>
    <w:rsid w:val="00641D04"/>
    <w:rsid w:val="00642CC4"/>
    <w:rsid w:val="00642E37"/>
    <w:rsid w:val="00643866"/>
    <w:rsid w:val="0064448D"/>
    <w:rsid w:val="006447F9"/>
    <w:rsid w:val="00644B0A"/>
    <w:rsid w:val="00646576"/>
    <w:rsid w:val="0064735B"/>
    <w:rsid w:val="00647694"/>
    <w:rsid w:val="00650833"/>
    <w:rsid w:val="006555E4"/>
    <w:rsid w:val="0065579A"/>
    <w:rsid w:val="00655B6A"/>
    <w:rsid w:val="006564D2"/>
    <w:rsid w:val="006567F0"/>
    <w:rsid w:val="00657723"/>
    <w:rsid w:val="00657BFF"/>
    <w:rsid w:val="00661B92"/>
    <w:rsid w:val="006625DA"/>
    <w:rsid w:val="00662CCD"/>
    <w:rsid w:val="0066492A"/>
    <w:rsid w:val="00664B1E"/>
    <w:rsid w:val="00664F5A"/>
    <w:rsid w:val="00664FD9"/>
    <w:rsid w:val="006650F2"/>
    <w:rsid w:val="006660B3"/>
    <w:rsid w:val="00667127"/>
    <w:rsid w:val="00667469"/>
    <w:rsid w:val="00672356"/>
    <w:rsid w:val="00672393"/>
    <w:rsid w:val="0067258D"/>
    <w:rsid w:val="0067372D"/>
    <w:rsid w:val="00673DB9"/>
    <w:rsid w:val="00680C0E"/>
    <w:rsid w:val="006845EA"/>
    <w:rsid w:val="00686EAE"/>
    <w:rsid w:val="006923EB"/>
    <w:rsid w:val="00694902"/>
    <w:rsid w:val="0069519F"/>
    <w:rsid w:val="00695BD8"/>
    <w:rsid w:val="00697C88"/>
    <w:rsid w:val="006A0750"/>
    <w:rsid w:val="006A0B96"/>
    <w:rsid w:val="006A16E3"/>
    <w:rsid w:val="006A2A69"/>
    <w:rsid w:val="006A31F4"/>
    <w:rsid w:val="006A410F"/>
    <w:rsid w:val="006A4405"/>
    <w:rsid w:val="006A4A4C"/>
    <w:rsid w:val="006B0A0F"/>
    <w:rsid w:val="006B17F5"/>
    <w:rsid w:val="006B3B32"/>
    <w:rsid w:val="006B4282"/>
    <w:rsid w:val="006B46B1"/>
    <w:rsid w:val="006B4944"/>
    <w:rsid w:val="006B4AB0"/>
    <w:rsid w:val="006B7019"/>
    <w:rsid w:val="006B7471"/>
    <w:rsid w:val="006B764A"/>
    <w:rsid w:val="006C2A6A"/>
    <w:rsid w:val="006C2FFC"/>
    <w:rsid w:val="006C5110"/>
    <w:rsid w:val="006C5B8A"/>
    <w:rsid w:val="006C5E3B"/>
    <w:rsid w:val="006C62F6"/>
    <w:rsid w:val="006C6801"/>
    <w:rsid w:val="006C68C1"/>
    <w:rsid w:val="006D0037"/>
    <w:rsid w:val="006D1679"/>
    <w:rsid w:val="006D3E1C"/>
    <w:rsid w:val="006D420C"/>
    <w:rsid w:val="006D55BE"/>
    <w:rsid w:val="006D5944"/>
    <w:rsid w:val="006D646B"/>
    <w:rsid w:val="006E2370"/>
    <w:rsid w:val="006E2F2B"/>
    <w:rsid w:val="006E41F1"/>
    <w:rsid w:val="006E4F77"/>
    <w:rsid w:val="006E6B07"/>
    <w:rsid w:val="006E7514"/>
    <w:rsid w:val="006E7D31"/>
    <w:rsid w:val="006F0977"/>
    <w:rsid w:val="006F19B9"/>
    <w:rsid w:val="006F2B54"/>
    <w:rsid w:val="006F2CD9"/>
    <w:rsid w:val="006F3170"/>
    <w:rsid w:val="006F3763"/>
    <w:rsid w:val="006F4B65"/>
    <w:rsid w:val="006F4C8F"/>
    <w:rsid w:val="006F4CF1"/>
    <w:rsid w:val="006F53D3"/>
    <w:rsid w:val="006F67A4"/>
    <w:rsid w:val="006F68CE"/>
    <w:rsid w:val="006F736E"/>
    <w:rsid w:val="006F7D24"/>
    <w:rsid w:val="00703489"/>
    <w:rsid w:val="00704608"/>
    <w:rsid w:val="00706834"/>
    <w:rsid w:val="00706D74"/>
    <w:rsid w:val="0070734C"/>
    <w:rsid w:val="00707480"/>
    <w:rsid w:val="00711A39"/>
    <w:rsid w:val="00712BEC"/>
    <w:rsid w:val="00713903"/>
    <w:rsid w:val="007147F5"/>
    <w:rsid w:val="007148FB"/>
    <w:rsid w:val="00721233"/>
    <w:rsid w:val="00722E95"/>
    <w:rsid w:val="0072428D"/>
    <w:rsid w:val="00725344"/>
    <w:rsid w:val="00725720"/>
    <w:rsid w:val="00725A82"/>
    <w:rsid w:val="00730163"/>
    <w:rsid w:val="0073176F"/>
    <w:rsid w:val="00732CC2"/>
    <w:rsid w:val="007330F0"/>
    <w:rsid w:val="0073363F"/>
    <w:rsid w:val="00733BB1"/>
    <w:rsid w:val="007348B2"/>
    <w:rsid w:val="00736BC0"/>
    <w:rsid w:val="00737A31"/>
    <w:rsid w:val="00740B87"/>
    <w:rsid w:val="007412B4"/>
    <w:rsid w:val="00741C59"/>
    <w:rsid w:val="00743861"/>
    <w:rsid w:val="00743BF6"/>
    <w:rsid w:val="007446E9"/>
    <w:rsid w:val="007462BF"/>
    <w:rsid w:val="0074691D"/>
    <w:rsid w:val="00747F09"/>
    <w:rsid w:val="007501AE"/>
    <w:rsid w:val="00751E72"/>
    <w:rsid w:val="0075213F"/>
    <w:rsid w:val="007536AC"/>
    <w:rsid w:val="00755BF6"/>
    <w:rsid w:val="00757785"/>
    <w:rsid w:val="00760AC4"/>
    <w:rsid w:val="00762B6A"/>
    <w:rsid w:val="007651C8"/>
    <w:rsid w:val="00765D9C"/>
    <w:rsid w:val="00773F7C"/>
    <w:rsid w:val="0077496C"/>
    <w:rsid w:val="007751D1"/>
    <w:rsid w:val="00775B46"/>
    <w:rsid w:val="00777573"/>
    <w:rsid w:val="007775CE"/>
    <w:rsid w:val="0078151B"/>
    <w:rsid w:val="007820CA"/>
    <w:rsid w:val="007821A5"/>
    <w:rsid w:val="00782C72"/>
    <w:rsid w:val="00782D78"/>
    <w:rsid w:val="00783B23"/>
    <w:rsid w:val="007844AC"/>
    <w:rsid w:val="00785654"/>
    <w:rsid w:val="0078712B"/>
    <w:rsid w:val="0078792C"/>
    <w:rsid w:val="007903BB"/>
    <w:rsid w:val="00795D3F"/>
    <w:rsid w:val="00796004"/>
    <w:rsid w:val="00796C36"/>
    <w:rsid w:val="007A0ADA"/>
    <w:rsid w:val="007A0B73"/>
    <w:rsid w:val="007A1849"/>
    <w:rsid w:val="007A27C9"/>
    <w:rsid w:val="007A2CAF"/>
    <w:rsid w:val="007A3C6E"/>
    <w:rsid w:val="007A4DB8"/>
    <w:rsid w:val="007A6823"/>
    <w:rsid w:val="007A6D2D"/>
    <w:rsid w:val="007A7A4D"/>
    <w:rsid w:val="007B00CE"/>
    <w:rsid w:val="007B13B5"/>
    <w:rsid w:val="007B354D"/>
    <w:rsid w:val="007B3EAB"/>
    <w:rsid w:val="007B5DEE"/>
    <w:rsid w:val="007B6524"/>
    <w:rsid w:val="007B655F"/>
    <w:rsid w:val="007B6DA9"/>
    <w:rsid w:val="007C10D2"/>
    <w:rsid w:val="007C164D"/>
    <w:rsid w:val="007C1BE2"/>
    <w:rsid w:val="007C2C7A"/>
    <w:rsid w:val="007C39E5"/>
    <w:rsid w:val="007C3E94"/>
    <w:rsid w:val="007C3FD3"/>
    <w:rsid w:val="007C4064"/>
    <w:rsid w:val="007C5E6C"/>
    <w:rsid w:val="007C6A66"/>
    <w:rsid w:val="007D1A74"/>
    <w:rsid w:val="007D1DA5"/>
    <w:rsid w:val="007D245A"/>
    <w:rsid w:val="007D3372"/>
    <w:rsid w:val="007D365A"/>
    <w:rsid w:val="007D489C"/>
    <w:rsid w:val="007D5313"/>
    <w:rsid w:val="007D6133"/>
    <w:rsid w:val="007D6214"/>
    <w:rsid w:val="007D6523"/>
    <w:rsid w:val="007D6F1A"/>
    <w:rsid w:val="007D7654"/>
    <w:rsid w:val="007D7A69"/>
    <w:rsid w:val="007D7EAE"/>
    <w:rsid w:val="007E12B3"/>
    <w:rsid w:val="007E1818"/>
    <w:rsid w:val="007E1930"/>
    <w:rsid w:val="007E1B7C"/>
    <w:rsid w:val="007E1FAC"/>
    <w:rsid w:val="007E2104"/>
    <w:rsid w:val="007E2639"/>
    <w:rsid w:val="007E2968"/>
    <w:rsid w:val="007E3466"/>
    <w:rsid w:val="007E635C"/>
    <w:rsid w:val="007E6776"/>
    <w:rsid w:val="007E6BC1"/>
    <w:rsid w:val="007E787E"/>
    <w:rsid w:val="007E7B15"/>
    <w:rsid w:val="007F0721"/>
    <w:rsid w:val="007F0DE7"/>
    <w:rsid w:val="007F13D6"/>
    <w:rsid w:val="007F1866"/>
    <w:rsid w:val="007F1AF6"/>
    <w:rsid w:val="007F1F31"/>
    <w:rsid w:val="007F2357"/>
    <w:rsid w:val="007F3928"/>
    <w:rsid w:val="007F3CD3"/>
    <w:rsid w:val="007F3EBC"/>
    <w:rsid w:val="007F504F"/>
    <w:rsid w:val="007F5AA1"/>
    <w:rsid w:val="007F62AC"/>
    <w:rsid w:val="007F6838"/>
    <w:rsid w:val="007F7904"/>
    <w:rsid w:val="007F7AC6"/>
    <w:rsid w:val="007F7ACE"/>
    <w:rsid w:val="00801AEA"/>
    <w:rsid w:val="00801DC5"/>
    <w:rsid w:val="00802F69"/>
    <w:rsid w:val="00803408"/>
    <w:rsid w:val="008052F6"/>
    <w:rsid w:val="00805310"/>
    <w:rsid w:val="008067B7"/>
    <w:rsid w:val="0081036B"/>
    <w:rsid w:val="00810D30"/>
    <w:rsid w:val="008118ED"/>
    <w:rsid w:val="00813584"/>
    <w:rsid w:val="00814DA4"/>
    <w:rsid w:val="00815F95"/>
    <w:rsid w:val="00816A77"/>
    <w:rsid w:val="00817509"/>
    <w:rsid w:val="008177C4"/>
    <w:rsid w:val="00824E8D"/>
    <w:rsid w:val="00825EAD"/>
    <w:rsid w:val="00826ABE"/>
    <w:rsid w:val="00827D8D"/>
    <w:rsid w:val="0083286C"/>
    <w:rsid w:val="00832B06"/>
    <w:rsid w:val="00835DA4"/>
    <w:rsid w:val="00840F2F"/>
    <w:rsid w:val="00841952"/>
    <w:rsid w:val="008426C1"/>
    <w:rsid w:val="00842F39"/>
    <w:rsid w:val="008434F7"/>
    <w:rsid w:val="008437FA"/>
    <w:rsid w:val="008447BB"/>
    <w:rsid w:val="008462CC"/>
    <w:rsid w:val="0084671C"/>
    <w:rsid w:val="008515BF"/>
    <w:rsid w:val="00851CE2"/>
    <w:rsid w:val="008525C3"/>
    <w:rsid w:val="00852D8C"/>
    <w:rsid w:val="00853855"/>
    <w:rsid w:val="00854AA8"/>
    <w:rsid w:val="00854EEC"/>
    <w:rsid w:val="00855926"/>
    <w:rsid w:val="00857984"/>
    <w:rsid w:val="00857C78"/>
    <w:rsid w:val="00860610"/>
    <w:rsid w:val="00860947"/>
    <w:rsid w:val="008615A9"/>
    <w:rsid w:val="00863509"/>
    <w:rsid w:val="00863854"/>
    <w:rsid w:val="00863B46"/>
    <w:rsid w:val="008645CE"/>
    <w:rsid w:val="0086520A"/>
    <w:rsid w:val="0086551C"/>
    <w:rsid w:val="0086671D"/>
    <w:rsid w:val="008671C3"/>
    <w:rsid w:val="00867E07"/>
    <w:rsid w:val="00867E2F"/>
    <w:rsid w:val="00870BB6"/>
    <w:rsid w:val="008714C9"/>
    <w:rsid w:val="00871505"/>
    <w:rsid w:val="00872323"/>
    <w:rsid w:val="008724FF"/>
    <w:rsid w:val="00872752"/>
    <w:rsid w:val="00872FE4"/>
    <w:rsid w:val="0087331A"/>
    <w:rsid w:val="00873AA0"/>
    <w:rsid w:val="008740C8"/>
    <w:rsid w:val="0087430B"/>
    <w:rsid w:val="00874F76"/>
    <w:rsid w:val="00875E64"/>
    <w:rsid w:val="0088170A"/>
    <w:rsid w:val="0088469E"/>
    <w:rsid w:val="0088758A"/>
    <w:rsid w:val="00893483"/>
    <w:rsid w:val="00895BC0"/>
    <w:rsid w:val="00896375"/>
    <w:rsid w:val="00897705"/>
    <w:rsid w:val="00897884"/>
    <w:rsid w:val="008A0393"/>
    <w:rsid w:val="008A0517"/>
    <w:rsid w:val="008A201B"/>
    <w:rsid w:val="008A2551"/>
    <w:rsid w:val="008A2A17"/>
    <w:rsid w:val="008A43FE"/>
    <w:rsid w:val="008B016D"/>
    <w:rsid w:val="008B3C19"/>
    <w:rsid w:val="008B6005"/>
    <w:rsid w:val="008B73D4"/>
    <w:rsid w:val="008B7497"/>
    <w:rsid w:val="008B785C"/>
    <w:rsid w:val="008C0ABA"/>
    <w:rsid w:val="008C1151"/>
    <w:rsid w:val="008C330A"/>
    <w:rsid w:val="008C59B3"/>
    <w:rsid w:val="008C660F"/>
    <w:rsid w:val="008C6C59"/>
    <w:rsid w:val="008C6D3F"/>
    <w:rsid w:val="008C7B93"/>
    <w:rsid w:val="008D0B97"/>
    <w:rsid w:val="008D11AB"/>
    <w:rsid w:val="008D1C6F"/>
    <w:rsid w:val="008D2DCA"/>
    <w:rsid w:val="008D2ECA"/>
    <w:rsid w:val="008D51FD"/>
    <w:rsid w:val="008D5613"/>
    <w:rsid w:val="008E0576"/>
    <w:rsid w:val="008E0BE7"/>
    <w:rsid w:val="008E11E4"/>
    <w:rsid w:val="008E1C6A"/>
    <w:rsid w:val="008E354E"/>
    <w:rsid w:val="008E4196"/>
    <w:rsid w:val="008E4FE0"/>
    <w:rsid w:val="008E5D25"/>
    <w:rsid w:val="008E72AD"/>
    <w:rsid w:val="008F062E"/>
    <w:rsid w:val="008F1587"/>
    <w:rsid w:val="008F170D"/>
    <w:rsid w:val="008F1FC1"/>
    <w:rsid w:val="008F2253"/>
    <w:rsid w:val="008F361F"/>
    <w:rsid w:val="008F3637"/>
    <w:rsid w:val="008F4727"/>
    <w:rsid w:val="008F50CB"/>
    <w:rsid w:val="008F6C78"/>
    <w:rsid w:val="008F6D6C"/>
    <w:rsid w:val="008F734A"/>
    <w:rsid w:val="008F7871"/>
    <w:rsid w:val="0090080E"/>
    <w:rsid w:val="00902104"/>
    <w:rsid w:val="0090259F"/>
    <w:rsid w:val="00903E3C"/>
    <w:rsid w:val="00904330"/>
    <w:rsid w:val="009051CB"/>
    <w:rsid w:val="00905A99"/>
    <w:rsid w:val="0090632F"/>
    <w:rsid w:val="009063E2"/>
    <w:rsid w:val="00906DA4"/>
    <w:rsid w:val="009078AF"/>
    <w:rsid w:val="00910105"/>
    <w:rsid w:val="00911078"/>
    <w:rsid w:val="009126B8"/>
    <w:rsid w:val="0091300A"/>
    <w:rsid w:val="009139B9"/>
    <w:rsid w:val="009146E0"/>
    <w:rsid w:val="00914FED"/>
    <w:rsid w:val="00915D58"/>
    <w:rsid w:val="00915EE9"/>
    <w:rsid w:val="00916138"/>
    <w:rsid w:val="00916516"/>
    <w:rsid w:val="00916835"/>
    <w:rsid w:val="009228F7"/>
    <w:rsid w:val="00924362"/>
    <w:rsid w:val="009248BB"/>
    <w:rsid w:val="00924E20"/>
    <w:rsid w:val="00924F0C"/>
    <w:rsid w:val="00925E48"/>
    <w:rsid w:val="0092679D"/>
    <w:rsid w:val="00927A88"/>
    <w:rsid w:val="00930A1B"/>
    <w:rsid w:val="00931636"/>
    <w:rsid w:val="0093293C"/>
    <w:rsid w:val="009332BD"/>
    <w:rsid w:val="00934634"/>
    <w:rsid w:val="00935897"/>
    <w:rsid w:val="00935D72"/>
    <w:rsid w:val="00940947"/>
    <w:rsid w:val="00941221"/>
    <w:rsid w:val="00941531"/>
    <w:rsid w:val="0094185D"/>
    <w:rsid w:val="00941914"/>
    <w:rsid w:val="00943215"/>
    <w:rsid w:val="009437BF"/>
    <w:rsid w:val="009438B7"/>
    <w:rsid w:val="009441FD"/>
    <w:rsid w:val="00944B62"/>
    <w:rsid w:val="00944F68"/>
    <w:rsid w:val="00945588"/>
    <w:rsid w:val="0094691F"/>
    <w:rsid w:val="0094709A"/>
    <w:rsid w:val="00947412"/>
    <w:rsid w:val="009503C6"/>
    <w:rsid w:val="009514E4"/>
    <w:rsid w:val="00951F62"/>
    <w:rsid w:val="009538CD"/>
    <w:rsid w:val="009546D2"/>
    <w:rsid w:val="0095569F"/>
    <w:rsid w:val="0095591E"/>
    <w:rsid w:val="00957070"/>
    <w:rsid w:val="00961CD7"/>
    <w:rsid w:val="00964CB8"/>
    <w:rsid w:val="009659BD"/>
    <w:rsid w:val="0096601A"/>
    <w:rsid w:val="00966568"/>
    <w:rsid w:val="00966660"/>
    <w:rsid w:val="00967A65"/>
    <w:rsid w:val="00967F18"/>
    <w:rsid w:val="00970478"/>
    <w:rsid w:val="00970AF9"/>
    <w:rsid w:val="00970E46"/>
    <w:rsid w:val="00971A13"/>
    <w:rsid w:val="00971C04"/>
    <w:rsid w:val="00971D0D"/>
    <w:rsid w:val="009749CA"/>
    <w:rsid w:val="00981E5A"/>
    <w:rsid w:val="009829FB"/>
    <w:rsid w:val="009833BC"/>
    <w:rsid w:val="00984C76"/>
    <w:rsid w:val="00987EAA"/>
    <w:rsid w:val="0099022C"/>
    <w:rsid w:val="0099109D"/>
    <w:rsid w:val="0099144D"/>
    <w:rsid w:val="00991E93"/>
    <w:rsid w:val="0099200A"/>
    <w:rsid w:val="00992966"/>
    <w:rsid w:val="009930B4"/>
    <w:rsid w:val="0099376D"/>
    <w:rsid w:val="00993D01"/>
    <w:rsid w:val="00994623"/>
    <w:rsid w:val="009A0570"/>
    <w:rsid w:val="009A0911"/>
    <w:rsid w:val="009A0D29"/>
    <w:rsid w:val="009A1557"/>
    <w:rsid w:val="009A17B5"/>
    <w:rsid w:val="009A2AAC"/>
    <w:rsid w:val="009A2DCE"/>
    <w:rsid w:val="009A42FE"/>
    <w:rsid w:val="009B1783"/>
    <w:rsid w:val="009B239D"/>
    <w:rsid w:val="009B2C05"/>
    <w:rsid w:val="009B41A7"/>
    <w:rsid w:val="009B5434"/>
    <w:rsid w:val="009C1680"/>
    <w:rsid w:val="009C2BAD"/>
    <w:rsid w:val="009C4BCF"/>
    <w:rsid w:val="009C4DC8"/>
    <w:rsid w:val="009C6205"/>
    <w:rsid w:val="009D0B4C"/>
    <w:rsid w:val="009D11E7"/>
    <w:rsid w:val="009D2531"/>
    <w:rsid w:val="009D2BF7"/>
    <w:rsid w:val="009D3053"/>
    <w:rsid w:val="009D41F9"/>
    <w:rsid w:val="009D4A0F"/>
    <w:rsid w:val="009D5487"/>
    <w:rsid w:val="009D54B6"/>
    <w:rsid w:val="009D551C"/>
    <w:rsid w:val="009D5CD1"/>
    <w:rsid w:val="009D75B0"/>
    <w:rsid w:val="009E1729"/>
    <w:rsid w:val="009E1739"/>
    <w:rsid w:val="009E28C7"/>
    <w:rsid w:val="009E29F4"/>
    <w:rsid w:val="009E3DAF"/>
    <w:rsid w:val="009E602A"/>
    <w:rsid w:val="009E691F"/>
    <w:rsid w:val="009E6AD7"/>
    <w:rsid w:val="009E7390"/>
    <w:rsid w:val="009E7820"/>
    <w:rsid w:val="009F02CE"/>
    <w:rsid w:val="009F0A0F"/>
    <w:rsid w:val="009F0EEB"/>
    <w:rsid w:val="009F104D"/>
    <w:rsid w:val="009F255D"/>
    <w:rsid w:val="009F2636"/>
    <w:rsid w:val="009F3208"/>
    <w:rsid w:val="009F4889"/>
    <w:rsid w:val="009F4D4F"/>
    <w:rsid w:val="009F5152"/>
    <w:rsid w:val="009F5748"/>
    <w:rsid w:val="009F5DB5"/>
    <w:rsid w:val="009F5F4E"/>
    <w:rsid w:val="009F683E"/>
    <w:rsid w:val="009F7847"/>
    <w:rsid w:val="009F7E12"/>
    <w:rsid w:val="00A006EB"/>
    <w:rsid w:val="00A04447"/>
    <w:rsid w:val="00A05E86"/>
    <w:rsid w:val="00A07407"/>
    <w:rsid w:val="00A11148"/>
    <w:rsid w:val="00A11649"/>
    <w:rsid w:val="00A11BF6"/>
    <w:rsid w:val="00A15968"/>
    <w:rsid w:val="00A159EF"/>
    <w:rsid w:val="00A170D4"/>
    <w:rsid w:val="00A17E64"/>
    <w:rsid w:val="00A21771"/>
    <w:rsid w:val="00A21C38"/>
    <w:rsid w:val="00A2270D"/>
    <w:rsid w:val="00A266DD"/>
    <w:rsid w:val="00A30057"/>
    <w:rsid w:val="00A303D7"/>
    <w:rsid w:val="00A33F8C"/>
    <w:rsid w:val="00A35434"/>
    <w:rsid w:val="00A36157"/>
    <w:rsid w:val="00A369F5"/>
    <w:rsid w:val="00A40BF3"/>
    <w:rsid w:val="00A43B11"/>
    <w:rsid w:val="00A43EA2"/>
    <w:rsid w:val="00A44AC1"/>
    <w:rsid w:val="00A46622"/>
    <w:rsid w:val="00A46A68"/>
    <w:rsid w:val="00A5256A"/>
    <w:rsid w:val="00A52D52"/>
    <w:rsid w:val="00A54180"/>
    <w:rsid w:val="00A54281"/>
    <w:rsid w:val="00A54C7D"/>
    <w:rsid w:val="00A56C4A"/>
    <w:rsid w:val="00A57B55"/>
    <w:rsid w:val="00A57B87"/>
    <w:rsid w:val="00A57C7B"/>
    <w:rsid w:val="00A62995"/>
    <w:rsid w:val="00A63C67"/>
    <w:rsid w:val="00A648C3"/>
    <w:rsid w:val="00A67CEB"/>
    <w:rsid w:val="00A7141D"/>
    <w:rsid w:val="00A71D50"/>
    <w:rsid w:val="00A72CB4"/>
    <w:rsid w:val="00A73697"/>
    <w:rsid w:val="00A743CF"/>
    <w:rsid w:val="00A77D4A"/>
    <w:rsid w:val="00A811B6"/>
    <w:rsid w:val="00A81434"/>
    <w:rsid w:val="00A815FF"/>
    <w:rsid w:val="00A838C9"/>
    <w:rsid w:val="00A84443"/>
    <w:rsid w:val="00A860A3"/>
    <w:rsid w:val="00A86A8E"/>
    <w:rsid w:val="00A87137"/>
    <w:rsid w:val="00A872B1"/>
    <w:rsid w:val="00A87A2A"/>
    <w:rsid w:val="00A90385"/>
    <w:rsid w:val="00A9046C"/>
    <w:rsid w:val="00A963F2"/>
    <w:rsid w:val="00A969FD"/>
    <w:rsid w:val="00A96C89"/>
    <w:rsid w:val="00A97D9A"/>
    <w:rsid w:val="00AA0040"/>
    <w:rsid w:val="00AA0B20"/>
    <w:rsid w:val="00AA1B0F"/>
    <w:rsid w:val="00AA21D1"/>
    <w:rsid w:val="00AA2F6A"/>
    <w:rsid w:val="00AA4D7E"/>
    <w:rsid w:val="00AA65B0"/>
    <w:rsid w:val="00AA77F0"/>
    <w:rsid w:val="00AA7B37"/>
    <w:rsid w:val="00AA7FDE"/>
    <w:rsid w:val="00AB1883"/>
    <w:rsid w:val="00AB1C98"/>
    <w:rsid w:val="00AB2129"/>
    <w:rsid w:val="00AB30C1"/>
    <w:rsid w:val="00AB3928"/>
    <w:rsid w:val="00AB4887"/>
    <w:rsid w:val="00AB728D"/>
    <w:rsid w:val="00AB78FE"/>
    <w:rsid w:val="00AB7BC1"/>
    <w:rsid w:val="00AC170F"/>
    <w:rsid w:val="00AC25ED"/>
    <w:rsid w:val="00AC7104"/>
    <w:rsid w:val="00AC71AE"/>
    <w:rsid w:val="00AC7D6E"/>
    <w:rsid w:val="00AC7FE7"/>
    <w:rsid w:val="00AD068E"/>
    <w:rsid w:val="00AD0C08"/>
    <w:rsid w:val="00AD1390"/>
    <w:rsid w:val="00AD2154"/>
    <w:rsid w:val="00AD279F"/>
    <w:rsid w:val="00AD2DED"/>
    <w:rsid w:val="00AD4111"/>
    <w:rsid w:val="00AD4A71"/>
    <w:rsid w:val="00AE37FD"/>
    <w:rsid w:val="00AE49DE"/>
    <w:rsid w:val="00AE5123"/>
    <w:rsid w:val="00AE5183"/>
    <w:rsid w:val="00AE5937"/>
    <w:rsid w:val="00AE5C0F"/>
    <w:rsid w:val="00AE63EC"/>
    <w:rsid w:val="00AE7274"/>
    <w:rsid w:val="00AE7E8A"/>
    <w:rsid w:val="00AF0394"/>
    <w:rsid w:val="00AF237A"/>
    <w:rsid w:val="00AF4296"/>
    <w:rsid w:val="00AF5CB7"/>
    <w:rsid w:val="00AF69A3"/>
    <w:rsid w:val="00AF6F62"/>
    <w:rsid w:val="00AF714D"/>
    <w:rsid w:val="00AF737A"/>
    <w:rsid w:val="00AF7534"/>
    <w:rsid w:val="00B012F0"/>
    <w:rsid w:val="00B0157B"/>
    <w:rsid w:val="00B01B1D"/>
    <w:rsid w:val="00B03DA3"/>
    <w:rsid w:val="00B04635"/>
    <w:rsid w:val="00B04D78"/>
    <w:rsid w:val="00B05C07"/>
    <w:rsid w:val="00B05EA5"/>
    <w:rsid w:val="00B06131"/>
    <w:rsid w:val="00B06178"/>
    <w:rsid w:val="00B07119"/>
    <w:rsid w:val="00B07E73"/>
    <w:rsid w:val="00B12A6A"/>
    <w:rsid w:val="00B130C3"/>
    <w:rsid w:val="00B1332F"/>
    <w:rsid w:val="00B15BFC"/>
    <w:rsid w:val="00B15D1B"/>
    <w:rsid w:val="00B17E87"/>
    <w:rsid w:val="00B20D39"/>
    <w:rsid w:val="00B21930"/>
    <w:rsid w:val="00B2252D"/>
    <w:rsid w:val="00B22A47"/>
    <w:rsid w:val="00B23E23"/>
    <w:rsid w:val="00B252F1"/>
    <w:rsid w:val="00B25716"/>
    <w:rsid w:val="00B259DE"/>
    <w:rsid w:val="00B2782B"/>
    <w:rsid w:val="00B27900"/>
    <w:rsid w:val="00B300AE"/>
    <w:rsid w:val="00B3203C"/>
    <w:rsid w:val="00B348C7"/>
    <w:rsid w:val="00B36206"/>
    <w:rsid w:val="00B36BDE"/>
    <w:rsid w:val="00B36FB0"/>
    <w:rsid w:val="00B41C7A"/>
    <w:rsid w:val="00B4500D"/>
    <w:rsid w:val="00B472A4"/>
    <w:rsid w:val="00B50544"/>
    <w:rsid w:val="00B50D97"/>
    <w:rsid w:val="00B50E8F"/>
    <w:rsid w:val="00B5201C"/>
    <w:rsid w:val="00B52344"/>
    <w:rsid w:val="00B545A3"/>
    <w:rsid w:val="00B54948"/>
    <w:rsid w:val="00B564D9"/>
    <w:rsid w:val="00B56636"/>
    <w:rsid w:val="00B56A5B"/>
    <w:rsid w:val="00B56A79"/>
    <w:rsid w:val="00B5712B"/>
    <w:rsid w:val="00B60071"/>
    <w:rsid w:val="00B60C80"/>
    <w:rsid w:val="00B60EBE"/>
    <w:rsid w:val="00B635B7"/>
    <w:rsid w:val="00B6471A"/>
    <w:rsid w:val="00B65C21"/>
    <w:rsid w:val="00B67234"/>
    <w:rsid w:val="00B711CD"/>
    <w:rsid w:val="00B71AC9"/>
    <w:rsid w:val="00B72271"/>
    <w:rsid w:val="00B72804"/>
    <w:rsid w:val="00B74505"/>
    <w:rsid w:val="00B74B00"/>
    <w:rsid w:val="00B76987"/>
    <w:rsid w:val="00B76DBA"/>
    <w:rsid w:val="00B80F9B"/>
    <w:rsid w:val="00B811E6"/>
    <w:rsid w:val="00B83E28"/>
    <w:rsid w:val="00B84250"/>
    <w:rsid w:val="00B845EC"/>
    <w:rsid w:val="00B84C88"/>
    <w:rsid w:val="00B85B3F"/>
    <w:rsid w:val="00B86AAB"/>
    <w:rsid w:val="00B86ABE"/>
    <w:rsid w:val="00B870B8"/>
    <w:rsid w:val="00B87887"/>
    <w:rsid w:val="00B911A0"/>
    <w:rsid w:val="00B912F6"/>
    <w:rsid w:val="00B91747"/>
    <w:rsid w:val="00B92108"/>
    <w:rsid w:val="00B927D8"/>
    <w:rsid w:val="00B92E76"/>
    <w:rsid w:val="00B936AF"/>
    <w:rsid w:val="00B93755"/>
    <w:rsid w:val="00B94633"/>
    <w:rsid w:val="00B94F64"/>
    <w:rsid w:val="00B9642C"/>
    <w:rsid w:val="00B96842"/>
    <w:rsid w:val="00B97345"/>
    <w:rsid w:val="00B9756F"/>
    <w:rsid w:val="00BA004A"/>
    <w:rsid w:val="00BA1208"/>
    <w:rsid w:val="00BA1527"/>
    <w:rsid w:val="00BA2BCB"/>
    <w:rsid w:val="00BA3D56"/>
    <w:rsid w:val="00BA403A"/>
    <w:rsid w:val="00BA4B50"/>
    <w:rsid w:val="00BA68AA"/>
    <w:rsid w:val="00BA6CD6"/>
    <w:rsid w:val="00BA72B0"/>
    <w:rsid w:val="00BB052C"/>
    <w:rsid w:val="00BB1380"/>
    <w:rsid w:val="00BB1550"/>
    <w:rsid w:val="00BB29DB"/>
    <w:rsid w:val="00BB4858"/>
    <w:rsid w:val="00BB589E"/>
    <w:rsid w:val="00BB7592"/>
    <w:rsid w:val="00BB76C4"/>
    <w:rsid w:val="00BC015C"/>
    <w:rsid w:val="00BC1B2E"/>
    <w:rsid w:val="00BC1D02"/>
    <w:rsid w:val="00BC1D67"/>
    <w:rsid w:val="00BC2D6A"/>
    <w:rsid w:val="00BC4400"/>
    <w:rsid w:val="00BC5D66"/>
    <w:rsid w:val="00BC662B"/>
    <w:rsid w:val="00BC6EB2"/>
    <w:rsid w:val="00BC7106"/>
    <w:rsid w:val="00BC7FFB"/>
    <w:rsid w:val="00BD0068"/>
    <w:rsid w:val="00BD0B1A"/>
    <w:rsid w:val="00BD127A"/>
    <w:rsid w:val="00BD1809"/>
    <w:rsid w:val="00BD280F"/>
    <w:rsid w:val="00BD2E40"/>
    <w:rsid w:val="00BD52AB"/>
    <w:rsid w:val="00BD5560"/>
    <w:rsid w:val="00BD56D0"/>
    <w:rsid w:val="00BD58E2"/>
    <w:rsid w:val="00BD59D8"/>
    <w:rsid w:val="00BD63F1"/>
    <w:rsid w:val="00BD67D6"/>
    <w:rsid w:val="00BD6EA8"/>
    <w:rsid w:val="00BD6EF8"/>
    <w:rsid w:val="00BE4597"/>
    <w:rsid w:val="00BE5A03"/>
    <w:rsid w:val="00BE7163"/>
    <w:rsid w:val="00BF0201"/>
    <w:rsid w:val="00BF1F5C"/>
    <w:rsid w:val="00BF61B5"/>
    <w:rsid w:val="00BF68A1"/>
    <w:rsid w:val="00BF6E6B"/>
    <w:rsid w:val="00BF7724"/>
    <w:rsid w:val="00C002E7"/>
    <w:rsid w:val="00C025E7"/>
    <w:rsid w:val="00C02BA0"/>
    <w:rsid w:val="00C05708"/>
    <w:rsid w:val="00C05820"/>
    <w:rsid w:val="00C0673A"/>
    <w:rsid w:val="00C10613"/>
    <w:rsid w:val="00C118EA"/>
    <w:rsid w:val="00C128FA"/>
    <w:rsid w:val="00C14304"/>
    <w:rsid w:val="00C16170"/>
    <w:rsid w:val="00C16E94"/>
    <w:rsid w:val="00C16F7A"/>
    <w:rsid w:val="00C17F94"/>
    <w:rsid w:val="00C20EA6"/>
    <w:rsid w:val="00C212F6"/>
    <w:rsid w:val="00C22D71"/>
    <w:rsid w:val="00C24083"/>
    <w:rsid w:val="00C2418D"/>
    <w:rsid w:val="00C241CF"/>
    <w:rsid w:val="00C2495C"/>
    <w:rsid w:val="00C25E00"/>
    <w:rsid w:val="00C26EDB"/>
    <w:rsid w:val="00C3258A"/>
    <w:rsid w:val="00C349EA"/>
    <w:rsid w:val="00C362F4"/>
    <w:rsid w:val="00C364B8"/>
    <w:rsid w:val="00C37580"/>
    <w:rsid w:val="00C376FE"/>
    <w:rsid w:val="00C37BD0"/>
    <w:rsid w:val="00C37C4B"/>
    <w:rsid w:val="00C37CD7"/>
    <w:rsid w:val="00C37D42"/>
    <w:rsid w:val="00C409D5"/>
    <w:rsid w:val="00C42C80"/>
    <w:rsid w:val="00C4361E"/>
    <w:rsid w:val="00C43AF1"/>
    <w:rsid w:val="00C43D2E"/>
    <w:rsid w:val="00C4499B"/>
    <w:rsid w:val="00C45B15"/>
    <w:rsid w:val="00C46E23"/>
    <w:rsid w:val="00C515D2"/>
    <w:rsid w:val="00C5307E"/>
    <w:rsid w:val="00C534E3"/>
    <w:rsid w:val="00C54C98"/>
    <w:rsid w:val="00C55FAA"/>
    <w:rsid w:val="00C56EEF"/>
    <w:rsid w:val="00C576B7"/>
    <w:rsid w:val="00C5779B"/>
    <w:rsid w:val="00C57F41"/>
    <w:rsid w:val="00C60318"/>
    <w:rsid w:val="00C616EF"/>
    <w:rsid w:val="00C62708"/>
    <w:rsid w:val="00C62EE5"/>
    <w:rsid w:val="00C640F7"/>
    <w:rsid w:val="00C64BF0"/>
    <w:rsid w:val="00C66FFA"/>
    <w:rsid w:val="00C72BEB"/>
    <w:rsid w:val="00C74A0D"/>
    <w:rsid w:val="00C76360"/>
    <w:rsid w:val="00C77672"/>
    <w:rsid w:val="00C808C0"/>
    <w:rsid w:val="00C80905"/>
    <w:rsid w:val="00C827F9"/>
    <w:rsid w:val="00C82C5B"/>
    <w:rsid w:val="00C8541A"/>
    <w:rsid w:val="00C864B5"/>
    <w:rsid w:val="00C874D3"/>
    <w:rsid w:val="00C87DFE"/>
    <w:rsid w:val="00C905B2"/>
    <w:rsid w:val="00C90D7F"/>
    <w:rsid w:val="00C92772"/>
    <w:rsid w:val="00C95280"/>
    <w:rsid w:val="00C97F6E"/>
    <w:rsid w:val="00CA0F36"/>
    <w:rsid w:val="00CA2213"/>
    <w:rsid w:val="00CA5EBD"/>
    <w:rsid w:val="00CA6213"/>
    <w:rsid w:val="00CA6ABF"/>
    <w:rsid w:val="00CA70C8"/>
    <w:rsid w:val="00CA7A58"/>
    <w:rsid w:val="00CB0165"/>
    <w:rsid w:val="00CB06AB"/>
    <w:rsid w:val="00CB43CB"/>
    <w:rsid w:val="00CB7FB1"/>
    <w:rsid w:val="00CC053E"/>
    <w:rsid w:val="00CC0F93"/>
    <w:rsid w:val="00CC1A7E"/>
    <w:rsid w:val="00CC36A6"/>
    <w:rsid w:val="00CC4023"/>
    <w:rsid w:val="00CC4782"/>
    <w:rsid w:val="00CC7A12"/>
    <w:rsid w:val="00CD10A5"/>
    <w:rsid w:val="00CD1A9F"/>
    <w:rsid w:val="00CD4393"/>
    <w:rsid w:val="00CD5432"/>
    <w:rsid w:val="00CD578A"/>
    <w:rsid w:val="00CD62DC"/>
    <w:rsid w:val="00CD6397"/>
    <w:rsid w:val="00CD661E"/>
    <w:rsid w:val="00CD77E4"/>
    <w:rsid w:val="00CE01B2"/>
    <w:rsid w:val="00CE1956"/>
    <w:rsid w:val="00CE1D6B"/>
    <w:rsid w:val="00CE321D"/>
    <w:rsid w:val="00CE38CF"/>
    <w:rsid w:val="00CE46D7"/>
    <w:rsid w:val="00CE6B18"/>
    <w:rsid w:val="00CE7305"/>
    <w:rsid w:val="00CE7ED9"/>
    <w:rsid w:val="00CE7EF2"/>
    <w:rsid w:val="00CF1379"/>
    <w:rsid w:val="00CF3B22"/>
    <w:rsid w:val="00CF481D"/>
    <w:rsid w:val="00CF5042"/>
    <w:rsid w:val="00D013C6"/>
    <w:rsid w:val="00D01BF4"/>
    <w:rsid w:val="00D02505"/>
    <w:rsid w:val="00D0281F"/>
    <w:rsid w:val="00D038D9"/>
    <w:rsid w:val="00D06161"/>
    <w:rsid w:val="00D073FF"/>
    <w:rsid w:val="00D0744F"/>
    <w:rsid w:val="00D07C5F"/>
    <w:rsid w:val="00D111A9"/>
    <w:rsid w:val="00D12008"/>
    <w:rsid w:val="00D12DFA"/>
    <w:rsid w:val="00D13989"/>
    <w:rsid w:val="00D14228"/>
    <w:rsid w:val="00D14C41"/>
    <w:rsid w:val="00D15650"/>
    <w:rsid w:val="00D204F8"/>
    <w:rsid w:val="00D20790"/>
    <w:rsid w:val="00D20E55"/>
    <w:rsid w:val="00D21209"/>
    <w:rsid w:val="00D2301D"/>
    <w:rsid w:val="00D23792"/>
    <w:rsid w:val="00D247FF"/>
    <w:rsid w:val="00D24D8D"/>
    <w:rsid w:val="00D25A60"/>
    <w:rsid w:val="00D27D43"/>
    <w:rsid w:val="00D27DC9"/>
    <w:rsid w:val="00D3056E"/>
    <w:rsid w:val="00D30774"/>
    <w:rsid w:val="00D31390"/>
    <w:rsid w:val="00D31ACA"/>
    <w:rsid w:val="00D31E53"/>
    <w:rsid w:val="00D32881"/>
    <w:rsid w:val="00D3298F"/>
    <w:rsid w:val="00D330BF"/>
    <w:rsid w:val="00D3494D"/>
    <w:rsid w:val="00D34E6D"/>
    <w:rsid w:val="00D430C1"/>
    <w:rsid w:val="00D434F9"/>
    <w:rsid w:val="00D43DD9"/>
    <w:rsid w:val="00D44281"/>
    <w:rsid w:val="00D4457B"/>
    <w:rsid w:val="00D448FD"/>
    <w:rsid w:val="00D45F91"/>
    <w:rsid w:val="00D46D1F"/>
    <w:rsid w:val="00D47368"/>
    <w:rsid w:val="00D504D5"/>
    <w:rsid w:val="00D5323F"/>
    <w:rsid w:val="00D54A8D"/>
    <w:rsid w:val="00D55FFA"/>
    <w:rsid w:val="00D561CD"/>
    <w:rsid w:val="00D5729F"/>
    <w:rsid w:val="00D57B0A"/>
    <w:rsid w:val="00D61D30"/>
    <w:rsid w:val="00D62A31"/>
    <w:rsid w:val="00D64967"/>
    <w:rsid w:val="00D657B2"/>
    <w:rsid w:val="00D65938"/>
    <w:rsid w:val="00D672B5"/>
    <w:rsid w:val="00D70218"/>
    <w:rsid w:val="00D7024F"/>
    <w:rsid w:val="00D70471"/>
    <w:rsid w:val="00D70F7C"/>
    <w:rsid w:val="00D72ABE"/>
    <w:rsid w:val="00D72C08"/>
    <w:rsid w:val="00D72D77"/>
    <w:rsid w:val="00D735FA"/>
    <w:rsid w:val="00D73DAC"/>
    <w:rsid w:val="00D741AE"/>
    <w:rsid w:val="00D74B76"/>
    <w:rsid w:val="00D764CA"/>
    <w:rsid w:val="00D768BF"/>
    <w:rsid w:val="00D774CF"/>
    <w:rsid w:val="00D80BEC"/>
    <w:rsid w:val="00D85543"/>
    <w:rsid w:val="00D86136"/>
    <w:rsid w:val="00D86949"/>
    <w:rsid w:val="00D87CB2"/>
    <w:rsid w:val="00D9089D"/>
    <w:rsid w:val="00D908E5"/>
    <w:rsid w:val="00D9162B"/>
    <w:rsid w:val="00D92508"/>
    <w:rsid w:val="00D927ED"/>
    <w:rsid w:val="00D93211"/>
    <w:rsid w:val="00D944EC"/>
    <w:rsid w:val="00D94CD8"/>
    <w:rsid w:val="00D967D6"/>
    <w:rsid w:val="00D97CF2"/>
    <w:rsid w:val="00DA08BD"/>
    <w:rsid w:val="00DA0C81"/>
    <w:rsid w:val="00DA2AC6"/>
    <w:rsid w:val="00DA314D"/>
    <w:rsid w:val="00DA3F1D"/>
    <w:rsid w:val="00DA4844"/>
    <w:rsid w:val="00DA4B12"/>
    <w:rsid w:val="00DA6E0D"/>
    <w:rsid w:val="00DA7712"/>
    <w:rsid w:val="00DA7AE6"/>
    <w:rsid w:val="00DB0356"/>
    <w:rsid w:val="00DB1941"/>
    <w:rsid w:val="00DB215E"/>
    <w:rsid w:val="00DB2D0B"/>
    <w:rsid w:val="00DB538B"/>
    <w:rsid w:val="00DB53FA"/>
    <w:rsid w:val="00DB5A80"/>
    <w:rsid w:val="00DB7517"/>
    <w:rsid w:val="00DB79C2"/>
    <w:rsid w:val="00DB7CF3"/>
    <w:rsid w:val="00DC0721"/>
    <w:rsid w:val="00DC1813"/>
    <w:rsid w:val="00DC2905"/>
    <w:rsid w:val="00DC322C"/>
    <w:rsid w:val="00DC3716"/>
    <w:rsid w:val="00DC468F"/>
    <w:rsid w:val="00DC4F9B"/>
    <w:rsid w:val="00DC52DC"/>
    <w:rsid w:val="00DC5A1B"/>
    <w:rsid w:val="00DC6295"/>
    <w:rsid w:val="00DC640B"/>
    <w:rsid w:val="00DC7245"/>
    <w:rsid w:val="00DC7893"/>
    <w:rsid w:val="00DC7959"/>
    <w:rsid w:val="00DC7ADB"/>
    <w:rsid w:val="00DC7AE5"/>
    <w:rsid w:val="00DD05FD"/>
    <w:rsid w:val="00DD0693"/>
    <w:rsid w:val="00DD0F0C"/>
    <w:rsid w:val="00DD1B2D"/>
    <w:rsid w:val="00DD230F"/>
    <w:rsid w:val="00DD58C4"/>
    <w:rsid w:val="00DD6432"/>
    <w:rsid w:val="00DE0681"/>
    <w:rsid w:val="00DE1B3F"/>
    <w:rsid w:val="00DE1FF4"/>
    <w:rsid w:val="00DE25CA"/>
    <w:rsid w:val="00DE3F21"/>
    <w:rsid w:val="00DE54B0"/>
    <w:rsid w:val="00DE71AE"/>
    <w:rsid w:val="00DE7F68"/>
    <w:rsid w:val="00DF0685"/>
    <w:rsid w:val="00DF2CCD"/>
    <w:rsid w:val="00DF5026"/>
    <w:rsid w:val="00E01017"/>
    <w:rsid w:val="00E012BF"/>
    <w:rsid w:val="00E02508"/>
    <w:rsid w:val="00E04004"/>
    <w:rsid w:val="00E04DE1"/>
    <w:rsid w:val="00E05EDA"/>
    <w:rsid w:val="00E064B7"/>
    <w:rsid w:val="00E07536"/>
    <w:rsid w:val="00E07BBB"/>
    <w:rsid w:val="00E1102F"/>
    <w:rsid w:val="00E111F7"/>
    <w:rsid w:val="00E1179B"/>
    <w:rsid w:val="00E1226C"/>
    <w:rsid w:val="00E135CB"/>
    <w:rsid w:val="00E14832"/>
    <w:rsid w:val="00E14C8A"/>
    <w:rsid w:val="00E14F52"/>
    <w:rsid w:val="00E15268"/>
    <w:rsid w:val="00E155B8"/>
    <w:rsid w:val="00E15ED6"/>
    <w:rsid w:val="00E16A4B"/>
    <w:rsid w:val="00E16F82"/>
    <w:rsid w:val="00E175E5"/>
    <w:rsid w:val="00E17F2E"/>
    <w:rsid w:val="00E2065F"/>
    <w:rsid w:val="00E208D2"/>
    <w:rsid w:val="00E21BBA"/>
    <w:rsid w:val="00E21D83"/>
    <w:rsid w:val="00E22675"/>
    <w:rsid w:val="00E23370"/>
    <w:rsid w:val="00E242E0"/>
    <w:rsid w:val="00E25181"/>
    <w:rsid w:val="00E27794"/>
    <w:rsid w:val="00E30FF3"/>
    <w:rsid w:val="00E3220F"/>
    <w:rsid w:val="00E329C7"/>
    <w:rsid w:val="00E3606A"/>
    <w:rsid w:val="00E415F4"/>
    <w:rsid w:val="00E42911"/>
    <w:rsid w:val="00E42DDB"/>
    <w:rsid w:val="00E44148"/>
    <w:rsid w:val="00E47FE4"/>
    <w:rsid w:val="00E50106"/>
    <w:rsid w:val="00E5034D"/>
    <w:rsid w:val="00E531AE"/>
    <w:rsid w:val="00E5428E"/>
    <w:rsid w:val="00E57557"/>
    <w:rsid w:val="00E57A48"/>
    <w:rsid w:val="00E601C7"/>
    <w:rsid w:val="00E60521"/>
    <w:rsid w:val="00E60F3F"/>
    <w:rsid w:val="00E622B2"/>
    <w:rsid w:val="00E629A6"/>
    <w:rsid w:val="00E64AB1"/>
    <w:rsid w:val="00E665D8"/>
    <w:rsid w:val="00E66977"/>
    <w:rsid w:val="00E7025B"/>
    <w:rsid w:val="00E708C8"/>
    <w:rsid w:val="00E7192A"/>
    <w:rsid w:val="00E72726"/>
    <w:rsid w:val="00E73A3B"/>
    <w:rsid w:val="00E75C34"/>
    <w:rsid w:val="00E75F23"/>
    <w:rsid w:val="00E770CE"/>
    <w:rsid w:val="00E7724E"/>
    <w:rsid w:val="00E77371"/>
    <w:rsid w:val="00E80477"/>
    <w:rsid w:val="00E80EA7"/>
    <w:rsid w:val="00E812CA"/>
    <w:rsid w:val="00E81847"/>
    <w:rsid w:val="00E819B3"/>
    <w:rsid w:val="00E82209"/>
    <w:rsid w:val="00E82801"/>
    <w:rsid w:val="00E82A73"/>
    <w:rsid w:val="00E83A0C"/>
    <w:rsid w:val="00E862AA"/>
    <w:rsid w:val="00E864EF"/>
    <w:rsid w:val="00E86541"/>
    <w:rsid w:val="00E86DDB"/>
    <w:rsid w:val="00E87317"/>
    <w:rsid w:val="00E87C75"/>
    <w:rsid w:val="00E9016F"/>
    <w:rsid w:val="00E916B6"/>
    <w:rsid w:val="00E92457"/>
    <w:rsid w:val="00E93764"/>
    <w:rsid w:val="00E94A8F"/>
    <w:rsid w:val="00E9518F"/>
    <w:rsid w:val="00E9589C"/>
    <w:rsid w:val="00E95E69"/>
    <w:rsid w:val="00E9603E"/>
    <w:rsid w:val="00E9623B"/>
    <w:rsid w:val="00E971CA"/>
    <w:rsid w:val="00E97487"/>
    <w:rsid w:val="00E97C31"/>
    <w:rsid w:val="00E97C95"/>
    <w:rsid w:val="00EA067E"/>
    <w:rsid w:val="00EA0AAA"/>
    <w:rsid w:val="00EA209F"/>
    <w:rsid w:val="00EA20C4"/>
    <w:rsid w:val="00EA34D5"/>
    <w:rsid w:val="00EA43A9"/>
    <w:rsid w:val="00EA6D90"/>
    <w:rsid w:val="00EA7206"/>
    <w:rsid w:val="00EA7C89"/>
    <w:rsid w:val="00EB072A"/>
    <w:rsid w:val="00EB1D57"/>
    <w:rsid w:val="00EB2309"/>
    <w:rsid w:val="00EB36A7"/>
    <w:rsid w:val="00EB61E8"/>
    <w:rsid w:val="00EB7762"/>
    <w:rsid w:val="00EC114C"/>
    <w:rsid w:val="00EC1A91"/>
    <w:rsid w:val="00EC2304"/>
    <w:rsid w:val="00EC266A"/>
    <w:rsid w:val="00EC3078"/>
    <w:rsid w:val="00EC5F2E"/>
    <w:rsid w:val="00EC61A6"/>
    <w:rsid w:val="00EC6B21"/>
    <w:rsid w:val="00EC6ECD"/>
    <w:rsid w:val="00EC70A3"/>
    <w:rsid w:val="00EC7D91"/>
    <w:rsid w:val="00EC7DBD"/>
    <w:rsid w:val="00ED11CC"/>
    <w:rsid w:val="00ED1DD3"/>
    <w:rsid w:val="00ED46FB"/>
    <w:rsid w:val="00ED5F1B"/>
    <w:rsid w:val="00ED6011"/>
    <w:rsid w:val="00EE1C94"/>
    <w:rsid w:val="00EE2286"/>
    <w:rsid w:val="00EE277D"/>
    <w:rsid w:val="00EE29BC"/>
    <w:rsid w:val="00EE334C"/>
    <w:rsid w:val="00EE3ECA"/>
    <w:rsid w:val="00EE4055"/>
    <w:rsid w:val="00EE4336"/>
    <w:rsid w:val="00EE5142"/>
    <w:rsid w:val="00EE6307"/>
    <w:rsid w:val="00EE6521"/>
    <w:rsid w:val="00EE6A39"/>
    <w:rsid w:val="00EF0A23"/>
    <w:rsid w:val="00EF13BD"/>
    <w:rsid w:val="00EF1A2F"/>
    <w:rsid w:val="00EF1A67"/>
    <w:rsid w:val="00EF20C8"/>
    <w:rsid w:val="00EF25FA"/>
    <w:rsid w:val="00EF2757"/>
    <w:rsid w:val="00EF477A"/>
    <w:rsid w:val="00EF528C"/>
    <w:rsid w:val="00EF5861"/>
    <w:rsid w:val="00F0182C"/>
    <w:rsid w:val="00F02D98"/>
    <w:rsid w:val="00F04B74"/>
    <w:rsid w:val="00F04C20"/>
    <w:rsid w:val="00F05CF1"/>
    <w:rsid w:val="00F060E0"/>
    <w:rsid w:val="00F076BA"/>
    <w:rsid w:val="00F07AB4"/>
    <w:rsid w:val="00F10087"/>
    <w:rsid w:val="00F1099F"/>
    <w:rsid w:val="00F109FC"/>
    <w:rsid w:val="00F123A0"/>
    <w:rsid w:val="00F134CD"/>
    <w:rsid w:val="00F1371F"/>
    <w:rsid w:val="00F13B5E"/>
    <w:rsid w:val="00F14AAD"/>
    <w:rsid w:val="00F15D31"/>
    <w:rsid w:val="00F16861"/>
    <w:rsid w:val="00F16CFE"/>
    <w:rsid w:val="00F17B68"/>
    <w:rsid w:val="00F202CF"/>
    <w:rsid w:val="00F221C9"/>
    <w:rsid w:val="00F22556"/>
    <w:rsid w:val="00F23467"/>
    <w:rsid w:val="00F23E74"/>
    <w:rsid w:val="00F23FA4"/>
    <w:rsid w:val="00F24182"/>
    <w:rsid w:val="00F241AB"/>
    <w:rsid w:val="00F25117"/>
    <w:rsid w:val="00F25558"/>
    <w:rsid w:val="00F2649E"/>
    <w:rsid w:val="00F2735C"/>
    <w:rsid w:val="00F27977"/>
    <w:rsid w:val="00F31102"/>
    <w:rsid w:val="00F3238D"/>
    <w:rsid w:val="00F32DF2"/>
    <w:rsid w:val="00F33D98"/>
    <w:rsid w:val="00F37CB4"/>
    <w:rsid w:val="00F408B4"/>
    <w:rsid w:val="00F428D3"/>
    <w:rsid w:val="00F444D8"/>
    <w:rsid w:val="00F445A1"/>
    <w:rsid w:val="00F462AF"/>
    <w:rsid w:val="00F51EC5"/>
    <w:rsid w:val="00F51FD1"/>
    <w:rsid w:val="00F52375"/>
    <w:rsid w:val="00F531FF"/>
    <w:rsid w:val="00F53F5F"/>
    <w:rsid w:val="00F54ABB"/>
    <w:rsid w:val="00F54BCF"/>
    <w:rsid w:val="00F54FC4"/>
    <w:rsid w:val="00F55B11"/>
    <w:rsid w:val="00F55BAB"/>
    <w:rsid w:val="00F55CAC"/>
    <w:rsid w:val="00F56878"/>
    <w:rsid w:val="00F56FAE"/>
    <w:rsid w:val="00F57ADC"/>
    <w:rsid w:val="00F60972"/>
    <w:rsid w:val="00F60983"/>
    <w:rsid w:val="00F6362D"/>
    <w:rsid w:val="00F637D6"/>
    <w:rsid w:val="00F652C2"/>
    <w:rsid w:val="00F6713E"/>
    <w:rsid w:val="00F6760D"/>
    <w:rsid w:val="00F67B68"/>
    <w:rsid w:val="00F7155B"/>
    <w:rsid w:val="00F73E81"/>
    <w:rsid w:val="00F74C0C"/>
    <w:rsid w:val="00F75EEA"/>
    <w:rsid w:val="00F7623C"/>
    <w:rsid w:val="00F76418"/>
    <w:rsid w:val="00F76FCB"/>
    <w:rsid w:val="00F817C8"/>
    <w:rsid w:val="00F81F83"/>
    <w:rsid w:val="00F824B0"/>
    <w:rsid w:val="00F82CF0"/>
    <w:rsid w:val="00F82EF7"/>
    <w:rsid w:val="00F83CAC"/>
    <w:rsid w:val="00F847CC"/>
    <w:rsid w:val="00F85660"/>
    <w:rsid w:val="00F863F3"/>
    <w:rsid w:val="00F867B2"/>
    <w:rsid w:val="00F868DC"/>
    <w:rsid w:val="00F87353"/>
    <w:rsid w:val="00F87783"/>
    <w:rsid w:val="00F9019C"/>
    <w:rsid w:val="00F91445"/>
    <w:rsid w:val="00F916BD"/>
    <w:rsid w:val="00F93E9A"/>
    <w:rsid w:val="00F94B40"/>
    <w:rsid w:val="00F952C2"/>
    <w:rsid w:val="00F9541C"/>
    <w:rsid w:val="00F95F5C"/>
    <w:rsid w:val="00F96103"/>
    <w:rsid w:val="00F968DA"/>
    <w:rsid w:val="00F970F3"/>
    <w:rsid w:val="00F97522"/>
    <w:rsid w:val="00FA0427"/>
    <w:rsid w:val="00FA1B87"/>
    <w:rsid w:val="00FA40A1"/>
    <w:rsid w:val="00FA4391"/>
    <w:rsid w:val="00FA4574"/>
    <w:rsid w:val="00FA7437"/>
    <w:rsid w:val="00FA7D0F"/>
    <w:rsid w:val="00FA7F03"/>
    <w:rsid w:val="00FB0383"/>
    <w:rsid w:val="00FB0802"/>
    <w:rsid w:val="00FB3117"/>
    <w:rsid w:val="00FB3A1E"/>
    <w:rsid w:val="00FB5DDB"/>
    <w:rsid w:val="00FC0C5F"/>
    <w:rsid w:val="00FC29A5"/>
    <w:rsid w:val="00FC2A17"/>
    <w:rsid w:val="00FC2B9E"/>
    <w:rsid w:val="00FC2CB9"/>
    <w:rsid w:val="00FC352F"/>
    <w:rsid w:val="00FC400E"/>
    <w:rsid w:val="00FC57EC"/>
    <w:rsid w:val="00FC5CBA"/>
    <w:rsid w:val="00FC6E90"/>
    <w:rsid w:val="00FC7557"/>
    <w:rsid w:val="00FC79D4"/>
    <w:rsid w:val="00FD0204"/>
    <w:rsid w:val="00FD05A4"/>
    <w:rsid w:val="00FD22A4"/>
    <w:rsid w:val="00FD3225"/>
    <w:rsid w:val="00FD3C9B"/>
    <w:rsid w:val="00FD4023"/>
    <w:rsid w:val="00FD5115"/>
    <w:rsid w:val="00FD52B9"/>
    <w:rsid w:val="00FD6083"/>
    <w:rsid w:val="00FD7497"/>
    <w:rsid w:val="00FD7D1F"/>
    <w:rsid w:val="00FE0385"/>
    <w:rsid w:val="00FE0439"/>
    <w:rsid w:val="00FE091E"/>
    <w:rsid w:val="00FE120C"/>
    <w:rsid w:val="00FE2863"/>
    <w:rsid w:val="00FE2E6A"/>
    <w:rsid w:val="00FE46A7"/>
    <w:rsid w:val="00FE5E4D"/>
    <w:rsid w:val="00FE6F59"/>
    <w:rsid w:val="00FE7225"/>
    <w:rsid w:val="00FE79AC"/>
    <w:rsid w:val="00FF0F8D"/>
    <w:rsid w:val="00FF1024"/>
    <w:rsid w:val="00FF105B"/>
    <w:rsid w:val="00FF124A"/>
    <w:rsid w:val="00FF1C80"/>
    <w:rsid w:val="00FF2FD7"/>
    <w:rsid w:val="00FF4AED"/>
    <w:rsid w:val="00FF60F7"/>
    <w:rsid w:val="00FF6C7C"/>
    <w:rsid w:val="63098FDC"/>
    <w:rsid w:val="74026D98"/>
    <w:rsid w:val="78DEC8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7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2C"/>
    <w:pPr>
      <w:spacing w:before="60" w:after="60"/>
    </w:pPr>
    <w:rPr>
      <w:rFonts w:ascii="Arial" w:hAnsi="Arial"/>
      <w:sz w:val="20"/>
    </w:rPr>
  </w:style>
  <w:style w:type="paragraph" w:styleId="Titre2">
    <w:name w:val="heading 2"/>
    <w:basedOn w:val="Normal"/>
    <w:next w:val="Normal"/>
    <w:link w:val="Titre2Car"/>
    <w:uiPriority w:val="9"/>
    <w:semiHidden/>
    <w:unhideWhenUsed/>
    <w:qFormat/>
    <w:rsid w:val="008F1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8F1FC1"/>
    <w:pPr>
      <w:keepNext w:val="0"/>
      <w:keepLines w:val="0"/>
      <w:numPr>
        <w:ilvl w:val="2"/>
        <w:numId w:val="2"/>
      </w:numPr>
      <w:spacing w:before="60" w:after="60" w:line="240" w:lineRule="auto"/>
      <w:outlineLvl w:val="2"/>
    </w:pPr>
    <w:rPr>
      <w:rFonts w:ascii="EYInterstate Light" w:eastAsiaTheme="minorHAnsi" w:hAnsi="EYInterstate Light" w:cstheme="minorBidi"/>
      <w:b w:val="0"/>
      <w:bCs w:val="0"/>
      <w:color w:val="auto"/>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3176F"/>
    <w:pPr>
      <w:tabs>
        <w:tab w:val="center" w:pos="4536"/>
        <w:tab w:val="right" w:pos="9072"/>
      </w:tabs>
      <w:spacing w:after="0" w:line="240" w:lineRule="auto"/>
    </w:pPr>
  </w:style>
  <w:style w:type="character" w:customStyle="1" w:styleId="En-tteCar">
    <w:name w:val="En-tête Car"/>
    <w:basedOn w:val="Policepardfaut"/>
    <w:link w:val="En-tte"/>
    <w:uiPriority w:val="99"/>
    <w:rsid w:val="0073176F"/>
  </w:style>
  <w:style w:type="paragraph" w:styleId="Pieddepage">
    <w:name w:val="footer"/>
    <w:basedOn w:val="Normal"/>
    <w:link w:val="PieddepageCar"/>
    <w:uiPriority w:val="99"/>
    <w:unhideWhenUsed/>
    <w:rsid w:val="00731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76F"/>
  </w:style>
  <w:style w:type="paragraph" w:styleId="Paragraphedeliste">
    <w:name w:val="List Paragraph"/>
    <w:basedOn w:val="Normal"/>
    <w:uiPriority w:val="34"/>
    <w:qFormat/>
    <w:rsid w:val="00E23370"/>
    <w:pPr>
      <w:ind w:left="720"/>
      <w:contextualSpacing/>
    </w:pPr>
  </w:style>
  <w:style w:type="paragraph" w:customStyle="1" w:styleId="Default">
    <w:name w:val="Default"/>
    <w:rsid w:val="00B36FB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537739"/>
    <w:rPr>
      <w:sz w:val="20"/>
      <w:szCs w:val="20"/>
    </w:rPr>
  </w:style>
  <w:style w:type="paragraph" w:styleId="Objetducommentaire">
    <w:name w:val="annotation subject"/>
    <w:basedOn w:val="Commentaire"/>
    <w:next w:val="Commentaire"/>
    <w:link w:val="ObjetducommentaireCar"/>
    <w:uiPriority w:val="99"/>
    <w:semiHidden/>
    <w:unhideWhenUsed/>
    <w:rsid w:val="00537739"/>
    <w:rPr>
      <w:b/>
      <w:bCs/>
    </w:rPr>
  </w:style>
  <w:style w:type="character" w:customStyle="1" w:styleId="ObjetducommentaireCar">
    <w:name w:val="Objet du commentaire Car"/>
    <w:basedOn w:val="CommentaireCar"/>
    <w:link w:val="Objetducommentaire"/>
    <w:uiPriority w:val="99"/>
    <w:semiHidden/>
    <w:rsid w:val="00537739"/>
    <w:rPr>
      <w:b/>
      <w:bCs/>
      <w:sz w:val="20"/>
      <w:szCs w:val="20"/>
    </w:rPr>
  </w:style>
  <w:style w:type="paragraph" w:styleId="Textedebulles">
    <w:name w:val="Balloon Text"/>
    <w:basedOn w:val="Normal"/>
    <w:link w:val="TextedebullesCar"/>
    <w:uiPriority w:val="99"/>
    <w:semiHidden/>
    <w:unhideWhenUsed/>
    <w:rsid w:val="005377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739"/>
    <w:rPr>
      <w:rFonts w:ascii="Tahoma" w:hAnsi="Tahoma" w:cs="Tahoma"/>
      <w:sz w:val="16"/>
      <w:szCs w:val="16"/>
    </w:rPr>
  </w:style>
  <w:style w:type="character" w:customStyle="1" w:styleId="Titre3Car">
    <w:name w:val="Titre 3 Car"/>
    <w:basedOn w:val="Policepardfaut"/>
    <w:link w:val="Titre3"/>
    <w:uiPriority w:val="9"/>
    <w:rsid w:val="008F1FC1"/>
    <w:rPr>
      <w:rFonts w:ascii="EYInterstate Light" w:hAnsi="EYInterstate Light"/>
      <w:sz w:val="16"/>
      <w:szCs w:val="16"/>
    </w:rPr>
  </w:style>
  <w:style w:type="numbering" w:customStyle="1" w:styleId="ListePP">
    <w:name w:val="Liste PP"/>
    <w:uiPriority w:val="99"/>
    <w:rsid w:val="008F1FC1"/>
    <w:pPr>
      <w:numPr>
        <w:numId w:val="1"/>
      </w:numPr>
    </w:pPr>
  </w:style>
  <w:style w:type="character" w:customStyle="1" w:styleId="Titre2Car">
    <w:name w:val="Titre 2 Car"/>
    <w:basedOn w:val="Policepardfaut"/>
    <w:link w:val="Titre2"/>
    <w:uiPriority w:val="9"/>
    <w:semiHidden/>
    <w:rsid w:val="008F1FC1"/>
    <w:rPr>
      <w:rFonts w:asciiTheme="majorHAnsi" w:eastAsiaTheme="majorEastAsia" w:hAnsiTheme="majorHAnsi" w:cstheme="majorBidi"/>
      <w:b/>
      <w:bCs/>
      <w:color w:val="4F81BD" w:themeColor="accent1"/>
      <w:sz w:val="26"/>
      <w:szCs w:val="26"/>
    </w:rPr>
  </w:style>
  <w:style w:type="paragraph" w:customStyle="1" w:styleId="Bullet">
    <w:name w:val="Bullet"/>
    <w:basedOn w:val="Paragraphedeliste"/>
    <w:qFormat/>
    <w:rsid w:val="00FF105B"/>
    <w:pPr>
      <w:numPr>
        <w:numId w:val="3"/>
      </w:numPr>
      <w:spacing w:line="240" w:lineRule="auto"/>
      <w:contextualSpacing w:val="0"/>
    </w:pPr>
    <w:rPr>
      <w:rFonts w:cs="Arial"/>
      <w:sz w:val="16"/>
      <w:szCs w:val="16"/>
    </w:rPr>
  </w:style>
  <w:style w:type="paragraph" w:styleId="Rvision">
    <w:name w:val="Revision"/>
    <w:hidden/>
    <w:uiPriority w:val="99"/>
    <w:semiHidden/>
    <w:rsid w:val="00254758"/>
    <w:pPr>
      <w:spacing w:after="0" w:line="240" w:lineRule="auto"/>
    </w:pPr>
    <w:rPr>
      <w:rFonts w:ascii="Arial" w:hAnsi="Arial"/>
      <w:sz w:val="20"/>
    </w:rPr>
  </w:style>
  <w:style w:type="paragraph" w:styleId="Listepuces">
    <w:name w:val="List Bullet"/>
    <w:basedOn w:val="Normal"/>
    <w:uiPriority w:val="99"/>
    <w:unhideWhenUsed/>
    <w:rsid w:val="000951D2"/>
    <w:pPr>
      <w:numPr>
        <w:numId w:val="4"/>
      </w:numPr>
      <w:contextualSpacing/>
    </w:pPr>
  </w:style>
  <w:style w:type="paragraph" w:styleId="Notedebasdepage">
    <w:name w:val="footnote text"/>
    <w:basedOn w:val="Normal"/>
    <w:link w:val="NotedebasdepageCar"/>
    <w:uiPriority w:val="99"/>
    <w:semiHidden/>
    <w:unhideWhenUsed/>
    <w:rsid w:val="00E97C31"/>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E97C31"/>
    <w:rPr>
      <w:rFonts w:ascii="Arial" w:hAnsi="Arial"/>
      <w:sz w:val="20"/>
      <w:szCs w:val="20"/>
    </w:rPr>
  </w:style>
  <w:style w:type="character" w:styleId="Appelnotedebasdep">
    <w:name w:val="footnote reference"/>
    <w:basedOn w:val="Policepardfaut"/>
    <w:uiPriority w:val="99"/>
    <w:semiHidden/>
    <w:unhideWhenUsed/>
    <w:rsid w:val="00E97C31"/>
    <w:rPr>
      <w:vertAlign w:val="superscript"/>
    </w:rPr>
  </w:style>
  <w:style w:type="character" w:customStyle="1" w:styleId="eael-tab-title3">
    <w:name w:val="eael-tab-title3"/>
    <w:basedOn w:val="Policepardfaut"/>
    <w:rsid w:val="00D7024F"/>
  </w:style>
  <w:style w:type="character" w:styleId="Lienhypertexte">
    <w:name w:val="Hyperlink"/>
    <w:basedOn w:val="Policepardfaut"/>
    <w:uiPriority w:val="99"/>
    <w:unhideWhenUsed/>
    <w:rsid w:val="00D7024F"/>
    <w:rPr>
      <w:strike w:val="0"/>
      <w:dstrike w:val="0"/>
      <w:color w:val="656665"/>
      <w:u w:val="none"/>
      <w:effect w:val="none"/>
      <w:shd w:val="clear" w:color="auto" w:fill="auto"/>
    </w:rPr>
  </w:style>
  <w:style w:type="paragraph" w:customStyle="1" w:styleId="point-bullet-kpi">
    <w:name w:val="point-bullet-kpi"/>
    <w:basedOn w:val="Normal"/>
    <w:rsid w:val="00D7024F"/>
    <w:pPr>
      <w:spacing w:before="0" w:after="0" w:line="240" w:lineRule="auto"/>
    </w:pPr>
    <w:rPr>
      <w:rFonts w:ascii="Times New Roman" w:eastAsia="Times New Roman" w:hAnsi="Times New Roman" w:cs="Times New Roman"/>
      <w:sz w:val="24"/>
      <w:szCs w:val="24"/>
      <w:lang w:eastAsia="de-CH" w:bidi="ar-SA"/>
    </w:rPr>
  </w:style>
  <w:style w:type="character" w:customStyle="1" w:styleId="kpi-questions1">
    <w:name w:val="kpi-questions1"/>
    <w:basedOn w:val="Policepardfaut"/>
    <w:rsid w:val="00D7024F"/>
    <w:rPr>
      <w:i/>
      <w:iCs/>
    </w:rPr>
  </w:style>
  <w:style w:type="paragraph" w:customStyle="1" w:styleId="FINMAStandardAbsatz">
    <w:name w:val="FINMA Standard Absatz"/>
    <w:basedOn w:val="Normal"/>
    <w:qFormat/>
    <w:rsid w:val="006E6B07"/>
    <w:pPr>
      <w:spacing w:before="260" w:after="260" w:line="260" w:lineRule="atLeast"/>
      <w:jc w:val="both"/>
    </w:pPr>
    <w:rPr>
      <w:rFonts w:eastAsia="Times New Roman" w:cs="Times New Roman"/>
      <w:szCs w:val="20"/>
      <w:lang w:bidi="ar-SA"/>
    </w:rPr>
  </w:style>
  <w:style w:type="character" w:styleId="Mentionnonrsolue">
    <w:name w:val="Unresolved Mention"/>
    <w:basedOn w:val="Policepardfaut"/>
    <w:uiPriority w:val="99"/>
    <w:semiHidden/>
    <w:unhideWhenUsed/>
    <w:rsid w:val="00E819B3"/>
    <w:rPr>
      <w:color w:val="605E5C"/>
      <w:shd w:val="clear" w:color="auto" w:fill="E1DFDD"/>
    </w:rPr>
  </w:style>
  <w:style w:type="paragraph" w:styleId="Notedefin">
    <w:name w:val="endnote text"/>
    <w:basedOn w:val="Normal"/>
    <w:link w:val="NotedefinCar"/>
    <w:uiPriority w:val="99"/>
    <w:semiHidden/>
    <w:unhideWhenUsed/>
    <w:rsid w:val="00301B92"/>
    <w:pPr>
      <w:spacing w:before="0" w:after="0" w:line="240" w:lineRule="auto"/>
    </w:pPr>
    <w:rPr>
      <w:szCs w:val="20"/>
    </w:rPr>
  </w:style>
  <w:style w:type="character" w:customStyle="1" w:styleId="NotedefinCar">
    <w:name w:val="Note de fin Car"/>
    <w:basedOn w:val="Policepardfaut"/>
    <w:link w:val="Notedefin"/>
    <w:uiPriority w:val="99"/>
    <w:semiHidden/>
    <w:rsid w:val="00301B92"/>
    <w:rPr>
      <w:rFonts w:ascii="Arial" w:hAnsi="Arial"/>
      <w:sz w:val="20"/>
      <w:szCs w:val="20"/>
    </w:rPr>
  </w:style>
  <w:style w:type="character" w:styleId="Appeldenotedefin">
    <w:name w:val="endnote reference"/>
    <w:basedOn w:val="Policepardfaut"/>
    <w:uiPriority w:val="99"/>
    <w:semiHidden/>
    <w:unhideWhenUsed/>
    <w:rsid w:val="00301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80">
      <w:bodyDiv w:val="1"/>
      <w:marLeft w:val="0"/>
      <w:marRight w:val="0"/>
      <w:marTop w:val="0"/>
      <w:marBottom w:val="0"/>
      <w:divBdr>
        <w:top w:val="none" w:sz="0" w:space="0" w:color="auto"/>
        <w:left w:val="none" w:sz="0" w:space="0" w:color="auto"/>
        <w:bottom w:val="none" w:sz="0" w:space="0" w:color="auto"/>
        <w:right w:val="none" w:sz="0" w:space="0" w:color="auto"/>
      </w:divBdr>
    </w:div>
    <w:div w:id="30737841">
      <w:bodyDiv w:val="1"/>
      <w:marLeft w:val="0"/>
      <w:marRight w:val="0"/>
      <w:marTop w:val="0"/>
      <w:marBottom w:val="0"/>
      <w:divBdr>
        <w:top w:val="none" w:sz="0" w:space="0" w:color="auto"/>
        <w:left w:val="none" w:sz="0" w:space="0" w:color="auto"/>
        <w:bottom w:val="none" w:sz="0" w:space="0" w:color="auto"/>
        <w:right w:val="none" w:sz="0" w:space="0" w:color="auto"/>
      </w:divBdr>
      <w:divsChild>
        <w:div w:id="2057925266">
          <w:marLeft w:val="418"/>
          <w:marRight w:val="0"/>
          <w:marTop w:val="58"/>
          <w:marBottom w:val="0"/>
          <w:divBdr>
            <w:top w:val="none" w:sz="0" w:space="0" w:color="auto"/>
            <w:left w:val="none" w:sz="0" w:space="0" w:color="auto"/>
            <w:bottom w:val="none" w:sz="0" w:space="0" w:color="auto"/>
            <w:right w:val="none" w:sz="0" w:space="0" w:color="auto"/>
          </w:divBdr>
        </w:div>
      </w:divsChild>
    </w:div>
    <w:div w:id="42294243">
      <w:bodyDiv w:val="1"/>
      <w:marLeft w:val="0"/>
      <w:marRight w:val="0"/>
      <w:marTop w:val="0"/>
      <w:marBottom w:val="0"/>
      <w:divBdr>
        <w:top w:val="none" w:sz="0" w:space="0" w:color="auto"/>
        <w:left w:val="none" w:sz="0" w:space="0" w:color="auto"/>
        <w:bottom w:val="none" w:sz="0" w:space="0" w:color="auto"/>
        <w:right w:val="none" w:sz="0" w:space="0" w:color="auto"/>
      </w:divBdr>
      <w:divsChild>
        <w:div w:id="739642744">
          <w:marLeft w:val="432"/>
          <w:marRight w:val="0"/>
          <w:marTop w:val="58"/>
          <w:marBottom w:val="0"/>
          <w:divBdr>
            <w:top w:val="none" w:sz="0" w:space="0" w:color="auto"/>
            <w:left w:val="none" w:sz="0" w:space="0" w:color="auto"/>
            <w:bottom w:val="none" w:sz="0" w:space="0" w:color="auto"/>
            <w:right w:val="none" w:sz="0" w:space="0" w:color="auto"/>
          </w:divBdr>
        </w:div>
        <w:div w:id="1338078846">
          <w:marLeft w:val="432"/>
          <w:marRight w:val="0"/>
          <w:marTop w:val="58"/>
          <w:marBottom w:val="0"/>
          <w:divBdr>
            <w:top w:val="none" w:sz="0" w:space="0" w:color="auto"/>
            <w:left w:val="none" w:sz="0" w:space="0" w:color="auto"/>
            <w:bottom w:val="none" w:sz="0" w:space="0" w:color="auto"/>
            <w:right w:val="none" w:sz="0" w:space="0" w:color="auto"/>
          </w:divBdr>
        </w:div>
        <w:div w:id="1649675989">
          <w:marLeft w:val="432"/>
          <w:marRight w:val="0"/>
          <w:marTop w:val="58"/>
          <w:marBottom w:val="0"/>
          <w:divBdr>
            <w:top w:val="none" w:sz="0" w:space="0" w:color="auto"/>
            <w:left w:val="none" w:sz="0" w:space="0" w:color="auto"/>
            <w:bottom w:val="none" w:sz="0" w:space="0" w:color="auto"/>
            <w:right w:val="none" w:sz="0" w:space="0" w:color="auto"/>
          </w:divBdr>
        </w:div>
      </w:divsChild>
    </w:div>
    <w:div w:id="50614432">
      <w:bodyDiv w:val="1"/>
      <w:marLeft w:val="0"/>
      <w:marRight w:val="0"/>
      <w:marTop w:val="0"/>
      <w:marBottom w:val="0"/>
      <w:divBdr>
        <w:top w:val="none" w:sz="0" w:space="0" w:color="auto"/>
        <w:left w:val="none" w:sz="0" w:space="0" w:color="auto"/>
        <w:bottom w:val="none" w:sz="0" w:space="0" w:color="auto"/>
        <w:right w:val="none" w:sz="0" w:space="0" w:color="auto"/>
      </w:divBdr>
    </w:div>
    <w:div w:id="68619808">
      <w:bodyDiv w:val="1"/>
      <w:marLeft w:val="0"/>
      <w:marRight w:val="0"/>
      <w:marTop w:val="0"/>
      <w:marBottom w:val="0"/>
      <w:divBdr>
        <w:top w:val="none" w:sz="0" w:space="0" w:color="auto"/>
        <w:left w:val="none" w:sz="0" w:space="0" w:color="auto"/>
        <w:bottom w:val="none" w:sz="0" w:space="0" w:color="auto"/>
        <w:right w:val="none" w:sz="0" w:space="0" w:color="auto"/>
      </w:divBdr>
    </w:div>
    <w:div w:id="71702435">
      <w:bodyDiv w:val="1"/>
      <w:marLeft w:val="0"/>
      <w:marRight w:val="0"/>
      <w:marTop w:val="0"/>
      <w:marBottom w:val="0"/>
      <w:divBdr>
        <w:top w:val="none" w:sz="0" w:space="0" w:color="auto"/>
        <w:left w:val="none" w:sz="0" w:space="0" w:color="auto"/>
        <w:bottom w:val="none" w:sz="0" w:space="0" w:color="auto"/>
        <w:right w:val="none" w:sz="0" w:space="0" w:color="auto"/>
      </w:divBdr>
      <w:divsChild>
        <w:div w:id="471140222">
          <w:marLeft w:val="432"/>
          <w:marRight w:val="0"/>
          <w:marTop w:val="58"/>
          <w:marBottom w:val="0"/>
          <w:divBdr>
            <w:top w:val="none" w:sz="0" w:space="0" w:color="auto"/>
            <w:left w:val="none" w:sz="0" w:space="0" w:color="auto"/>
            <w:bottom w:val="none" w:sz="0" w:space="0" w:color="auto"/>
            <w:right w:val="none" w:sz="0" w:space="0" w:color="auto"/>
          </w:divBdr>
        </w:div>
        <w:div w:id="1281036527">
          <w:marLeft w:val="432"/>
          <w:marRight w:val="0"/>
          <w:marTop w:val="58"/>
          <w:marBottom w:val="0"/>
          <w:divBdr>
            <w:top w:val="none" w:sz="0" w:space="0" w:color="auto"/>
            <w:left w:val="none" w:sz="0" w:space="0" w:color="auto"/>
            <w:bottom w:val="none" w:sz="0" w:space="0" w:color="auto"/>
            <w:right w:val="none" w:sz="0" w:space="0" w:color="auto"/>
          </w:divBdr>
        </w:div>
      </w:divsChild>
    </w:div>
    <w:div w:id="90663847">
      <w:bodyDiv w:val="1"/>
      <w:marLeft w:val="0"/>
      <w:marRight w:val="0"/>
      <w:marTop w:val="0"/>
      <w:marBottom w:val="0"/>
      <w:divBdr>
        <w:top w:val="none" w:sz="0" w:space="0" w:color="auto"/>
        <w:left w:val="none" w:sz="0" w:space="0" w:color="auto"/>
        <w:bottom w:val="none" w:sz="0" w:space="0" w:color="auto"/>
        <w:right w:val="none" w:sz="0" w:space="0" w:color="auto"/>
      </w:divBdr>
    </w:div>
    <w:div w:id="123082288">
      <w:bodyDiv w:val="1"/>
      <w:marLeft w:val="0"/>
      <w:marRight w:val="0"/>
      <w:marTop w:val="0"/>
      <w:marBottom w:val="0"/>
      <w:divBdr>
        <w:top w:val="none" w:sz="0" w:space="0" w:color="auto"/>
        <w:left w:val="none" w:sz="0" w:space="0" w:color="auto"/>
        <w:bottom w:val="none" w:sz="0" w:space="0" w:color="auto"/>
        <w:right w:val="none" w:sz="0" w:space="0" w:color="auto"/>
      </w:divBdr>
    </w:div>
    <w:div w:id="125586073">
      <w:bodyDiv w:val="1"/>
      <w:marLeft w:val="0"/>
      <w:marRight w:val="0"/>
      <w:marTop w:val="0"/>
      <w:marBottom w:val="0"/>
      <w:divBdr>
        <w:top w:val="none" w:sz="0" w:space="0" w:color="auto"/>
        <w:left w:val="none" w:sz="0" w:space="0" w:color="auto"/>
        <w:bottom w:val="none" w:sz="0" w:space="0" w:color="auto"/>
        <w:right w:val="none" w:sz="0" w:space="0" w:color="auto"/>
      </w:divBdr>
    </w:div>
    <w:div w:id="170531294">
      <w:bodyDiv w:val="1"/>
      <w:marLeft w:val="0"/>
      <w:marRight w:val="0"/>
      <w:marTop w:val="0"/>
      <w:marBottom w:val="0"/>
      <w:divBdr>
        <w:top w:val="none" w:sz="0" w:space="0" w:color="auto"/>
        <w:left w:val="none" w:sz="0" w:space="0" w:color="auto"/>
        <w:bottom w:val="none" w:sz="0" w:space="0" w:color="auto"/>
        <w:right w:val="none" w:sz="0" w:space="0" w:color="auto"/>
      </w:divBdr>
    </w:div>
    <w:div w:id="177931490">
      <w:bodyDiv w:val="1"/>
      <w:marLeft w:val="0"/>
      <w:marRight w:val="0"/>
      <w:marTop w:val="0"/>
      <w:marBottom w:val="0"/>
      <w:divBdr>
        <w:top w:val="none" w:sz="0" w:space="0" w:color="auto"/>
        <w:left w:val="none" w:sz="0" w:space="0" w:color="auto"/>
        <w:bottom w:val="none" w:sz="0" w:space="0" w:color="auto"/>
        <w:right w:val="none" w:sz="0" w:space="0" w:color="auto"/>
      </w:divBdr>
    </w:div>
    <w:div w:id="280956940">
      <w:bodyDiv w:val="1"/>
      <w:marLeft w:val="0"/>
      <w:marRight w:val="0"/>
      <w:marTop w:val="0"/>
      <w:marBottom w:val="0"/>
      <w:divBdr>
        <w:top w:val="none" w:sz="0" w:space="0" w:color="auto"/>
        <w:left w:val="none" w:sz="0" w:space="0" w:color="auto"/>
        <w:bottom w:val="none" w:sz="0" w:space="0" w:color="auto"/>
        <w:right w:val="none" w:sz="0" w:space="0" w:color="auto"/>
      </w:divBdr>
    </w:div>
    <w:div w:id="293491175">
      <w:bodyDiv w:val="1"/>
      <w:marLeft w:val="0"/>
      <w:marRight w:val="0"/>
      <w:marTop w:val="0"/>
      <w:marBottom w:val="0"/>
      <w:divBdr>
        <w:top w:val="none" w:sz="0" w:space="0" w:color="auto"/>
        <w:left w:val="none" w:sz="0" w:space="0" w:color="auto"/>
        <w:bottom w:val="none" w:sz="0" w:space="0" w:color="auto"/>
        <w:right w:val="none" w:sz="0" w:space="0" w:color="auto"/>
      </w:divBdr>
    </w:div>
    <w:div w:id="297489780">
      <w:bodyDiv w:val="1"/>
      <w:marLeft w:val="0"/>
      <w:marRight w:val="0"/>
      <w:marTop w:val="0"/>
      <w:marBottom w:val="0"/>
      <w:divBdr>
        <w:top w:val="none" w:sz="0" w:space="0" w:color="auto"/>
        <w:left w:val="none" w:sz="0" w:space="0" w:color="auto"/>
        <w:bottom w:val="none" w:sz="0" w:space="0" w:color="auto"/>
        <w:right w:val="none" w:sz="0" w:space="0" w:color="auto"/>
      </w:divBdr>
      <w:divsChild>
        <w:div w:id="359933130">
          <w:marLeft w:val="432"/>
          <w:marRight w:val="0"/>
          <w:marTop w:val="58"/>
          <w:marBottom w:val="0"/>
          <w:divBdr>
            <w:top w:val="none" w:sz="0" w:space="0" w:color="auto"/>
            <w:left w:val="none" w:sz="0" w:space="0" w:color="auto"/>
            <w:bottom w:val="none" w:sz="0" w:space="0" w:color="auto"/>
            <w:right w:val="none" w:sz="0" w:space="0" w:color="auto"/>
          </w:divBdr>
        </w:div>
        <w:div w:id="815493573">
          <w:marLeft w:val="432"/>
          <w:marRight w:val="0"/>
          <w:marTop w:val="58"/>
          <w:marBottom w:val="0"/>
          <w:divBdr>
            <w:top w:val="none" w:sz="0" w:space="0" w:color="auto"/>
            <w:left w:val="none" w:sz="0" w:space="0" w:color="auto"/>
            <w:bottom w:val="none" w:sz="0" w:space="0" w:color="auto"/>
            <w:right w:val="none" w:sz="0" w:space="0" w:color="auto"/>
          </w:divBdr>
        </w:div>
        <w:div w:id="1498570818">
          <w:marLeft w:val="432"/>
          <w:marRight w:val="0"/>
          <w:marTop w:val="58"/>
          <w:marBottom w:val="0"/>
          <w:divBdr>
            <w:top w:val="none" w:sz="0" w:space="0" w:color="auto"/>
            <w:left w:val="none" w:sz="0" w:space="0" w:color="auto"/>
            <w:bottom w:val="none" w:sz="0" w:space="0" w:color="auto"/>
            <w:right w:val="none" w:sz="0" w:space="0" w:color="auto"/>
          </w:divBdr>
        </w:div>
        <w:div w:id="1889225660">
          <w:marLeft w:val="432"/>
          <w:marRight w:val="0"/>
          <w:marTop w:val="58"/>
          <w:marBottom w:val="0"/>
          <w:divBdr>
            <w:top w:val="none" w:sz="0" w:space="0" w:color="auto"/>
            <w:left w:val="none" w:sz="0" w:space="0" w:color="auto"/>
            <w:bottom w:val="none" w:sz="0" w:space="0" w:color="auto"/>
            <w:right w:val="none" w:sz="0" w:space="0" w:color="auto"/>
          </w:divBdr>
        </w:div>
        <w:div w:id="1927498233">
          <w:marLeft w:val="432"/>
          <w:marRight w:val="0"/>
          <w:marTop w:val="58"/>
          <w:marBottom w:val="0"/>
          <w:divBdr>
            <w:top w:val="none" w:sz="0" w:space="0" w:color="auto"/>
            <w:left w:val="none" w:sz="0" w:space="0" w:color="auto"/>
            <w:bottom w:val="none" w:sz="0" w:space="0" w:color="auto"/>
            <w:right w:val="none" w:sz="0" w:space="0" w:color="auto"/>
          </w:divBdr>
        </w:div>
      </w:divsChild>
    </w:div>
    <w:div w:id="314115683">
      <w:bodyDiv w:val="1"/>
      <w:marLeft w:val="0"/>
      <w:marRight w:val="0"/>
      <w:marTop w:val="0"/>
      <w:marBottom w:val="0"/>
      <w:divBdr>
        <w:top w:val="none" w:sz="0" w:space="0" w:color="auto"/>
        <w:left w:val="none" w:sz="0" w:space="0" w:color="auto"/>
        <w:bottom w:val="none" w:sz="0" w:space="0" w:color="auto"/>
        <w:right w:val="none" w:sz="0" w:space="0" w:color="auto"/>
      </w:divBdr>
    </w:div>
    <w:div w:id="3280940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234">
          <w:marLeft w:val="418"/>
          <w:marRight w:val="0"/>
          <w:marTop w:val="58"/>
          <w:marBottom w:val="0"/>
          <w:divBdr>
            <w:top w:val="none" w:sz="0" w:space="0" w:color="auto"/>
            <w:left w:val="none" w:sz="0" w:space="0" w:color="auto"/>
            <w:bottom w:val="none" w:sz="0" w:space="0" w:color="auto"/>
            <w:right w:val="none" w:sz="0" w:space="0" w:color="auto"/>
          </w:divBdr>
        </w:div>
      </w:divsChild>
    </w:div>
    <w:div w:id="345640656">
      <w:bodyDiv w:val="1"/>
      <w:marLeft w:val="0"/>
      <w:marRight w:val="0"/>
      <w:marTop w:val="0"/>
      <w:marBottom w:val="0"/>
      <w:divBdr>
        <w:top w:val="none" w:sz="0" w:space="0" w:color="auto"/>
        <w:left w:val="none" w:sz="0" w:space="0" w:color="auto"/>
        <w:bottom w:val="none" w:sz="0" w:space="0" w:color="auto"/>
        <w:right w:val="none" w:sz="0" w:space="0" w:color="auto"/>
      </w:divBdr>
      <w:divsChild>
        <w:div w:id="463931764">
          <w:marLeft w:val="432"/>
          <w:marRight w:val="0"/>
          <w:marTop w:val="58"/>
          <w:marBottom w:val="0"/>
          <w:divBdr>
            <w:top w:val="none" w:sz="0" w:space="0" w:color="auto"/>
            <w:left w:val="none" w:sz="0" w:space="0" w:color="auto"/>
            <w:bottom w:val="none" w:sz="0" w:space="0" w:color="auto"/>
            <w:right w:val="none" w:sz="0" w:space="0" w:color="auto"/>
          </w:divBdr>
        </w:div>
        <w:div w:id="735738843">
          <w:marLeft w:val="432"/>
          <w:marRight w:val="0"/>
          <w:marTop w:val="58"/>
          <w:marBottom w:val="0"/>
          <w:divBdr>
            <w:top w:val="none" w:sz="0" w:space="0" w:color="auto"/>
            <w:left w:val="none" w:sz="0" w:space="0" w:color="auto"/>
            <w:bottom w:val="none" w:sz="0" w:space="0" w:color="auto"/>
            <w:right w:val="none" w:sz="0" w:space="0" w:color="auto"/>
          </w:divBdr>
        </w:div>
        <w:div w:id="1301033582">
          <w:marLeft w:val="432"/>
          <w:marRight w:val="0"/>
          <w:marTop w:val="58"/>
          <w:marBottom w:val="0"/>
          <w:divBdr>
            <w:top w:val="none" w:sz="0" w:space="0" w:color="auto"/>
            <w:left w:val="none" w:sz="0" w:space="0" w:color="auto"/>
            <w:bottom w:val="none" w:sz="0" w:space="0" w:color="auto"/>
            <w:right w:val="none" w:sz="0" w:space="0" w:color="auto"/>
          </w:divBdr>
        </w:div>
        <w:div w:id="1648779535">
          <w:marLeft w:val="432"/>
          <w:marRight w:val="0"/>
          <w:marTop w:val="58"/>
          <w:marBottom w:val="0"/>
          <w:divBdr>
            <w:top w:val="none" w:sz="0" w:space="0" w:color="auto"/>
            <w:left w:val="none" w:sz="0" w:space="0" w:color="auto"/>
            <w:bottom w:val="none" w:sz="0" w:space="0" w:color="auto"/>
            <w:right w:val="none" w:sz="0" w:space="0" w:color="auto"/>
          </w:divBdr>
        </w:div>
      </w:divsChild>
    </w:div>
    <w:div w:id="354892736">
      <w:bodyDiv w:val="1"/>
      <w:marLeft w:val="0"/>
      <w:marRight w:val="0"/>
      <w:marTop w:val="0"/>
      <w:marBottom w:val="0"/>
      <w:divBdr>
        <w:top w:val="none" w:sz="0" w:space="0" w:color="auto"/>
        <w:left w:val="none" w:sz="0" w:space="0" w:color="auto"/>
        <w:bottom w:val="none" w:sz="0" w:space="0" w:color="auto"/>
        <w:right w:val="none" w:sz="0" w:space="0" w:color="auto"/>
      </w:divBdr>
    </w:div>
    <w:div w:id="366836034">
      <w:bodyDiv w:val="1"/>
      <w:marLeft w:val="0"/>
      <w:marRight w:val="0"/>
      <w:marTop w:val="0"/>
      <w:marBottom w:val="0"/>
      <w:divBdr>
        <w:top w:val="none" w:sz="0" w:space="0" w:color="auto"/>
        <w:left w:val="none" w:sz="0" w:space="0" w:color="auto"/>
        <w:bottom w:val="none" w:sz="0" w:space="0" w:color="auto"/>
        <w:right w:val="none" w:sz="0" w:space="0" w:color="auto"/>
      </w:divBdr>
      <w:divsChild>
        <w:div w:id="837843807">
          <w:marLeft w:val="418"/>
          <w:marRight w:val="0"/>
          <w:marTop w:val="58"/>
          <w:marBottom w:val="0"/>
          <w:divBdr>
            <w:top w:val="none" w:sz="0" w:space="0" w:color="auto"/>
            <w:left w:val="none" w:sz="0" w:space="0" w:color="auto"/>
            <w:bottom w:val="none" w:sz="0" w:space="0" w:color="auto"/>
            <w:right w:val="none" w:sz="0" w:space="0" w:color="auto"/>
          </w:divBdr>
        </w:div>
        <w:div w:id="965740362">
          <w:marLeft w:val="418"/>
          <w:marRight w:val="0"/>
          <w:marTop w:val="58"/>
          <w:marBottom w:val="0"/>
          <w:divBdr>
            <w:top w:val="none" w:sz="0" w:space="0" w:color="auto"/>
            <w:left w:val="none" w:sz="0" w:space="0" w:color="auto"/>
            <w:bottom w:val="none" w:sz="0" w:space="0" w:color="auto"/>
            <w:right w:val="none" w:sz="0" w:space="0" w:color="auto"/>
          </w:divBdr>
        </w:div>
        <w:div w:id="996422628">
          <w:marLeft w:val="418"/>
          <w:marRight w:val="0"/>
          <w:marTop w:val="58"/>
          <w:marBottom w:val="0"/>
          <w:divBdr>
            <w:top w:val="none" w:sz="0" w:space="0" w:color="auto"/>
            <w:left w:val="none" w:sz="0" w:space="0" w:color="auto"/>
            <w:bottom w:val="none" w:sz="0" w:space="0" w:color="auto"/>
            <w:right w:val="none" w:sz="0" w:space="0" w:color="auto"/>
          </w:divBdr>
        </w:div>
      </w:divsChild>
    </w:div>
    <w:div w:id="368604420">
      <w:bodyDiv w:val="1"/>
      <w:marLeft w:val="0"/>
      <w:marRight w:val="0"/>
      <w:marTop w:val="0"/>
      <w:marBottom w:val="0"/>
      <w:divBdr>
        <w:top w:val="none" w:sz="0" w:space="0" w:color="auto"/>
        <w:left w:val="none" w:sz="0" w:space="0" w:color="auto"/>
        <w:bottom w:val="none" w:sz="0" w:space="0" w:color="auto"/>
        <w:right w:val="none" w:sz="0" w:space="0" w:color="auto"/>
      </w:divBdr>
    </w:div>
    <w:div w:id="382873272">
      <w:bodyDiv w:val="1"/>
      <w:marLeft w:val="0"/>
      <w:marRight w:val="0"/>
      <w:marTop w:val="0"/>
      <w:marBottom w:val="0"/>
      <w:divBdr>
        <w:top w:val="none" w:sz="0" w:space="0" w:color="auto"/>
        <w:left w:val="none" w:sz="0" w:space="0" w:color="auto"/>
        <w:bottom w:val="none" w:sz="0" w:space="0" w:color="auto"/>
        <w:right w:val="none" w:sz="0" w:space="0" w:color="auto"/>
      </w:divBdr>
    </w:div>
    <w:div w:id="387387199">
      <w:bodyDiv w:val="1"/>
      <w:marLeft w:val="0"/>
      <w:marRight w:val="0"/>
      <w:marTop w:val="0"/>
      <w:marBottom w:val="0"/>
      <w:divBdr>
        <w:top w:val="none" w:sz="0" w:space="0" w:color="auto"/>
        <w:left w:val="none" w:sz="0" w:space="0" w:color="auto"/>
        <w:bottom w:val="none" w:sz="0" w:space="0" w:color="auto"/>
        <w:right w:val="none" w:sz="0" w:space="0" w:color="auto"/>
      </w:divBdr>
    </w:div>
    <w:div w:id="427583560">
      <w:bodyDiv w:val="1"/>
      <w:marLeft w:val="0"/>
      <w:marRight w:val="0"/>
      <w:marTop w:val="0"/>
      <w:marBottom w:val="0"/>
      <w:divBdr>
        <w:top w:val="none" w:sz="0" w:space="0" w:color="auto"/>
        <w:left w:val="none" w:sz="0" w:space="0" w:color="auto"/>
        <w:bottom w:val="none" w:sz="0" w:space="0" w:color="auto"/>
        <w:right w:val="none" w:sz="0" w:space="0" w:color="auto"/>
      </w:divBdr>
    </w:div>
    <w:div w:id="450591571">
      <w:bodyDiv w:val="1"/>
      <w:marLeft w:val="0"/>
      <w:marRight w:val="0"/>
      <w:marTop w:val="0"/>
      <w:marBottom w:val="0"/>
      <w:divBdr>
        <w:top w:val="none" w:sz="0" w:space="0" w:color="auto"/>
        <w:left w:val="none" w:sz="0" w:space="0" w:color="auto"/>
        <w:bottom w:val="none" w:sz="0" w:space="0" w:color="auto"/>
        <w:right w:val="none" w:sz="0" w:space="0" w:color="auto"/>
      </w:divBdr>
    </w:div>
    <w:div w:id="472987724">
      <w:bodyDiv w:val="1"/>
      <w:marLeft w:val="0"/>
      <w:marRight w:val="0"/>
      <w:marTop w:val="0"/>
      <w:marBottom w:val="0"/>
      <w:divBdr>
        <w:top w:val="none" w:sz="0" w:space="0" w:color="auto"/>
        <w:left w:val="none" w:sz="0" w:space="0" w:color="auto"/>
        <w:bottom w:val="none" w:sz="0" w:space="0" w:color="auto"/>
        <w:right w:val="none" w:sz="0" w:space="0" w:color="auto"/>
      </w:divBdr>
    </w:div>
    <w:div w:id="530383679">
      <w:bodyDiv w:val="1"/>
      <w:marLeft w:val="0"/>
      <w:marRight w:val="0"/>
      <w:marTop w:val="0"/>
      <w:marBottom w:val="0"/>
      <w:divBdr>
        <w:top w:val="none" w:sz="0" w:space="0" w:color="auto"/>
        <w:left w:val="none" w:sz="0" w:space="0" w:color="auto"/>
        <w:bottom w:val="none" w:sz="0" w:space="0" w:color="auto"/>
        <w:right w:val="none" w:sz="0" w:space="0" w:color="auto"/>
      </w:divBdr>
      <w:divsChild>
        <w:div w:id="619604077">
          <w:marLeft w:val="418"/>
          <w:marRight w:val="0"/>
          <w:marTop w:val="58"/>
          <w:marBottom w:val="0"/>
          <w:divBdr>
            <w:top w:val="none" w:sz="0" w:space="0" w:color="auto"/>
            <w:left w:val="none" w:sz="0" w:space="0" w:color="auto"/>
            <w:bottom w:val="none" w:sz="0" w:space="0" w:color="auto"/>
            <w:right w:val="none" w:sz="0" w:space="0" w:color="auto"/>
          </w:divBdr>
        </w:div>
        <w:div w:id="1060862607">
          <w:marLeft w:val="418"/>
          <w:marRight w:val="0"/>
          <w:marTop w:val="58"/>
          <w:marBottom w:val="0"/>
          <w:divBdr>
            <w:top w:val="none" w:sz="0" w:space="0" w:color="auto"/>
            <w:left w:val="none" w:sz="0" w:space="0" w:color="auto"/>
            <w:bottom w:val="none" w:sz="0" w:space="0" w:color="auto"/>
            <w:right w:val="none" w:sz="0" w:space="0" w:color="auto"/>
          </w:divBdr>
        </w:div>
        <w:div w:id="1573158752">
          <w:marLeft w:val="418"/>
          <w:marRight w:val="0"/>
          <w:marTop w:val="58"/>
          <w:marBottom w:val="0"/>
          <w:divBdr>
            <w:top w:val="none" w:sz="0" w:space="0" w:color="auto"/>
            <w:left w:val="none" w:sz="0" w:space="0" w:color="auto"/>
            <w:bottom w:val="none" w:sz="0" w:space="0" w:color="auto"/>
            <w:right w:val="none" w:sz="0" w:space="0" w:color="auto"/>
          </w:divBdr>
        </w:div>
        <w:div w:id="2020766539">
          <w:marLeft w:val="418"/>
          <w:marRight w:val="0"/>
          <w:marTop w:val="58"/>
          <w:marBottom w:val="0"/>
          <w:divBdr>
            <w:top w:val="none" w:sz="0" w:space="0" w:color="auto"/>
            <w:left w:val="none" w:sz="0" w:space="0" w:color="auto"/>
            <w:bottom w:val="none" w:sz="0" w:space="0" w:color="auto"/>
            <w:right w:val="none" w:sz="0" w:space="0" w:color="auto"/>
          </w:divBdr>
        </w:div>
      </w:divsChild>
    </w:div>
    <w:div w:id="531695403">
      <w:bodyDiv w:val="1"/>
      <w:marLeft w:val="0"/>
      <w:marRight w:val="0"/>
      <w:marTop w:val="0"/>
      <w:marBottom w:val="0"/>
      <w:divBdr>
        <w:top w:val="none" w:sz="0" w:space="0" w:color="auto"/>
        <w:left w:val="none" w:sz="0" w:space="0" w:color="auto"/>
        <w:bottom w:val="none" w:sz="0" w:space="0" w:color="auto"/>
        <w:right w:val="none" w:sz="0" w:space="0" w:color="auto"/>
      </w:divBdr>
    </w:div>
    <w:div w:id="540441930">
      <w:bodyDiv w:val="1"/>
      <w:marLeft w:val="0"/>
      <w:marRight w:val="0"/>
      <w:marTop w:val="0"/>
      <w:marBottom w:val="0"/>
      <w:divBdr>
        <w:top w:val="none" w:sz="0" w:space="0" w:color="auto"/>
        <w:left w:val="none" w:sz="0" w:space="0" w:color="auto"/>
        <w:bottom w:val="none" w:sz="0" w:space="0" w:color="auto"/>
        <w:right w:val="none" w:sz="0" w:space="0" w:color="auto"/>
      </w:divBdr>
      <w:divsChild>
        <w:div w:id="1881168710">
          <w:marLeft w:val="418"/>
          <w:marRight w:val="0"/>
          <w:marTop w:val="58"/>
          <w:marBottom w:val="0"/>
          <w:divBdr>
            <w:top w:val="none" w:sz="0" w:space="0" w:color="auto"/>
            <w:left w:val="none" w:sz="0" w:space="0" w:color="auto"/>
            <w:bottom w:val="none" w:sz="0" w:space="0" w:color="auto"/>
            <w:right w:val="none" w:sz="0" w:space="0" w:color="auto"/>
          </w:divBdr>
        </w:div>
      </w:divsChild>
    </w:div>
    <w:div w:id="590436634">
      <w:bodyDiv w:val="1"/>
      <w:marLeft w:val="0"/>
      <w:marRight w:val="0"/>
      <w:marTop w:val="0"/>
      <w:marBottom w:val="0"/>
      <w:divBdr>
        <w:top w:val="none" w:sz="0" w:space="0" w:color="auto"/>
        <w:left w:val="none" w:sz="0" w:space="0" w:color="auto"/>
        <w:bottom w:val="none" w:sz="0" w:space="0" w:color="auto"/>
        <w:right w:val="none" w:sz="0" w:space="0" w:color="auto"/>
      </w:divBdr>
      <w:divsChild>
        <w:div w:id="281693178">
          <w:marLeft w:val="432"/>
          <w:marRight w:val="0"/>
          <w:marTop w:val="58"/>
          <w:marBottom w:val="0"/>
          <w:divBdr>
            <w:top w:val="none" w:sz="0" w:space="0" w:color="auto"/>
            <w:left w:val="none" w:sz="0" w:space="0" w:color="auto"/>
            <w:bottom w:val="none" w:sz="0" w:space="0" w:color="auto"/>
            <w:right w:val="none" w:sz="0" w:space="0" w:color="auto"/>
          </w:divBdr>
        </w:div>
        <w:div w:id="319384952">
          <w:marLeft w:val="432"/>
          <w:marRight w:val="0"/>
          <w:marTop w:val="58"/>
          <w:marBottom w:val="0"/>
          <w:divBdr>
            <w:top w:val="none" w:sz="0" w:space="0" w:color="auto"/>
            <w:left w:val="none" w:sz="0" w:space="0" w:color="auto"/>
            <w:bottom w:val="none" w:sz="0" w:space="0" w:color="auto"/>
            <w:right w:val="none" w:sz="0" w:space="0" w:color="auto"/>
          </w:divBdr>
        </w:div>
        <w:div w:id="592477209">
          <w:marLeft w:val="432"/>
          <w:marRight w:val="0"/>
          <w:marTop w:val="58"/>
          <w:marBottom w:val="0"/>
          <w:divBdr>
            <w:top w:val="none" w:sz="0" w:space="0" w:color="auto"/>
            <w:left w:val="none" w:sz="0" w:space="0" w:color="auto"/>
            <w:bottom w:val="none" w:sz="0" w:space="0" w:color="auto"/>
            <w:right w:val="none" w:sz="0" w:space="0" w:color="auto"/>
          </w:divBdr>
        </w:div>
        <w:div w:id="618336558">
          <w:marLeft w:val="432"/>
          <w:marRight w:val="0"/>
          <w:marTop w:val="58"/>
          <w:marBottom w:val="0"/>
          <w:divBdr>
            <w:top w:val="none" w:sz="0" w:space="0" w:color="auto"/>
            <w:left w:val="none" w:sz="0" w:space="0" w:color="auto"/>
            <w:bottom w:val="none" w:sz="0" w:space="0" w:color="auto"/>
            <w:right w:val="none" w:sz="0" w:space="0" w:color="auto"/>
          </w:divBdr>
        </w:div>
        <w:div w:id="739055942">
          <w:marLeft w:val="432"/>
          <w:marRight w:val="0"/>
          <w:marTop w:val="58"/>
          <w:marBottom w:val="0"/>
          <w:divBdr>
            <w:top w:val="none" w:sz="0" w:space="0" w:color="auto"/>
            <w:left w:val="none" w:sz="0" w:space="0" w:color="auto"/>
            <w:bottom w:val="none" w:sz="0" w:space="0" w:color="auto"/>
            <w:right w:val="none" w:sz="0" w:space="0" w:color="auto"/>
          </w:divBdr>
        </w:div>
        <w:div w:id="1218471147">
          <w:marLeft w:val="432"/>
          <w:marRight w:val="0"/>
          <w:marTop w:val="58"/>
          <w:marBottom w:val="0"/>
          <w:divBdr>
            <w:top w:val="none" w:sz="0" w:space="0" w:color="auto"/>
            <w:left w:val="none" w:sz="0" w:space="0" w:color="auto"/>
            <w:bottom w:val="none" w:sz="0" w:space="0" w:color="auto"/>
            <w:right w:val="none" w:sz="0" w:space="0" w:color="auto"/>
          </w:divBdr>
        </w:div>
        <w:div w:id="1250702205">
          <w:marLeft w:val="432"/>
          <w:marRight w:val="0"/>
          <w:marTop w:val="58"/>
          <w:marBottom w:val="0"/>
          <w:divBdr>
            <w:top w:val="none" w:sz="0" w:space="0" w:color="auto"/>
            <w:left w:val="none" w:sz="0" w:space="0" w:color="auto"/>
            <w:bottom w:val="none" w:sz="0" w:space="0" w:color="auto"/>
            <w:right w:val="none" w:sz="0" w:space="0" w:color="auto"/>
          </w:divBdr>
        </w:div>
        <w:div w:id="1269463389">
          <w:marLeft w:val="432"/>
          <w:marRight w:val="0"/>
          <w:marTop w:val="58"/>
          <w:marBottom w:val="0"/>
          <w:divBdr>
            <w:top w:val="none" w:sz="0" w:space="0" w:color="auto"/>
            <w:left w:val="none" w:sz="0" w:space="0" w:color="auto"/>
            <w:bottom w:val="none" w:sz="0" w:space="0" w:color="auto"/>
            <w:right w:val="none" w:sz="0" w:space="0" w:color="auto"/>
          </w:divBdr>
        </w:div>
        <w:div w:id="1567254523">
          <w:marLeft w:val="432"/>
          <w:marRight w:val="0"/>
          <w:marTop w:val="58"/>
          <w:marBottom w:val="0"/>
          <w:divBdr>
            <w:top w:val="none" w:sz="0" w:space="0" w:color="auto"/>
            <w:left w:val="none" w:sz="0" w:space="0" w:color="auto"/>
            <w:bottom w:val="none" w:sz="0" w:space="0" w:color="auto"/>
            <w:right w:val="none" w:sz="0" w:space="0" w:color="auto"/>
          </w:divBdr>
        </w:div>
        <w:div w:id="1777675249">
          <w:marLeft w:val="432"/>
          <w:marRight w:val="0"/>
          <w:marTop w:val="58"/>
          <w:marBottom w:val="0"/>
          <w:divBdr>
            <w:top w:val="none" w:sz="0" w:space="0" w:color="auto"/>
            <w:left w:val="none" w:sz="0" w:space="0" w:color="auto"/>
            <w:bottom w:val="none" w:sz="0" w:space="0" w:color="auto"/>
            <w:right w:val="none" w:sz="0" w:space="0" w:color="auto"/>
          </w:divBdr>
        </w:div>
      </w:divsChild>
    </w:div>
    <w:div w:id="607354699">
      <w:bodyDiv w:val="1"/>
      <w:marLeft w:val="0"/>
      <w:marRight w:val="0"/>
      <w:marTop w:val="0"/>
      <w:marBottom w:val="0"/>
      <w:divBdr>
        <w:top w:val="none" w:sz="0" w:space="0" w:color="auto"/>
        <w:left w:val="none" w:sz="0" w:space="0" w:color="auto"/>
        <w:bottom w:val="none" w:sz="0" w:space="0" w:color="auto"/>
        <w:right w:val="none" w:sz="0" w:space="0" w:color="auto"/>
      </w:divBdr>
      <w:divsChild>
        <w:div w:id="1964387892">
          <w:marLeft w:val="418"/>
          <w:marRight w:val="0"/>
          <w:marTop w:val="58"/>
          <w:marBottom w:val="0"/>
          <w:divBdr>
            <w:top w:val="none" w:sz="0" w:space="0" w:color="auto"/>
            <w:left w:val="none" w:sz="0" w:space="0" w:color="auto"/>
            <w:bottom w:val="none" w:sz="0" w:space="0" w:color="auto"/>
            <w:right w:val="none" w:sz="0" w:space="0" w:color="auto"/>
          </w:divBdr>
        </w:div>
      </w:divsChild>
    </w:div>
    <w:div w:id="624655975">
      <w:bodyDiv w:val="1"/>
      <w:marLeft w:val="0"/>
      <w:marRight w:val="0"/>
      <w:marTop w:val="0"/>
      <w:marBottom w:val="0"/>
      <w:divBdr>
        <w:top w:val="none" w:sz="0" w:space="0" w:color="auto"/>
        <w:left w:val="none" w:sz="0" w:space="0" w:color="auto"/>
        <w:bottom w:val="none" w:sz="0" w:space="0" w:color="auto"/>
        <w:right w:val="none" w:sz="0" w:space="0" w:color="auto"/>
      </w:divBdr>
    </w:div>
    <w:div w:id="635188066">
      <w:bodyDiv w:val="1"/>
      <w:marLeft w:val="0"/>
      <w:marRight w:val="0"/>
      <w:marTop w:val="0"/>
      <w:marBottom w:val="0"/>
      <w:divBdr>
        <w:top w:val="none" w:sz="0" w:space="0" w:color="auto"/>
        <w:left w:val="none" w:sz="0" w:space="0" w:color="auto"/>
        <w:bottom w:val="none" w:sz="0" w:space="0" w:color="auto"/>
        <w:right w:val="none" w:sz="0" w:space="0" w:color="auto"/>
      </w:divBdr>
    </w:div>
    <w:div w:id="668599437">
      <w:bodyDiv w:val="1"/>
      <w:marLeft w:val="0"/>
      <w:marRight w:val="0"/>
      <w:marTop w:val="0"/>
      <w:marBottom w:val="0"/>
      <w:divBdr>
        <w:top w:val="none" w:sz="0" w:space="0" w:color="auto"/>
        <w:left w:val="none" w:sz="0" w:space="0" w:color="auto"/>
        <w:bottom w:val="none" w:sz="0" w:space="0" w:color="auto"/>
        <w:right w:val="none" w:sz="0" w:space="0" w:color="auto"/>
      </w:divBdr>
    </w:div>
    <w:div w:id="696392133">
      <w:bodyDiv w:val="1"/>
      <w:marLeft w:val="0"/>
      <w:marRight w:val="0"/>
      <w:marTop w:val="0"/>
      <w:marBottom w:val="0"/>
      <w:divBdr>
        <w:top w:val="none" w:sz="0" w:space="0" w:color="auto"/>
        <w:left w:val="none" w:sz="0" w:space="0" w:color="auto"/>
        <w:bottom w:val="none" w:sz="0" w:space="0" w:color="auto"/>
        <w:right w:val="none" w:sz="0" w:space="0" w:color="auto"/>
      </w:divBdr>
      <w:divsChild>
        <w:div w:id="657995617">
          <w:marLeft w:val="418"/>
          <w:marRight w:val="0"/>
          <w:marTop w:val="58"/>
          <w:marBottom w:val="0"/>
          <w:divBdr>
            <w:top w:val="none" w:sz="0" w:space="0" w:color="auto"/>
            <w:left w:val="none" w:sz="0" w:space="0" w:color="auto"/>
            <w:bottom w:val="none" w:sz="0" w:space="0" w:color="auto"/>
            <w:right w:val="none" w:sz="0" w:space="0" w:color="auto"/>
          </w:divBdr>
        </w:div>
        <w:div w:id="786776570">
          <w:marLeft w:val="418"/>
          <w:marRight w:val="0"/>
          <w:marTop w:val="58"/>
          <w:marBottom w:val="0"/>
          <w:divBdr>
            <w:top w:val="none" w:sz="0" w:space="0" w:color="auto"/>
            <w:left w:val="none" w:sz="0" w:space="0" w:color="auto"/>
            <w:bottom w:val="none" w:sz="0" w:space="0" w:color="auto"/>
            <w:right w:val="none" w:sz="0" w:space="0" w:color="auto"/>
          </w:divBdr>
        </w:div>
        <w:div w:id="840244928">
          <w:marLeft w:val="418"/>
          <w:marRight w:val="0"/>
          <w:marTop w:val="58"/>
          <w:marBottom w:val="0"/>
          <w:divBdr>
            <w:top w:val="none" w:sz="0" w:space="0" w:color="auto"/>
            <w:left w:val="none" w:sz="0" w:space="0" w:color="auto"/>
            <w:bottom w:val="none" w:sz="0" w:space="0" w:color="auto"/>
            <w:right w:val="none" w:sz="0" w:space="0" w:color="auto"/>
          </w:divBdr>
        </w:div>
        <w:div w:id="867371857">
          <w:marLeft w:val="418"/>
          <w:marRight w:val="0"/>
          <w:marTop w:val="58"/>
          <w:marBottom w:val="0"/>
          <w:divBdr>
            <w:top w:val="none" w:sz="0" w:space="0" w:color="auto"/>
            <w:left w:val="none" w:sz="0" w:space="0" w:color="auto"/>
            <w:bottom w:val="none" w:sz="0" w:space="0" w:color="auto"/>
            <w:right w:val="none" w:sz="0" w:space="0" w:color="auto"/>
          </w:divBdr>
        </w:div>
        <w:div w:id="1824739862">
          <w:marLeft w:val="418"/>
          <w:marRight w:val="0"/>
          <w:marTop w:val="58"/>
          <w:marBottom w:val="0"/>
          <w:divBdr>
            <w:top w:val="none" w:sz="0" w:space="0" w:color="auto"/>
            <w:left w:val="none" w:sz="0" w:space="0" w:color="auto"/>
            <w:bottom w:val="none" w:sz="0" w:space="0" w:color="auto"/>
            <w:right w:val="none" w:sz="0" w:space="0" w:color="auto"/>
          </w:divBdr>
        </w:div>
      </w:divsChild>
    </w:div>
    <w:div w:id="708607772">
      <w:bodyDiv w:val="1"/>
      <w:marLeft w:val="0"/>
      <w:marRight w:val="0"/>
      <w:marTop w:val="0"/>
      <w:marBottom w:val="0"/>
      <w:divBdr>
        <w:top w:val="none" w:sz="0" w:space="0" w:color="auto"/>
        <w:left w:val="none" w:sz="0" w:space="0" w:color="auto"/>
        <w:bottom w:val="none" w:sz="0" w:space="0" w:color="auto"/>
        <w:right w:val="none" w:sz="0" w:space="0" w:color="auto"/>
      </w:divBdr>
      <w:divsChild>
        <w:div w:id="158234010">
          <w:marLeft w:val="432"/>
          <w:marRight w:val="0"/>
          <w:marTop w:val="58"/>
          <w:marBottom w:val="0"/>
          <w:divBdr>
            <w:top w:val="none" w:sz="0" w:space="0" w:color="auto"/>
            <w:left w:val="none" w:sz="0" w:space="0" w:color="auto"/>
            <w:bottom w:val="none" w:sz="0" w:space="0" w:color="auto"/>
            <w:right w:val="none" w:sz="0" w:space="0" w:color="auto"/>
          </w:divBdr>
        </w:div>
        <w:div w:id="163012301">
          <w:marLeft w:val="432"/>
          <w:marRight w:val="0"/>
          <w:marTop w:val="58"/>
          <w:marBottom w:val="0"/>
          <w:divBdr>
            <w:top w:val="none" w:sz="0" w:space="0" w:color="auto"/>
            <w:left w:val="none" w:sz="0" w:space="0" w:color="auto"/>
            <w:bottom w:val="none" w:sz="0" w:space="0" w:color="auto"/>
            <w:right w:val="none" w:sz="0" w:space="0" w:color="auto"/>
          </w:divBdr>
        </w:div>
        <w:div w:id="377974924">
          <w:marLeft w:val="432"/>
          <w:marRight w:val="0"/>
          <w:marTop w:val="58"/>
          <w:marBottom w:val="0"/>
          <w:divBdr>
            <w:top w:val="none" w:sz="0" w:space="0" w:color="auto"/>
            <w:left w:val="none" w:sz="0" w:space="0" w:color="auto"/>
            <w:bottom w:val="none" w:sz="0" w:space="0" w:color="auto"/>
            <w:right w:val="none" w:sz="0" w:space="0" w:color="auto"/>
          </w:divBdr>
        </w:div>
        <w:div w:id="859078424">
          <w:marLeft w:val="432"/>
          <w:marRight w:val="0"/>
          <w:marTop w:val="58"/>
          <w:marBottom w:val="0"/>
          <w:divBdr>
            <w:top w:val="none" w:sz="0" w:space="0" w:color="auto"/>
            <w:left w:val="none" w:sz="0" w:space="0" w:color="auto"/>
            <w:bottom w:val="none" w:sz="0" w:space="0" w:color="auto"/>
            <w:right w:val="none" w:sz="0" w:space="0" w:color="auto"/>
          </w:divBdr>
        </w:div>
        <w:div w:id="871307386">
          <w:marLeft w:val="432"/>
          <w:marRight w:val="0"/>
          <w:marTop w:val="58"/>
          <w:marBottom w:val="0"/>
          <w:divBdr>
            <w:top w:val="none" w:sz="0" w:space="0" w:color="auto"/>
            <w:left w:val="none" w:sz="0" w:space="0" w:color="auto"/>
            <w:bottom w:val="none" w:sz="0" w:space="0" w:color="auto"/>
            <w:right w:val="none" w:sz="0" w:space="0" w:color="auto"/>
          </w:divBdr>
        </w:div>
        <w:div w:id="1406302624">
          <w:marLeft w:val="432"/>
          <w:marRight w:val="0"/>
          <w:marTop w:val="58"/>
          <w:marBottom w:val="0"/>
          <w:divBdr>
            <w:top w:val="none" w:sz="0" w:space="0" w:color="auto"/>
            <w:left w:val="none" w:sz="0" w:space="0" w:color="auto"/>
            <w:bottom w:val="none" w:sz="0" w:space="0" w:color="auto"/>
            <w:right w:val="none" w:sz="0" w:space="0" w:color="auto"/>
          </w:divBdr>
        </w:div>
        <w:div w:id="1548445943">
          <w:marLeft w:val="432"/>
          <w:marRight w:val="0"/>
          <w:marTop w:val="58"/>
          <w:marBottom w:val="0"/>
          <w:divBdr>
            <w:top w:val="none" w:sz="0" w:space="0" w:color="auto"/>
            <w:left w:val="none" w:sz="0" w:space="0" w:color="auto"/>
            <w:bottom w:val="none" w:sz="0" w:space="0" w:color="auto"/>
            <w:right w:val="none" w:sz="0" w:space="0" w:color="auto"/>
          </w:divBdr>
        </w:div>
        <w:div w:id="1678341990">
          <w:marLeft w:val="432"/>
          <w:marRight w:val="0"/>
          <w:marTop w:val="58"/>
          <w:marBottom w:val="0"/>
          <w:divBdr>
            <w:top w:val="none" w:sz="0" w:space="0" w:color="auto"/>
            <w:left w:val="none" w:sz="0" w:space="0" w:color="auto"/>
            <w:bottom w:val="none" w:sz="0" w:space="0" w:color="auto"/>
            <w:right w:val="none" w:sz="0" w:space="0" w:color="auto"/>
          </w:divBdr>
        </w:div>
        <w:div w:id="1811556586">
          <w:marLeft w:val="432"/>
          <w:marRight w:val="0"/>
          <w:marTop w:val="58"/>
          <w:marBottom w:val="0"/>
          <w:divBdr>
            <w:top w:val="none" w:sz="0" w:space="0" w:color="auto"/>
            <w:left w:val="none" w:sz="0" w:space="0" w:color="auto"/>
            <w:bottom w:val="none" w:sz="0" w:space="0" w:color="auto"/>
            <w:right w:val="none" w:sz="0" w:space="0" w:color="auto"/>
          </w:divBdr>
        </w:div>
      </w:divsChild>
    </w:div>
    <w:div w:id="739211444">
      <w:bodyDiv w:val="1"/>
      <w:marLeft w:val="0"/>
      <w:marRight w:val="0"/>
      <w:marTop w:val="0"/>
      <w:marBottom w:val="0"/>
      <w:divBdr>
        <w:top w:val="none" w:sz="0" w:space="0" w:color="auto"/>
        <w:left w:val="none" w:sz="0" w:space="0" w:color="auto"/>
        <w:bottom w:val="none" w:sz="0" w:space="0" w:color="auto"/>
        <w:right w:val="none" w:sz="0" w:space="0" w:color="auto"/>
      </w:divBdr>
    </w:div>
    <w:div w:id="821508236">
      <w:bodyDiv w:val="1"/>
      <w:marLeft w:val="0"/>
      <w:marRight w:val="0"/>
      <w:marTop w:val="0"/>
      <w:marBottom w:val="0"/>
      <w:divBdr>
        <w:top w:val="none" w:sz="0" w:space="0" w:color="auto"/>
        <w:left w:val="none" w:sz="0" w:space="0" w:color="auto"/>
        <w:bottom w:val="none" w:sz="0" w:space="0" w:color="auto"/>
        <w:right w:val="none" w:sz="0" w:space="0" w:color="auto"/>
      </w:divBdr>
      <w:divsChild>
        <w:div w:id="1610236830">
          <w:marLeft w:val="418"/>
          <w:marRight w:val="0"/>
          <w:marTop w:val="58"/>
          <w:marBottom w:val="0"/>
          <w:divBdr>
            <w:top w:val="none" w:sz="0" w:space="0" w:color="auto"/>
            <w:left w:val="none" w:sz="0" w:space="0" w:color="auto"/>
            <w:bottom w:val="none" w:sz="0" w:space="0" w:color="auto"/>
            <w:right w:val="none" w:sz="0" w:space="0" w:color="auto"/>
          </w:divBdr>
        </w:div>
      </w:divsChild>
    </w:div>
    <w:div w:id="844898439">
      <w:bodyDiv w:val="1"/>
      <w:marLeft w:val="0"/>
      <w:marRight w:val="0"/>
      <w:marTop w:val="0"/>
      <w:marBottom w:val="0"/>
      <w:divBdr>
        <w:top w:val="none" w:sz="0" w:space="0" w:color="auto"/>
        <w:left w:val="none" w:sz="0" w:space="0" w:color="auto"/>
        <w:bottom w:val="none" w:sz="0" w:space="0" w:color="auto"/>
        <w:right w:val="none" w:sz="0" w:space="0" w:color="auto"/>
      </w:divBdr>
    </w:div>
    <w:div w:id="855654498">
      <w:bodyDiv w:val="1"/>
      <w:marLeft w:val="0"/>
      <w:marRight w:val="0"/>
      <w:marTop w:val="0"/>
      <w:marBottom w:val="0"/>
      <w:divBdr>
        <w:top w:val="none" w:sz="0" w:space="0" w:color="auto"/>
        <w:left w:val="none" w:sz="0" w:space="0" w:color="auto"/>
        <w:bottom w:val="none" w:sz="0" w:space="0" w:color="auto"/>
        <w:right w:val="none" w:sz="0" w:space="0" w:color="auto"/>
      </w:divBdr>
    </w:div>
    <w:div w:id="878399368">
      <w:bodyDiv w:val="1"/>
      <w:marLeft w:val="0"/>
      <w:marRight w:val="0"/>
      <w:marTop w:val="0"/>
      <w:marBottom w:val="0"/>
      <w:divBdr>
        <w:top w:val="none" w:sz="0" w:space="0" w:color="auto"/>
        <w:left w:val="none" w:sz="0" w:space="0" w:color="auto"/>
        <w:bottom w:val="none" w:sz="0" w:space="0" w:color="auto"/>
        <w:right w:val="none" w:sz="0" w:space="0" w:color="auto"/>
      </w:divBdr>
    </w:div>
    <w:div w:id="903217478">
      <w:bodyDiv w:val="1"/>
      <w:marLeft w:val="0"/>
      <w:marRight w:val="0"/>
      <w:marTop w:val="0"/>
      <w:marBottom w:val="0"/>
      <w:divBdr>
        <w:top w:val="none" w:sz="0" w:space="0" w:color="auto"/>
        <w:left w:val="none" w:sz="0" w:space="0" w:color="auto"/>
        <w:bottom w:val="none" w:sz="0" w:space="0" w:color="auto"/>
        <w:right w:val="none" w:sz="0" w:space="0" w:color="auto"/>
      </w:divBdr>
      <w:divsChild>
        <w:div w:id="405610853">
          <w:marLeft w:val="418"/>
          <w:marRight w:val="0"/>
          <w:marTop w:val="58"/>
          <w:marBottom w:val="0"/>
          <w:divBdr>
            <w:top w:val="none" w:sz="0" w:space="0" w:color="auto"/>
            <w:left w:val="none" w:sz="0" w:space="0" w:color="auto"/>
            <w:bottom w:val="none" w:sz="0" w:space="0" w:color="auto"/>
            <w:right w:val="none" w:sz="0" w:space="0" w:color="auto"/>
          </w:divBdr>
        </w:div>
        <w:div w:id="974990827">
          <w:marLeft w:val="418"/>
          <w:marRight w:val="0"/>
          <w:marTop w:val="58"/>
          <w:marBottom w:val="0"/>
          <w:divBdr>
            <w:top w:val="none" w:sz="0" w:space="0" w:color="auto"/>
            <w:left w:val="none" w:sz="0" w:space="0" w:color="auto"/>
            <w:bottom w:val="none" w:sz="0" w:space="0" w:color="auto"/>
            <w:right w:val="none" w:sz="0" w:space="0" w:color="auto"/>
          </w:divBdr>
        </w:div>
      </w:divsChild>
    </w:div>
    <w:div w:id="918447204">
      <w:bodyDiv w:val="1"/>
      <w:marLeft w:val="0"/>
      <w:marRight w:val="0"/>
      <w:marTop w:val="0"/>
      <w:marBottom w:val="0"/>
      <w:divBdr>
        <w:top w:val="none" w:sz="0" w:space="0" w:color="auto"/>
        <w:left w:val="none" w:sz="0" w:space="0" w:color="auto"/>
        <w:bottom w:val="none" w:sz="0" w:space="0" w:color="auto"/>
        <w:right w:val="none" w:sz="0" w:space="0" w:color="auto"/>
      </w:divBdr>
    </w:div>
    <w:div w:id="935015568">
      <w:bodyDiv w:val="1"/>
      <w:marLeft w:val="0"/>
      <w:marRight w:val="0"/>
      <w:marTop w:val="0"/>
      <w:marBottom w:val="0"/>
      <w:divBdr>
        <w:top w:val="none" w:sz="0" w:space="0" w:color="auto"/>
        <w:left w:val="none" w:sz="0" w:space="0" w:color="auto"/>
        <w:bottom w:val="none" w:sz="0" w:space="0" w:color="auto"/>
        <w:right w:val="none" w:sz="0" w:space="0" w:color="auto"/>
      </w:divBdr>
    </w:div>
    <w:div w:id="943658244">
      <w:bodyDiv w:val="1"/>
      <w:marLeft w:val="0"/>
      <w:marRight w:val="0"/>
      <w:marTop w:val="0"/>
      <w:marBottom w:val="0"/>
      <w:divBdr>
        <w:top w:val="none" w:sz="0" w:space="0" w:color="auto"/>
        <w:left w:val="none" w:sz="0" w:space="0" w:color="auto"/>
        <w:bottom w:val="none" w:sz="0" w:space="0" w:color="auto"/>
        <w:right w:val="none" w:sz="0" w:space="0" w:color="auto"/>
      </w:divBdr>
    </w:div>
    <w:div w:id="944968542">
      <w:bodyDiv w:val="1"/>
      <w:marLeft w:val="0"/>
      <w:marRight w:val="0"/>
      <w:marTop w:val="0"/>
      <w:marBottom w:val="0"/>
      <w:divBdr>
        <w:top w:val="none" w:sz="0" w:space="0" w:color="auto"/>
        <w:left w:val="none" w:sz="0" w:space="0" w:color="auto"/>
        <w:bottom w:val="none" w:sz="0" w:space="0" w:color="auto"/>
        <w:right w:val="none" w:sz="0" w:space="0" w:color="auto"/>
      </w:divBdr>
    </w:div>
    <w:div w:id="957756553">
      <w:bodyDiv w:val="1"/>
      <w:marLeft w:val="0"/>
      <w:marRight w:val="0"/>
      <w:marTop w:val="0"/>
      <w:marBottom w:val="0"/>
      <w:divBdr>
        <w:top w:val="none" w:sz="0" w:space="0" w:color="auto"/>
        <w:left w:val="none" w:sz="0" w:space="0" w:color="auto"/>
        <w:bottom w:val="none" w:sz="0" w:space="0" w:color="auto"/>
        <w:right w:val="none" w:sz="0" w:space="0" w:color="auto"/>
      </w:divBdr>
      <w:divsChild>
        <w:div w:id="1470711414">
          <w:marLeft w:val="418"/>
          <w:marRight w:val="0"/>
          <w:marTop w:val="58"/>
          <w:marBottom w:val="0"/>
          <w:divBdr>
            <w:top w:val="none" w:sz="0" w:space="0" w:color="auto"/>
            <w:left w:val="none" w:sz="0" w:space="0" w:color="auto"/>
            <w:bottom w:val="none" w:sz="0" w:space="0" w:color="auto"/>
            <w:right w:val="none" w:sz="0" w:space="0" w:color="auto"/>
          </w:divBdr>
        </w:div>
      </w:divsChild>
    </w:div>
    <w:div w:id="968440875">
      <w:bodyDiv w:val="1"/>
      <w:marLeft w:val="0"/>
      <w:marRight w:val="0"/>
      <w:marTop w:val="0"/>
      <w:marBottom w:val="0"/>
      <w:divBdr>
        <w:top w:val="none" w:sz="0" w:space="0" w:color="auto"/>
        <w:left w:val="none" w:sz="0" w:space="0" w:color="auto"/>
        <w:bottom w:val="none" w:sz="0" w:space="0" w:color="auto"/>
        <w:right w:val="none" w:sz="0" w:space="0" w:color="auto"/>
      </w:divBdr>
    </w:div>
    <w:div w:id="993876217">
      <w:bodyDiv w:val="1"/>
      <w:marLeft w:val="0"/>
      <w:marRight w:val="0"/>
      <w:marTop w:val="0"/>
      <w:marBottom w:val="0"/>
      <w:divBdr>
        <w:top w:val="none" w:sz="0" w:space="0" w:color="auto"/>
        <w:left w:val="none" w:sz="0" w:space="0" w:color="auto"/>
        <w:bottom w:val="none" w:sz="0" w:space="0" w:color="auto"/>
        <w:right w:val="none" w:sz="0" w:space="0" w:color="auto"/>
      </w:divBdr>
    </w:div>
    <w:div w:id="994913877">
      <w:bodyDiv w:val="1"/>
      <w:marLeft w:val="0"/>
      <w:marRight w:val="0"/>
      <w:marTop w:val="0"/>
      <w:marBottom w:val="0"/>
      <w:divBdr>
        <w:top w:val="none" w:sz="0" w:space="0" w:color="auto"/>
        <w:left w:val="none" w:sz="0" w:space="0" w:color="auto"/>
        <w:bottom w:val="none" w:sz="0" w:space="0" w:color="auto"/>
        <w:right w:val="none" w:sz="0" w:space="0" w:color="auto"/>
      </w:divBdr>
    </w:div>
    <w:div w:id="997920087">
      <w:bodyDiv w:val="1"/>
      <w:marLeft w:val="0"/>
      <w:marRight w:val="0"/>
      <w:marTop w:val="0"/>
      <w:marBottom w:val="0"/>
      <w:divBdr>
        <w:top w:val="none" w:sz="0" w:space="0" w:color="auto"/>
        <w:left w:val="none" w:sz="0" w:space="0" w:color="auto"/>
        <w:bottom w:val="none" w:sz="0" w:space="0" w:color="auto"/>
        <w:right w:val="none" w:sz="0" w:space="0" w:color="auto"/>
      </w:divBdr>
    </w:div>
    <w:div w:id="997998038">
      <w:bodyDiv w:val="1"/>
      <w:marLeft w:val="0"/>
      <w:marRight w:val="0"/>
      <w:marTop w:val="0"/>
      <w:marBottom w:val="0"/>
      <w:divBdr>
        <w:top w:val="none" w:sz="0" w:space="0" w:color="auto"/>
        <w:left w:val="none" w:sz="0" w:space="0" w:color="auto"/>
        <w:bottom w:val="none" w:sz="0" w:space="0" w:color="auto"/>
        <w:right w:val="none" w:sz="0" w:space="0" w:color="auto"/>
      </w:divBdr>
      <w:divsChild>
        <w:div w:id="176119452">
          <w:marLeft w:val="432"/>
          <w:marRight w:val="0"/>
          <w:marTop w:val="58"/>
          <w:marBottom w:val="0"/>
          <w:divBdr>
            <w:top w:val="none" w:sz="0" w:space="0" w:color="auto"/>
            <w:left w:val="none" w:sz="0" w:space="0" w:color="auto"/>
            <w:bottom w:val="none" w:sz="0" w:space="0" w:color="auto"/>
            <w:right w:val="none" w:sz="0" w:space="0" w:color="auto"/>
          </w:divBdr>
        </w:div>
        <w:div w:id="1081874921">
          <w:marLeft w:val="432"/>
          <w:marRight w:val="0"/>
          <w:marTop w:val="58"/>
          <w:marBottom w:val="0"/>
          <w:divBdr>
            <w:top w:val="none" w:sz="0" w:space="0" w:color="auto"/>
            <w:left w:val="none" w:sz="0" w:space="0" w:color="auto"/>
            <w:bottom w:val="none" w:sz="0" w:space="0" w:color="auto"/>
            <w:right w:val="none" w:sz="0" w:space="0" w:color="auto"/>
          </w:divBdr>
        </w:div>
        <w:div w:id="1509952771">
          <w:marLeft w:val="432"/>
          <w:marRight w:val="0"/>
          <w:marTop w:val="58"/>
          <w:marBottom w:val="0"/>
          <w:divBdr>
            <w:top w:val="none" w:sz="0" w:space="0" w:color="auto"/>
            <w:left w:val="none" w:sz="0" w:space="0" w:color="auto"/>
            <w:bottom w:val="none" w:sz="0" w:space="0" w:color="auto"/>
            <w:right w:val="none" w:sz="0" w:space="0" w:color="auto"/>
          </w:divBdr>
        </w:div>
      </w:divsChild>
    </w:div>
    <w:div w:id="1000430704">
      <w:bodyDiv w:val="1"/>
      <w:marLeft w:val="0"/>
      <w:marRight w:val="0"/>
      <w:marTop w:val="0"/>
      <w:marBottom w:val="0"/>
      <w:divBdr>
        <w:top w:val="none" w:sz="0" w:space="0" w:color="auto"/>
        <w:left w:val="none" w:sz="0" w:space="0" w:color="auto"/>
        <w:bottom w:val="none" w:sz="0" w:space="0" w:color="auto"/>
        <w:right w:val="none" w:sz="0" w:space="0" w:color="auto"/>
      </w:divBdr>
    </w:div>
    <w:div w:id="1012610690">
      <w:bodyDiv w:val="1"/>
      <w:marLeft w:val="0"/>
      <w:marRight w:val="0"/>
      <w:marTop w:val="0"/>
      <w:marBottom w:val="0"/>
      <w:divBdr>
        <w:top w:val="none" w:sz="0" w:space="0" w:color="auto"/>
        <w:left w:val="none" w:sz="0" w:space="0" w:color="auto"/>
        <w:bottom w:val="none" w:sz="0" w:space="0" w:color="auto"/>
        <w:right w:val="none" w:sz="0" w:space="0" w:color="auto"/>
      </w:divBdr>
    </w:div>
    <w:div w:id="1024208214">
      <w:bodyDiv w:val="1"/>
      <w:marLeft w:val="0"/>
      <w:marRight w:val="0"/>
      <w:marTop w:val="0"/>
      <w:marBottom w:val="0"/>
      <w:divBdr>
        <w:top w:val="none" w:sz="0" w:space="0" w:color="auto"/>
        <w:left w:val="none" w:sz="0" w:space="0" w:color="auto"/>
        <w:bottom w:val="none" w:sz="0" w:space="0" w:color="auto"/>
        <w:right w:val="none" w:sz="0" w:space="0" w:color="auto"/>
      </w:divBdr>
    </w:div>
    <w:div w:id="1026759137">
      <w:bodyDiv w:val="1"/>
      <w:marLeft w:val="0"/>
      <w:marRight w:val="0"/>
      <w:marTop w:val="0"/>
      <w:marBottom w:val="0"/>
      <w:divBdr>
        <w:top w:val="none" w:sz="0" w:space="0" w:color="auto"/>
        <w:left w:val="none" w:sz="0" w:space="0" w:color="auto"/>
        <w:bottom w:val="none" w:sz="0" w:space="0" w:color="auto"/>
        <w:right w:val="none" w:sz="0" w:space="0" w:color="auto"/>
      </w:divBdr>
    </w:div>
    <w:div w:id="1029062786">
      <w:bodyDiv w:val="1"/>
      <w:marLeft w:val="0"/>
      <w:marRight w:val="0"/>
      <w:marTop w:val="0"/>
      <w:marBottom w:val="0"/>
      <w:divBdr>
        <w:top w:val="none" w:sz="0" w:space="0" w:color="auto"/>
        <w:left w:val="none" w:sz="0" w:space="0" w:color="auto"/>
        <w:bottom w:val="none" w:sz="0" w:space="0" w:color="auto"/>
        <w:right w:val="none" w:sz="0" w:space="0" w:color="auto"/>
      </w:divBdr>
      <w:divsChild>
        <w:div w:id="95173771">
          <w:marLeft w:val="418"/>
          <w:marRight w:val="0"/>
          <w:marTop w:val="58"/>
          <w:marBottom w:val="0"/>
          <w:divBdr>
            <w:top w:val="none" w:sz="0" w:space="0" w:color="auto"/>
            <w:left w:val="none" w:sz="0" w:space="0" w:color="auto"/>
            <w:bottom w:val="none" w:sz="0" w:space="0" w:color="auto"/>
            <w:right w:val="none" w:sz="0" w:space="0" w:color="auto"/>
          </w:divBdr>
        </w:div>
        <w:div w:id="1071536024">
          <w:marLeft w:val="418"/>
          <w:marRight w:val="0"/>
          <w:marTop w:val="58"/>
          <w:marBottom w:val="0"/>
          <w:divBdr>
            <w:top w:val="none" w:sz="0" w:space="0" w:color="auto"/>
            <w:left w:val="none" w:sz="0" w:space="0" w:color="auto"/>
            <w:bottom w:val="none" w:sz="0" w:space="0" w:color="auto"/>
            <w:right w:val="none" w:sz="0" w:space="0" w:color="auto"/>
          </w:divBdr>
        </w:div>
        <w:div w:id="1848592037">
          <w:marLeft w:val="418"/>
          <w:marRight w:val="0"/>
          <w:marTop w:val="58"/>
          <w:marBottom w:val="0"/>
          <w:divBdr>
            <w:top w:val="none" w:sz="0" w:space="0" w:color="auto"/>
            <w:left w:val="none" w:sz="0" w:space="0" w:color="auto"/>
            <w:bottom w:val="none" w:sz="0" w:space="0" w:color="auto"/>
            <w:right w:val="none" w:sz="0" w:space="0" w:color="auto"/>
          </w:divBdr>
        </w:div>
      </w:divsChild>
    </w:div>
    <w:div w:id="1046682056">
      <w:bodyDiv w:val="1"/>
      <w:marLeft w:val="0"/>
      <w:marRight w:val="0"/>
      <w:marTop w:val="0"/>
      <w:marBottom w:val="0"/>
      <w:divBdr>
        <w:top w:val="none" w:sz="0" w:space="0" w:color="auto"/>
        <w:left w:val="none" w:sz="0" w:space="0" w:color="auto"/>
        <w:bottom w:val="none" w:sz="0" w:space="0" w:color="auto"/>
        <w:right w:val="none" w:sz="0" w:space="0" w:color="auto"/>
      </w:divBdr>
      <w:divsChild>
        <w:div w:id="1320885178">
          <w:marLeft w:val="418"/>
          <w:marRight w:val="0"/>
          <w:marTop w:val="58"/>
          <w:marBottom w:val="0"/>
          <w:divBdr>
            <w:top w:val="none" w:sz="0" w:space="0" w:color="auto"/>
            <w:left w:val="none" w:sz="0" w:space="0" w:color="auto"/>
            <w:bottom w:val="none" w:sz="0" w:space="0" w:color="auto"/>
            <w:right w:val="none" w:sz="0" w:space="0" w:color="auto"/>
          </w:divBdr>
        </w:div>
      </w:divsChild>
    </w:div>
    <w:div w:id="1127120129">
      <w:bodyDiv w:val="1"/>
      <w:marLeft w:val="0"/>
      <w:marRight w:val="0"/>
      <w:marTop w:val="0"/>
      <w:marBottom w:val="0"/>
      <w:divBdr>
        <w:top w:val="none" w:sz="0" w:space="0" w:color="auto"/>
        <w:left w:val="none" w:sz="0" w:space="0" w:color="auto"/>
        <w:bottom w:val="none" w:sz="0" w:space="0" w:color="auto"/>
        <w:right w:val="none" w:sz="0" w:space="0" w:color="auto"/>
      </w:divBdr>
    </w:div>
    <w:div w:id="1160005966">
      <w:bodyDiv w:val="1"/>
      <w:marLeft w:val="0"/>
      <w:marRight w:val="0"/>
      <w:marTop w:val="0"/>
      <w:marBottom w:val="0"/>
      <w:divBdr>
        <w:top w:val="none" w:sz="0" w:space="0" w:color="auto"/>
        <w:left w:val="none" w:sz="0" w:space="0" w:color="auto"/>
        <w:bottom w:val="none" w:sz="0" w:space="0" w:color="auto"/>
        <w:right w:val="none" w:sz="0" w:space="0" w:color="auto"/>
      </w:divBdr>
    </w:div>
    <w:div w:id="1190606382">
      <w:bodyDiv w:val="1"/>
      <w:marLeft w:val="0"/>
      <w:marRight w:val="0"/>
      <w:marTop w:val="0"/>
      <w:marBottom w:val="0"/>
      <w:divBdr>
        <w:top w:val="none" w:sz="0" w:space="0" w:color="auto"/>
        <w:left w:val="none" w:sz="0" w:space="0" w:color="auto"/>
        <w:bottom w:val="none" w:sz="0" w:space="0" w:color="auto"/>
        <w:right w:val="none" w:sz="0" w:space="0" w:color="auto"/>
      </w:divBdr>
    </w:div>
    <w:div w:id="1205823405">
      <w:bodyDiv w:val="1"/>
      <w:marLeft w:val="0"/>
      <w:marRight w:val="0"/>
      <w:marTop w:val="0"/>
      <w:marBottom w:val="0"/>
      <w:divBdr>
        <w:top w:val="none" w:sz="0" w:space="0" w:color="auto"/>
        <w:left w:val="none" w:sz="0" w:space="0" w:color="auto"/>
        <w:bottom w:val="none" w:sz="0" w:space="0" w:color="auto"/>
        <w:right w:val="none" w:sz="0" w:space="0" w:color="auto"/>
      </w:divBdr>
    </w:div>
    <w:div w:id="1211651520">
      <w:bodyDiv w:val="1"/>
      <w:marLeft w:val="0"/>
      <w:marRight w:val="0"/>
      <w:marTop w:val="0"/>
      <w:marBottom w:val="0"/>
      <w:divBdr>
        <w:top w:val="none" w:sz="0" w:space="0" w:color="auto"/>
        <w:left w:val="none" w:sz="0" w:space="0" w:color="auto"/>
        <w:bottom w:val="none" w:sz="0" w:space="0" w:color="auto"/>
        <w:right w:val="none" w:sz="0" w:space="0" w:color="auto"/>
      </w:divBdr>
    </w:div>
    <w:div w:id="1212383038">
      <w:bodyDiv w:val="1"/>
      <w:marLeft w:val="0"/>
      <w:marRight w:val="0"/>
      <w:marTop w:val="0"/>
      <w:marBottom w:val="0"/>
      <w:divBdr>
        <w:top w:val="none" w:sz="0" w:space="0" w:color="auto"/>
        <w:left w:val="none" w:sz="0" w:space="0" w:color="auto"/>
        <w:bottom w:val="none" w:sz="0" w:space="0" w:color="auto"/>
        <w:right w:val="none" w:sz="0" w:space="0" w:color="auto"/>
      </w:divBdr>
    </w:div>
    <w:div w:id="1242371094">
      <w:bodyDiv w:val="1"/>
      <w:marLeft w:val="0"/>
      <w:marRight w:val="0"/>
      <w:marTop w:val="0"/>
      <w:marBottom w:val="0"/>
      <w:divBdr>
        <w:top w:val="none" w:sz="0" w:space="0" w:color="auto"/>
        <w:left w:val="none" w:sz="0" w:space="0" w:color="auto"/>
        <w:bottom w:val="none" w:sz="0" w:space="0" w:color="auto"/>
        <w:right w:val="none" w:sz="0" w:space="0" w:color="auto"/>
      </w:divBdr>
    </w:div>
    <w:div w:id="1252423468">
      <w:bodyDiv w:val="1"/>
      <w:marLeft w:val="0"/>
      <w:marRight w:val="0"/>
      <w:marTop w:val="0"/>
      <w:marBottom w:val="0"/>
      <w:divBdr>
        <w:top w:val="none" w:sz="0" w:space="0" w:color="auto"/>
        <w:left w:val="none" w:sz="0" w:space="0" w:color="auto"/>
        <w:bottom w:val="none" w:sz="0" w:space="0" w:color="auto"/>
        <w:right w:val="none" w:sz="0" w:space="0" w:color="auto"/>
      </w:divBdr>
    </w:div>
    <w:div w:id="1257441079">
      <w:bodyDiv w:val="1"/>
      <w:marLeft w:val="0"/>
      <w:marRight w:val="0"/>
      <w:marTop w:val="0"/>
      <w:marBottom w:val="0"/>
      <w:divBdr>
        <w:top w:val="none" w:sz="0" w:space="0" w:color="auto"/>
        <w:left w:val="none" w:sz="0" w:space="0" w:color="auto"/>
        <w:bottom w:val="none" w:sz="0" w:space="0" w:color="auto"/>
        <w:right w:val="none" w:sz="0" w:space="0" w:color="auto"/>
      </w:divBdr>
      <w:divsChild>
        <w:div w:id="805706140">
          <w:marLeft w:val="418"/>
          <w:marRight w:val="0"/>
          <w:marTop w:val="58"/>
          <w:marBottom w:val="0"/>
          <w:divBdr>
            <w:top w:val="none" w:sz="0" w:space="0" w:color="auto"/>
            <w:left w:val="none" w:sz="0" w:space="0" w:color="auto"/>
            <w:bottom w:val="none" w:sz="0" w:space="0" w:color="auto"/>
            <w:right w:val="none" w:sz="0" w:space="0" w:color="auto"/>
          </w:divBdr>
        </w:div>
        <w:div w:id="1175995749">
          <w:marLeft w:val="418"/>
          <w:marRight w:val="0"/>
          <w:marTop w:val="58"/>
          <w:marBottom w:val="0"/>
          <w:divBdr>
            <w:top w:val="none" w:sz="0" w:space="0" w:color="auto"/>
            <w:left w:val="none" w:sz="0" w:space="0" w:color="auto"/>
            <w:bottom w:val="none" w:sz="0" w:space="0" w:color="auto"/>
            <w:right w:val="none" w:sz="0" w:space="0" w:color="auto"/>
          </w:divBdr>
        </w:div>
        <w:div w:id="1992562739">
          <w:marLeft w:val="418"/>
          <w:marRight w:val="0"/>
          <w:marTop w:val="58"/>
          <w:marBottom w:val="0"/>
          <w:divBdr>
            <w:top w:val="none" w:sz="0" w:space="0" w:color="auto"/>
            <w:left w:val="none" w:sz="0" w:space="0" w:color="auto"/>
            <w:bottom w:val="none" w:sz="0" w:space="0" w:color="auto"/>
            <w:right w:val="none" w:sz="0" w:space="0" w:color="auto"/>
          </w:divBdr>
        </w:div>
        <w:div w:id="2070373758">
          <w:marLeft w:val="418"/>
          <w:marRight w:val="0"/>
          <w:marTop w:val="58"/>
          <w:marBottom w:val="0"/>
          <w:divBdr>
            <w:top w:val="none" w:sz="0" w:space="0" w:color="auto"/>
            <w:left w:val="none" w:sz="0" w:space="0" w:color="auto"/>
            <w:bottom w:val="none" w:sz="0" w:space="0" w:color="auto"/>
            <w:right w:val="none" w:sz="0" w:space="0" w:color="auto"/>
          </w:divBdr>
        </w:div>
      </w:divsChild>
    </w:div>
    <w:div w:id="1294754202">
      <w:bodyDiv w:val="1"/>
      <w:marLeft w:val="0"/>
      <w:marRight w:val="0"/>
      <w:marTop w:val="0"/>
      <w:marBottom w:val="0"/>
      <w:divBdr>
        <w:top w:val="none" w:sz="0" w:space="0" w:color="auto"/>
        <w:left w:val="none" w:sz="0" w:space="0" w:color="auto"/>
        <w:bottom w:val="none" w:sz="0" w:space="0" w:color="auto"/>
        <w:right w:val="none" w:sz="0" w:space="0" w:color="auto"/>
      </w:divBdr>
    </w:div>
    <w:div w:id="1310525215">
      <w:bodyDiv w:val="1"/>
      <w:marLeft w:val="0"/>
      <w:marRight w:val="0"/>
      <w:marTop w:val="0"/>
      <w:marBottom w:val="0"/>
      <w:divBdr>
        <w:top w:val="none" w:sz="0" w:space="0" w:color="auto"/>
        <w:left w:val="none" w:sz="0" w:space="0" w:color="auto"/>
        <w:bottom w:val="none" w:sz="0" w:space="0" w:color="auto"/>
        <w:right w:val="none" w:sz="0" w:space="0" w:color="auto"/>
      </w:divBdr>
    </w:div>
    <w:div w:id="1332291281">
      <w:bodyDiv w:val="1"/>
      <w:marLeft w:val="0"/>
      <w:marRight w:val="0"/>
      <w:marTop w:val="0"/>
      <w:marBottom w:val="0"/>
      <w:divBdr>
        <w:top w:val="none" w:sz="0" w:space="0" w:color="auto"/>
        <w:left w:val="none" w:sz="0" w:space="0" w:color="auto"/>
        <w:bottom w:val="none" w:sz="0" w:space="0" w:color="auto"/>
        <w:right w:val="none" w:sz="0" w:space="0" w:color="auto"/>
      </w:divBdr>
    </w:div>
    <w:div w:id="1343895979">
      <w:bodyDiv w:val="1"/>
      <w:marLeft w:val="0"/>
      <w:marRight w:val="0"/>
      <w:marTop w:val="0"/>
      <w:marBottom w:val="0"/>
      <w:divBdr>
        <w:top w:val="none" w:sz="0" w:space="0" w:color="auto"/>
        <w:left w:val="none" w:sz="0" w:space="0" w:color="auto"/>
        <w:bottom w:val="none" w:sz="0" w:space="0" w:color="auto"/>
        <w:right w:val="none" w:sz="0" w:space="0" w:color="auto"/>
      </w:divBdr>
      <w:divsChild>
        <w:div w:id="264770619">
          <w:marLeft w:val="418"/>
          <w:marRight w:val="0"/>
          <w:marTop w:val="58"/>
          <w:marBottom w:val="0"/>
          <w:divBdr>
            <w:top w:val="none" w:sz="0" w:space="0" w:color="auto"/>
            <w:left w:val="none" w:sz="0" w:space="0" w:color="auto"/>
            <w:bottom w:val="none" w:sz="0" w:space="0" w:color="auto"/>
            <w:right w:val="none" w:sz="0" w:space="0" w:color="auto"/>
          </w:divBdr>
        </w:div>
        <w:div w:id="912811437">
          <w:marLeft w:val="418"/>
          <w:marRight w:val="0"/>
          <w:marTop w:val="58"/>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348367820">
      <w:bodyDiv w:val="1"/>
      <w:marLeft w:val="0"/>
      <w:marRight w:val="0"/>
      <w:marTop w:val="0"/>
      <w:marBottom w:val="0"/>
      <w:divBdr>
        <w:top w:val="none" w:sz="0" w:space="0" w:color="auto"/>
        <w:left w:val="none" w:sz="0" w:space="0" w:color="auto"/>
        <w:bottom w:val="none" w:sz="0" w:space="0" w:color="auto"/>
        <w:right w:val="none" w:sz="0" w:space="0" w:color="auto"/>
      </w:divBdr>
      <w:divsChild>
        <w:div w:id="115805362">
          <w:marLeft w:val="418"/>
          <w:marRight w:val="0"/>
          <w:marTop w:val="58"/>
          <w:marBottom w:val="0"/>
          <w:divBdr>
            <w:top w:val="none" w:sz="0" w:space="0" w:color="auto"/>
            <w:left w:val="none" w:sz="0" w:space="0" w:color="auto"/>
            <w:bottom w:val="none" w:sz="0" w:space="0" w:color="auto"/>
            <w:right w:val="none" w:sz="0" w:space="0" w:color="auto"/>
          </w:divBdr>
        </w:div>
        <w:div w:id="144705652">
          <w:marLeft w:val="418"/>
          <w:marRight w:val="0"/>
          <w:marTop w:val="58"/>
          <w:marBottom w:val="0"/>
          <w:divBdr>
            <w:top w:val="none" w:sz="0" w:space="0" w:color="auto"/>
            <w:left w:val="none" w:sz="0" w:space="0" w:color="auto"/>
            <w:bottom w:val="none" w:sz="0" w:space="0" w:color="auto"/>
            <w:right w:val="none" w:sz="0" w:space="0" w:color="auto"/>
          </w:divBdr>
        </w:div>
        <w:div w:id="789592166">
          <w:marLeft w:val="1123"/>
          <w:marRight w:val="0"/>
          <w:marTop w:val="58"/>
          <w:marBottom w:val="0"/>
          <w:divBdr>
            <w:top w:val="none" w:sz="0" w:space="0" w:color="auto"/>
            <w:left w:val="none" w:sz="0" w:space="0" w:color="auto"/>
            <w:bottom w:val="none" w:sz="0" w:space="0" w:color="auto"/>
            <w:right w:val="none" w:sz="0" w:space="0" w:color="auto"/>
          </w:divBdr>
        </w:div>
        <w:div w:id="1064253323">
          <w:marLeft w:val="1123"/>
          <w:marRight w:val="0"/>
          <w:marTop w:val="58"/>
          <w:marBottom w:val="0"/>
          <w:divBdr>
            <w:top w:val="none" w:sz="0" w:space="0" w:color="auto"/>
            <w:left w:val="none" w:sz="0" w:space="0" w:color="auto"/>
            <w:bottom w:val="none" w:sz="0" w:space="0" w:color="auto"/>
            <w:right w:val="none" w:sz="0" w:space="0" w:color="auto"/>
          </w:divBdr>
        </w:div>
        <w:div w:id="1139763866">
          <w:marLeft w:val="418"/>
          <w:marRight w:val="0"/>
          <w:marTop w:val="58"/>
          <w:marBottom w:val="0"/>
          <w:divBdr>
            <w:top w:val="none" w:sz="0" w:space="0" w:color="auto"/>
            <w:left w:val="none" w:sz="0" w:space="0" w:color="auto"/>
            <w:bottom w:val="none" w:sz="0" w:space="0" w:color="auto"/>
            <w:right w:val="none" w:sz="0" w:space="0" w:color="auto"/>
          </w:divBdr>
        </w:div>
        <w:div w:id="1480197302">
          <w:marLeft w:val="1123"/>
          <w:marRight w:val="0"/>
          <w:marTop w:val="58"/>
          <w:marBottom w:val="0"/>
          <w:divBdr>
            <w:top w:val="none" w:sz="0" w:space="0" w:color="auto"/>
            <w:left w:val="none" w:sz="0" w:space="0" w:color="auto"/>
            <w:bottom w:val="none" w:sz="0" w:space="0" w:color="auto"/>
            <w:right w:val="none" w:sz="0" w:space="0" w:color="auto"/>
          </w:divBdr>
        </w:div>
      </w:divsChild>
    </w:div>
    <w:div w:id="1349259962">
      <w:bodyDiv w:val="1"/>
      <w:marLeft w:val="0"/>
      <w:marRight w:val="0"/>
      <w:marTop w:val="0"/>
      <w:marBottom w:val="0"/>
      <w:divBdr>
        <w:top w:val="none" w:sz="0" w:space="0" w:color="auto"/>
        <w:left w:val="none" w:sz="0" w:space="0" w:color="auto"/>
        <w:bottom w:val="none" w:sz="0" w:space="0" w:color="auto"/>
        <w:right w:val="none" w:sz="0" w:space="0" w:color="auto"/>
      </w:divBdr>
    </w:div>
    <w:div w:id="1393308250">
      <w:bodyDiv w:val="1"/>
      <w:marLeft w:val="0"/>
      <w:marRight w:val="0"/>
      <w:marTop w:val="0"/>
      <w:marBottom w:val="0"/>
      <w:divBdr>
        <w:top w:val="none" w:sz="0" w:space="0" w:color="auto"/>
        <w:left w:val="none" w:sz="0" w:space="0" w:color="auto"/>
        <w:bottom w:val="none" w:sz="0" w:space="0" w:color="auto"/>
        <w:right w:val="none" w:sz="0" w:space="0" w:color="auto"/>
      </w:divBdr>
      <w:divsChild>
        <w:div w:id="913861358">
          <w:marLeft w:val="418"/>
          <w:marRight w:val="0"/>
          <w:marTop w:val="58"/>
          <w:marBottom w:val="0"/>
          <w:divBdr>
            <w:top w:val="none" w:sz="0" w:space="0" w:color="auto"/>
            <w:left w:val="none" w:sz="0" w:space="0" w:color="auto"/>
            <w:bottom w:val="none" w:sz="0" w:space="0" w:color="auto"/>
            <w:right w:val="none" w:sz="0" w:space="0" w:color="auto"/>
          </w:divBdr>
        </w:div>
      </w:divsChild>
    </w:div>
    <w:div w:id="1404454258">
      <w:bodyDiv w:val="1"/>
      <w:marLeft w:val="0"/>
      <w:marRight w:val="0"/>
      <w:marTop w:val="0"/>
      <w:marBottom w:val="0"/>
      <w:divBdr>
        <w:top w:val="none" w:sz="0" w:space="0" w:color="auto"/>
        <w:left w:val="none" w:sz="0" w:space="0" w:color="auto"/>
        <w:bottom w:val="none" w:sz="0" w:space="0" w:color="auto"/>
        <w:right w:val="none" w:sz="0" w:space="0" w:color="auto"/>
      </w:divBdr>
    </w:div>
    <w:div w:id="1466583312">
      <w:bodyDiv w:val="1"/>
      <w:marLeft w:val="0"/>
      <w:marRight w:val="0"/>
      <w:marTop w:val="0"/>
      <w:marBottom w:val="0"/>
      <w:divBdr>
        <w:top w:val="none" w:sz="0" w:space="0" w:color="auto"/>
        <w:left w:val="none" w:sz="0" w:space="0" w:color="auto"/>
        <w:bottom w:val="none" w:sz="0" w:space="0" w:color="auto"/>
        <w:right w:val="none" w:sz="0" w:space="0" w:color="auto"/>
      </w:divBdr>
    </w:div>
    <w:div w:id="1467814904">
      <w:bodyDiv w:val="1"/>
      <w:marLeft w:val="0"/>
      <w:marRight w:val="0"/>
      <w:marTop w:val="0"/>
      <w:marBottom w:val="0"/>
      <w:divBdr>
        <w:top w:val="none" w:sz="0" w:space="0" w:color="auto"/>
        <w:left w:val="none" w:sz="0" w:space="0" w:color="auto"/>
        <w:bottom w:val="none" w:sz="0" w:space="0" w:color="auto"/>
        <w:right w:val="none" w:sz="0" w:space="0" w:color="auto"/>
      </w:divBdr>
    </w:div>
    <w:div w:id="1474715009">
      <w:bodyDiv w:val="1"/>
      <w:marLeft w:val="0"/>
      <w:marRight w:val="0"/>
      <w:marTop w:val="0"/>
      <w:marBottom w:val="0"/>
      <w:divBdr>
        <w:top w:val="none" w:sz="0" w:space="0" w:color="auto"/>
        <w:left w:val="none" w:sz="0" w:space="0" w:color="auto"/>
        <w:bottom w:val="none" w:sz="0" w:space="0" w:color="auto"/>
        <w:right w:val="none" w:sz="0" w:space="0" w:color="auto"/>
      </w:divBdr>
    </w:div>
    <w:div w:id="1478647586">
      <w:bodyDiv w:val="1"/>
      <w:marLeft w:val="0"/>
      <w:marRight w:val="0"/>
      <w:marTop w:val="0"/>
      <w:marBottom w:val="0"/>
      <w:divBdr>
        <w:top w:val="none" w:sz="0" w:space="0" w:color="auto"/>
        <w:left w:val="none" w:sz="0" w:space="0" w:color="auto"/>
        <w:bottom w:val="none" w:sz="0" w:space="0" w:color="auto"/>
        <w:right w:val="none" w:sz="0" w:space="0" w:color="auto"/>
      </w:divBdr>
      <w:divsChild>
        <w:div w:id="358434066">
          <w:marLeft w:val="418"/>
          <w:marRight w:val="0"/>
          <w:marTop w:val="58"/>
          <w:marBottom w:val="0"/>
          <w:divBdr>
            <w:top w:val="none" w:sz="0" w:space="0" w:color="auto"/>
            <w:left w:val="none" w:sz="0" w:space="0" w:color="auto"/>
            <w:bottom w:val="none" w:sz="0" w:space="0" w:color="auto"/>
            <w:right w:val="none" w:sz="0" w:space="0" w:color="auto"/>
          </w:divBdr>
        </w:div>
        <w:div w:id="1627661895">
          <w:marLeft w:val="418"/>
          <w:marRight w:val="0"/>
          <w:marTop w:val="58"/>
          <w:marBottom w:val="0"/>
          <w:divBdr>
            <w:top w:val="none" w:sz="0" w:space="0" w:color="auto"/>
            <w:left w:val="none" w:sz="0" w:space="0" w:color="auto"/>
            <w:bottom w:val="none" w:sz="0" w:space="0" w:color="auto"/>
            <w:right w:val="none" w:sz="0" w:space="0" w:color="auto"/>
          </w:divBdr>
        </w:div>
      </w:divsChild>
    </w:div>
    <w:div w:id="1484659991">
      <w:bodyDiv w:val="1"/>
      <w:marLeft w:val="0"/>
      <w:marRight w:val="0"/>
      <w:marTop w:val="0"/>
      <w:marBottom w:val="0"/>
      <w:divBdr>
        <w:top w:val="none" w:sz="0" w:space="0" w:color="auto"/>
        <w:left w:val="none" w:sz="0" w:space="0" w:color="auto"/>
        <w:bottom w:val="none" w:sz="0" w:space="0" w:color="auto"/>
        <w:right w:val="none" w:sz="0" w:space="0" w:color="auto"/>
      </w:divBdr>
      <w:divsChild>
        <w:div w:id="1400207577">
          <w:marLeft w:val="432"/>
          <w:marRight w:val="0"/>
          <w:marTop w:val="58"/>
          <w:marBottom w:val="0"/>
          <w:divBdr>
            <w:top w:val="none" w:sz="0" w:space="0" w:color="auto"/>
            <w:left w:val="none" w:sz="0" w:space="0" w:color="auto"/>
            <w:bottom w:val="none" w:sz="0" w:space="0" w:color="auto"/>
            <w:right w:val="none" w:sz="0" w:space="0" w:color="auto"/>
          </w:divBdr>
        </w:div>
        <w:div w:id="1407655076">
          <w:marLeft w:val="432"/>
          <w:marRight w:val="0"/>
          <w:marTop w:val="58"/>
          <w:marBottom w:val="0"/>
          <w:divBdr>
            <w:top w:val="none" w:sz="0" w:space="0" w:color="auto"/>
            <w:left w:val="none" w:sz="0" w:space="0" w:color="auto"/>
            <w:bottom w:val="none" w:sz="0" w:space="0" w:color="auto"/>
            <w:right w:val="none" w:sz="0" w:space="0" w:color="auto"/>
          </w:divBdr>
        </w:div>
      </w:divsChild>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563441115">
      <w:bodyDiv w:val="1"/>
      <w:marLeft w:val="0"/>
      <w:marRight w:val="0"/>
      <w:marTop w:val="0"/>
      <w:marBottom w:val="0"/>
      <w:divBdr>
        <w:top w:val="none" w:sz="0" w:space="0" w:color="auto"/>
        <w:left w:val="none" w:sz="0" w:space="0" w:color="auto"/>
        <w:bottom w:val="none" w:sz="0" w:space="0" w:color="auto"/>
        <w:right w:val="none" w:sz="0" w:space="0" w:color="auto"/>
      </w:divBdr>
    </w:div>
    <w:div w:id="1607231684">
      <w:bodyDiv w:val="1"/>
      <w:marLeft w:val="0"/>
      <w:marRight w:val="0"/>
      <w:marTop w:val="0"/>
      <w:marBottom w:val="0"/>
      <w:divBdr>
        <w:top w:val="none" w:sz="0" w:space="0" w:color="auto"/>
        <w:left w:val="none" w:sz="0" w:space="0" w:color="auto"/>
        <w:bottom w:val="none" w:sz="0" w:space="0" w:color="auto"/>
        <w:right w:val="none" w:sz="0" w:space="0" w:color="auto"/>
      </w:divBdr>
      <w:divsChild>
        <w:div w:id="646324068">
          <w:marLeft w:val="418"/>
          <w:marRight w:val="0"/>
          <w:marTop w:val="58"/>
          <w:marBottom w:val="0"/>
          <w:divBdr>
            <w:top w:val="none" w:sz="0" w:space="0" w:color="auto"/>
            <w:left w:val="none" w:sz="0" w:space="0" w:color="auto"/>
            <w:bottom w:val="none" w:sz="0" w:space="0" w:color="auto"/>
            <w:right w:val="none" w:sz="0" w:space="0" w:color="auto"/>
          </w:divBdr>
        </w:div>
        <w:div w:id="1078939358">
          <w:marLeft w:val="418"/>
          <w:marRight w:val="0"/>
          <w:marTop w:val="58"/>
          <w:marBottom w:val="0"/>
          <w:divBdr>
            <w:top w:val="none" w:sz="0" w:space="0" w:color="auto"/>
            <w:left w:val="none" w:sz="0" w:space="0" w:color="auto"/>
            <w:bottom w:val="none" w:sz="0" w:space="0" w:color="auto"/>
            <w:right w:val="none" w:sz="0" w:space="0" w:color="auto"/>
          </w:divBdr>
        </w:div>
        <w:div w:id="1284187171">
          <w:marLeft w:val="418"/>
          <w:marRight w:val="0"/>
          <w:marTop w:val="58"/>
          <w:marBottom w:val="0"/>
          <w:divBdr>
            <w:top w:val="none" w:sz="0" w:space="0" w:color="auto"/>
            <w:left w:val="none" w:sz="0" w:space="0" w:color="auto"/>
            <w:bottom w:val="none" w:sz="0" w:space="0" w:color="auto"/>
            <w:right w:val="none" w:sz="0" w:space="0" w:color="auto"/>
          </w:divBdr>
        </w:div>
      </w:divsChild>
    </w:div>
    <w:div w:id="1618559198">
      <w:bodyDiv w:val="1"/>
      <w:marLeft w:val="0"/>
      <w:marRight w:val="0"/>
      <w:marTop w:val="0"/>
      <w:marBottom w:val="0"/>
      <w:divBdr>
        <w:top w:val="none" w:sz="0" w:space="0" w:color="auto"/>
        <w:left w:val="none" w:sz="0" w:space="0" w:color="auto"/>
        <w:bottom w:val="none" w:sz="0" w:space="0" w:color="auto"/>
        <w:right w:val="none" w:sz="0" w:space="0" w:color="auto"/>
      </w:divBdr>
    </w:div>
    <w:div w:id="1621839935">
      <w:bodyDiv w:val="1"/>
      <w:marLeft w:val="0"/>
      <w:marRight w:val="0"/>
      <w:marTop w:val="0"/>
      <w:marBottom w:val="0"/>
      <w:divBdr>
        <w:top w:val="none" w:sz="0" w:space="0" w:color="auto"/>
        <w:left w:val="none" w:sz="0" w:space="0" w:color="auto"/>
        <w:bottom w:val="none" w:sz="0" w:space="0" w:color="auto"/>
        <w:right w:val="none" w:sz="0" w:space="0" w:color="auto"/>
      </w:divBdr>
    </w:div>
    <w:div w:id="1627198138">
      <w:bodyDiv w:val="1"/>
      <w:marLeft w:val="0"/>
      <w:marRight w:val="0"/>
      <w:marTop w:val="0"/>
      <w:marBottom w:val="0"/>
      <w:divBdr>
        <w:top w:val="none" w:sz="0" w:space="0" w:color="auto"/>
        <w:left w:val="none" w:sz="0" w:space="0" w:color="auto"/>
        <w:bottom w:val="none" w:sz="0" w:space="0" w:color="auto"/>
        <w:right w:val="none" w:sz="0" w:space="0" w:color="auto"/>
      </w:divBdr>
    </w:div>
    <w:div w:id="1638334839">
      <w:bodyDiv w:val="1"/>
      <w:marLeft w:val="0"/>
      <w:marRight w:val="0"/>
      <w:marTop w:val="0"/>
      <w:marBottom w:val="0"/>
      <w:divBdr>
        <w:top w:val="none" w:sz="0" w:space="0" w:color="auto"/>
        <w:left w:val="none" w:sz="0" w:space="0" w:color="auto"/>
        <w:bottom w:val="none" w:sz="0" w:space="0" w:color="auto"/>
        <w:right w:val="none" w:sz="0" w:space="0" w:color="auto"/>
      </w:divBdr>
    </w:div>
    <w:div w:id="1662851067">
      <w:bodyDiv w:val="1"/>
      <w:marLeft w:val="0"/>
      <w:marRight w:val="0"/>
      <w:marTop w:val="0"/>
      <w:marBottom w:val="0"/>
      <w:divBdr>
        <w:top w:val="none" w:sz="0" w:space="0" w:color="auto"/>
        <w:left w:val="none" w:sz="0" w:space="0" w:color="auto"/>
        <w:bottom w:val="none" w:sz="0" w:space="0" w:color="auto"/>
        <w:right w:val="none" w:sz="0" w:space="0" w:color="auto"/>
      </w:divBdr>
    </w:div>
    <w:div w:id="1689023490">
      <w:bodyDiv w:val="1"/>
      <w:marLeft w:val="0"/>
      <w:marRight w:val="0"/>
      <w:marTop w:val="0"/>
      <w:marBottom w:val="0"/>
      <w:divBdr>
        <w:top w:val="none" w:sz="0" w:space="0" w:color="auto"/>
        <w:left w:val="none" w:sz="0" w:space="0" w:color="auto"/>
        <w:bottom w:val="none" w:sz="0" w:space="0" w:color="auto"/>
        <w:right w:val="none" w:sz="0" w:space="0" w:color="auto"/>
      </w:divBdr>
    </w:div>
    <w:div w:id="1748647134">
      <w:bodyDiv w:val="1"/>
      <w:marLeft w:val="0"/>
      <w:marRight w:val="0"/>
      <w:marTop w:val="0"/>
      <w:marBottom w:val="0"/>
      <w:divBdr>
        <w:top w:val="none" w:sz="0" w:space="0" w:color="auto"/>
        <w:left w:val="none" w:sz="0" w:space="0" w:color="auto"/>
        <w:bottom w:val="none" w:sz="0" w:space="0" w:color="auto"/>
        <w:right w:val="none" w:sz="0" w:space="0" w:color="auto"/>
      </w:divBdr>
    </w:div>
    <w:div w:id="1755081391">
      <w:bodyDiv w:val="1"/>
      <w:marLeft w:val="0"/>
      <w:marRight w:val="0"/>
      <w:marTop w:val="0"/>
      <w:marBottom w:val="0"/>
      <w:divBdr>
        <w:top w:val="none" w:sz="0" w:space="0" w:color="auto"/>
        <w:left w:val="none" w:sz="0" w:space="0" w:color="auto"/>
        <w:bottom w:val="none" w:sz="0" w:space="0" w:color="auto"/>
        <w:right w:val="none" w:sz="0" w:space="0" w:color="auto"/>
      </w:divBdr>
    </w:div>
    <w:div w:id="1760904241">
      <w:bodyDiv w:val="1"/>
      <w:marLeft w:val="0"/>
      <w:marRight w:val="0"/>
      <w:marTop w:val="0"/>
      <w:marBottom w:val="0"/>
      <w:divBdr>
        <w:top w:val="none" w:sz="0" w:space="0" w:color="auto"/>
        <w:left w:val="none" w:sz="0" w:space="0" w:color="auto"/>
        <w:bottom w:val="none" w:sz="0" w:space="0" w:color="auto"/>
        <w:right w:val="none" w:sz="0" w:space="0" w:color="auto"/>
      </w:divBdr>
      <w:divsChild>
        <w:div w:id="1242370482">
          <w:marLeft w:val="418"/>
          <w:marRight w:val="0"/>
          <w:marTop w:val="58"/>
          <w:marBottom w:val="0"/>
          <w:divBdr>
            <w:top w:val="none" w:sz="0" w:space="0" w:color="auto"/>
            <w:left w:val="none" w:sz="0" w:space="0" w:color="auto"/>
            <w:bottom w:val="none" w:sz="0" w:space="0" w:color="auto"/>
            <w:right w:val="none" w:sz="0" w:space="0" w:color="auto"/>
          </w:divBdr>
        </w:div>
      </w:divsChild>
    </w:div>
    <w:div w:id="1770926762">
      <w:bodyDiv w:val="1"/>
      <w:marLeft w:val="0"/>
      <w:marRight w:val="0"/>
      <w:marTop w:val="0"/>
      <w:marBottom w:val="0"/>
      <w:divBdr>
        <w:top w:val="none" w:sz="0" w:space="0" w:color="auto"/>
        <w:left w:val="none" w:sz="0" w:space="0" w:color="auto"/>
        <w:bottom w:val="none" w:sz="0" w:space="0" w:color="auto"/>
        <w:right w:val="none" w:sz="0" w:space="0" w:color="auto"/>
      </w:divBdr>
      <w:divsChild>
        <w:div w:id="1142116694">
          <w:marLeft w:val="0"/>
          <w:marRight w:val="0"/>
          <w:marTop w:val="0"/>
          <w:marBottom w:val="0"/>
          <w:divBdr>
            <w:top w:val="none" w:sz="0" w:space="0" w:color="auto"/>
            <w:left w:val="none" w:sz="0" w:space="0" w:color="auto"/>
            <w:bottom w:val="none" w:sz="0" w:space="0" w:color="auto"/>
            <w:right w:val="none" w:sz="0" w:space="0" w:color="auto"/>
          </w:divBdr>
          <w:divsChild>
            <w:div w:id="1594705917">
              <w:marLeft w:val="0"/>
              <w:marRight w:val="0"/>
              <w:marTop w:val="0"/>
              <w:marBottom w:val="0"/>
              <w:divBdr>
                <w:top w:val="none" w:sz="0" w:space="0" w:color="auto"/>
                <w:left w:val="none" w:sz="0" w:space="0" w:color="auto"/>
                <w:bottom w:val="none" w:sz="0" w:space="0" w:color="auto"/>
                <w:right w:val="none" w:sz="0" w:space="0" w:color="auto"/>
              </w:divBdr>
              <w:divsChild>
                <w:div w:id="1272712652">
                  <w:marLeft w:val="0"/>
                  <w:marRight w:val="0"/>
                  <w:marTop w:val="0"/>
                  <w:marBottom w:val="0"/>
                  <w:divBdr>
                    <w:top w:val="none" w:sz="0" w:space="0" w:color="auto"/>
                    <w:left w:val="none" w:sz="0" w:space="0" w:color="auto"/>
                    <w:bottom w:val="none" w:sz="0" w:space="0" w:color="auto"/>
                    <w:right w:val="none" w:sz="0" w:space="0" w:color="auto"/>
                  </w:divBdr>
                  <w:divsChild>
                    <w:div w:id="878586945">
                      <w:marLeft w:val="0"/>
                      <w:marRight w:val="0"/>
                      <w:marTop w:val="0"/>
                      <w:marBottom w:val="0"/>
                      <w:divBdr>
                        <w:top w:val="none" w:sz="0" w:space="0" w:color="auto"/>
                        <w:left w:val="none" w:sz="0" w:space="0" w:color="auto"/>
                        <w:bottom w:val="none" w:sz="0" w:space="0" w:color="auto"/>
                        <w:right w:val="none" w:sz="0" w:space="0" w:color="auto"/>
                      </w:divBdr>
                      <w:divsChild>
                        <w:div w:id="2078550067">
                          <w:marLeft w:val="0"/>
                          <w:marRight w:val="0"/>
                          <w:marTop w:val="0"/>
                          <w:marBottom w:val="0"/>
                          <w:divBdr>
                            <w:top w:val="none" w:sz="0" w:space="0" w:color="auto"/>
                            <w:left w:val="none" w:sz="0" w:space="0" w:color="auto"/>
                            <w:bottom w:val="none" w:sz="0" w:space="0" w:color="auto"/>
                            <w:right w:val="none" w:sz="0" w:space="0" w:color="auto"/>
                          </w:divBdr>
                          <w:divsChild>
                            <w:div w:id="795291491">
                              <w:marLeft w:val="0"/>
                              <w:marRight w:val="0"/>
                              <w:marTop w:val="0"/>
                              <w:marBottom w:val="0"/>
                              <w:divBdr>
                                <w:top w:val="none" w:sz="0" w:space="0" w:color="auto"/>
                                <w:left w:val="none" w:sz="0" w:space="0" w:color="auto"/>
                                <w:bottom w:val="none" w:sz="0" w:space="0" w:color="auto"/>
                                <w:right w:val="none" w:sz="0" w:space="0" w:color="auto"/>
                              </w:divBdr>
                              <w:divsChild>
                                <w:div w:id="981347269">
                                  <w:marLeft w:val="0"/>
                                  <w:marRight w:val="0"/>
                                  <w:marTop w:val="0"/>
                                  <w:marBottom w:val="0"/>
                                  <w:divBdr>
                                    <w:top w:val="none" w:sz="0" w:space="0" w:color="auto"/>
                                    <w:left w:val="none" w:sz="0" w:space="0" w:color="auto"/>
                                    <w:bottom w:val="none" w:sz="0" w:space="0" w:color="auto"/>
                                    <w:right w:val="none" w:sz="0" w:space="0" w:color="auto"/>
                                  </w:divBdr>
                                  <w:divsChild>
                                    <w:div w:id="1703246918">
                                      <w:marLeft w:val="0"/>
                                      <w:marRight w:val="0"/>
                                      <w:marTop w:val="0"/>
                                      <w:marBottom w:val="0"/>
                                      <w:divBdr>
                                        <w:top w:val="none" w:sz="0" w:space="0" w:color="auto"/>
                                        <w:left w:val="none" w:sz="0" w:space="0" w:color="auto"/>
                                        <w:bottom w:val="none" w:sz="0" w:space="0" w:color="auto"/>
                                        <w:right w:val="none" w:sz="0" w:space="0" w:color="auto"/>
                                      </w:divBdr>
                                      <w:divsChild>
                                        <w:div w:id="1669215342">
                                          <w:marLeft w:val="0"/>
                                          <w:marRight w:val="0"/>
                                          <w:marTop w:val="0"/>
                                          <w:marBottom w:val="0"/>
                                          <w:divBdr>
                                            <w:top w:val="none" w:sz="0" w:space="0" w:color="auto"/>
                                            <w:left w:val="none" w:sz="0" w:space="0" w:color="auto"/>
                                            <w:bottom w:val="none" w:sz="0" w:space="0" w:color="auto"/>
                                            <w:right w:val="none" w:sz="0" w:space="0" w:color="auto"/>
                                          </w:divBdr>
                                          <w:divsChild>
                                            <w:div w:id="2146384666">
                                              <w:marLeft w:val="0"/>
                                              <w:marRight w:val="0"/>
                                              <w:marTop w:val="0"/>
                                              <w:marBottom w:val="0"/>
                                              <w:divBdr>
                                                <w:top w:val="none" w:sz="0" w:space="0" w:color="auto"/>
                                                <w:left w:val="none" w:sz="0" w:space="0" w:color="auto"/>
                                                <w:bottom w:val="none" w:sz="0" w:space="0" w:color="auto"/>
                                                <w:right w:val="none" w:sz="0" w:space="0" w:color="auto"/>
                                              </w:divBdr>
                                              <w:divsChild>
                                                <w:div w:id="792673067">
                                                  <w:marLeft w:val="0"/>
                                                  <w:marRight w:val="0"/>
                                                  <w:marTop w:val="0"/>
                                                  <w:marBottom w:val="0"/>
                                                  <w:divBdr>
                                                    <w:top w:val="none" w:sz="0" w:space="0" w:color="auto"/>
                                                    <w:left w:val="none" w:sz="0" w:space="0" w:color="auto"/>
                                                    <w:bottom w:val="none" w:sz="0" w:space="0" w:color="auto"/>
                                                    <w:right w:val="none" w:sz="0" w:space="0" w:color="auto"/>
                                                  </w:divBdr>
                                                  <w:divsChild>
                                                    <w:div w:id="160898972">
                                                      <w:marLeft w:val="0"/>
                                                      <w:marRight w:val="0"/>
                                                      <w:marTop w:val="0"/>
                                                      <w:marBottom w:val="0"/>
                                                      <w:divBdr>
                                                        <w:top w:val="none" w:sz="0" w:space="0" w:color="auto"/>
                                                        <w:left w:val="none" w:sz="0" w:space="0" w:color="auto"/>
                                                        <w:bottom w:val="none" w:sz="0" w:space="0" w:color="auto"/>
                                                        <w:right w:val="none" w:sz="0" w:space="0" w:color="auto"/>
                                                      </w:divBdr>
                                                      <w:divsChild>
                                                        <w:div w:id="932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771644">
      <w:bodyDiv w:val="1"/>
      <w:marLeft w:val="0"/>
      <w:marRight w:val="0"/>
      <w:marTop w:val="0"/>
      <w:marBottom w:val="0"/>
      <w:divBdr>
        <w:top w:val="none" w:sz="0" w:space="0" w:color="auto"/>
        <w:left w:val="none" w:sz="0" w:space="0" w:color="auto"/>
        <w:bottom w:val="none" w:sz="0" w:space="0" w:color="auto"/>
        <w:right w:val="none" w:sz="0" w:space="0" w:color="auto"/>
      </w:divBdr>
    </w:div>
    <w:div w:id="1791900997">
      <w:bodyDiv w:val="1"/>
      <w:marLeft w:val="0"/>
      <w:marRight w:val="0"/>
      <w:marTop w:val="0"/>
      <w:marBottom w:val="0"/>
      <w:divBdr>
        <w:top w:val="none" w:sz="0" w:space="0" w:color="auto"/>
        <w:left w:val="none" w:sz="0" w:space="0" w:color="auto"/>
        <w:bottom w:val="none" w:sz="0" w:space="0" w:color="auto"/>
        <w:right w:val="none" w:sz="0" w:space="0" w:color="auto"/>
      </w:divBdr>
    </w:div>
    <w:div w:id="1807821773">
      <w:bodyDiv w:val="1"/>
      <w:marLeft w:val="0"/>
      <w:marRight w:val="0"/>
      <w:marTop w:val="0"/>
      <w:marBottom w:val="0"/>
      <w:divBdr>
        <w:top w:val="none" w:sz="0" w:space="0" w:color="auto"/>
        <w:left w:val="none" w:sz="0" w:space="0" w:color="auto"/>
        <w:bottom w:val="none" w:sz="0" w:space="0" w:color="auto"/>
        <w:right w:val="none" w:sz="0" w:space="0" w:color="auto"/>
      </w:divBdr>
    </w:div>
    <w:div w:id="1814758893">
      <w:bodyDiv w:val="1"/>
      <w:marLeft w:val="0"/>
      <w:marRight w:val="0"/>
      <w:marTop w:val="0"/>
      <w:marBottom w:val="0"/>
      <w:divBdr>
        <w:top w:val="none" w:sz="0" w:space="0" w:color="auto"/>
        <w:left w:val="none" w:sz="0" w:space="0" w:color="auto"/>
        <w:bottom w:val="none" w:sz="0" w:space="0" w:color="auto"/>
        <w:right w:val="none" w:sz="0" w:space="0" w:color="auto"/>
      </w:divBdr>
    </w:div>
    <w:div w:id="1850100481">
      <w:bodyDiv w:val="1"/>
      <w:marLeft w:val="0"/>
      <w:marRight w:val="0"/>
      <w:marTop w:val="0"/>
      <w:marBottom w:val="0"/>
      <w:divBdr>
        <w:top w:val="none" w:sz="0" w:space="0" w:color="auto"/>
        <w:left w:val="none" w:sz="0" w:space="0" w:color="auto"/>
        <w:bottom w:val="none" w:sz="0" w:space="0" w:color="auto"/>
        <w:right w:val="none" w:sz="0" w:space="0" w:color="auto"/>
      </w:divBdr>
      <w:divsChild>
        <w:div w:id="992415404">
          <w:marLeft w:val="432"/>
          <w:marRight w:val="0"/>
          <w:marTop w:val="58"/>
          <w:marBottom w:val="0"/>
          <w:divBdr>
            <w:top w:val="none" w:sz="0" w:space="0" w:color="auto"/>
            <w:left w:val="none" w:sz="0" w:space="0" w:color="auto"/>
            <w:bottom w:val="none" w:sz="0" w:space="0" w:color="auto"/>
            <w:right w:val="none" w:sz="0" w:space="0" w:color="auto"/>
          </w:divBdr>
        </w:div>
        <w:div w:id="1487941196">
          <w:marLeft w:val="432"/>
          <w:marRight w:val="0"/>
          <w:marTop w:val="58"/>
          <w:marBottom w:val="0"/>
          <w:divBdr>
            <w:top w:val="none" w:sz="0" w:space="0" w:color="auto"/>
            <w:left w:val="none" w:sz="0" w:space="0" w:color="auto"/>
            <w:bottom w:val="none" w:sz="0" w:space="0" w:color="auto"/>
            <w:right w:val="none" w:sz="0" w:space="0" w:color="auto"/>
          </w:divBdr>
        </w:div>
        <w:div w:id="1854832386">
          <w:marLeft w:val="432"/>
          <w:marRight w:val="0"/>
          <w:marTop w:val="58"/>
          <w:marBottom w:val="0"/>
          <w:divBdr>
            <w:top w:val="none" w:sz="0" w:space="0" w:color="auto"/>
            <w:left w:val="none" w:sz="0" w:space="0" w:color="auto"/>
            <w:bottom w:val="none" w:sz="0" w:space="0" w:color="auto"/>
            <w:right w:val="none" w:sz="0" w:space="0" w:color="auto"/>
          </w:divBdr>
        </w:div>
      </w:divsChild>
    </w:div>
    <w:div w:id="1853447418">
      <w:bodyDiv w:val="1"/>
      <w:marLeft w:val="0"/>
      <w:marRight w:val="0"/>
      <w:marTop w:val="0"/>
      <w:marBottom w:val="0"/>
      <w:divBdr>
        <w:top w:val="none" w:sz="0" w:space="0" w:color="auto"/>
        <w:left w:val="none" w:sz="0" w:space="0" w:color="auto"/>
        <w:bottom w:val="none" w:sz="0" w:space="0" w:color="auto"/>
        <w:right w:val="none" w:sz="0" w:space="0" w:color="auto"/>
      </w:divBdr>
      <w:divsChild>
        <w:div w:id="11416713">
          <w:marLeft w:val="576"/>
          <w:marRight w:val="0"/>
          <w:marTop w:val="48"/>
          <w:marBottom w:val="0"/>
          <w:divBdr>
            <w:top w:val="none" w:sz="0" w:space="0" w:color="auto"/>
            <w:left w:val="none" w:sz="0" w:space="0" w:color="auto"/>
            <w:bottom w:val="none" w:sz="0" w:space="0" w:color="auto"/>
            <w:right w:val="none" w:sz="0" w:space="0" w:color="auto"/>
          </w:divBdr>
        </w:div>
        <w:div w:id="222179628">
          <w:marLeft w:val="288"/>
          <w:marRight w:val="0"/>
          <w:marTop w:val="48"/>
          <w:marBottom w:val="0"/>
          <w:divBdr>
            <w:top w:val="none" w:sz="0" w:space="0" w:color="auto"/>
            <w:left w:val="none" w:sz="0" w:space="0" w:color="auto"/>
            <w:bottom w:val="none" w:sz="0" w:space="0" w:color="auto"/>
            <w:right w:val="none" w:sz="0" w:space="0" w:color="auto"/>
          </w:divBdr>
        </w:div>
        <w:div w:id="402678909">
          <w:marLeft w:val="576"/>
          <w:marRight w:val="0"/>
          <w:marTop w:val="48"/>
          <w:marBottom w:val="0"/>
          <w:divBdr>
            <w:top w:val="none" w:sz="0" w:space="0" w:color="auto"/>
            <w:left w:val="none" w:sz="0" w:space="0" w:color="auto"/>
            <w:bottom w:val="none" w:sz="0" w:space="0" w:color="auto"/>
            <w:right w:val="none" w:sz="0" w:space="0" w:color="auto"/>
          </w:divBdr>
        </w:div>
        <w:div w:id="451094200">
          <w:marLeft w:val="850"/>
          <w:marRight w:val="0"/>
          <w:marTop w:val="48"/>
          <w:marBottom w:val="0"/>
          <w:divBdr>
            <w:top w:val="none" w:sz="0" w:space="0" w:color="auto"/>
            <w:left w:val="none" w:sz="0" w:space="0" w:color="auto"/>
            <w:bottom w:val="none" w:sz="0" w:space="0" w:color="auto"/>
            <w:right w:val="none" w:sz="0" w:space="0" w:color="auto"/>
          </w:divBdr>
        </w:div>
        <w:div w:id="458501403">
          <w:marLeft w:val="576"/>
          <w:marRight w:val="0"/>
          <w:marTop w:val="48"/>
          <w:marBottom w:val="0"/>
          <w:divBdr>
            <w:top w:val="none" w:sz="0" w:space="0" w:color="auto"/>
            <w:left w:val="none" w:sz="0" w:space="0" w:color="auto"/>
            <w:bottom w:val="none" w:sz="0" w:space="0" w:color="auto"/>
            <w:right w:val="none" w:sz="0" w:space="0" w:color="auto"/>
          </w:divBdr>
        </w:div>
        <w:div w:id="636183305">
          <w:marLeft w:val="288"/>
          <w:marRight w:val="0"/>
          <w:marTop w:val="48"/>
          <w:marBottom w:val="0"/>
          <w:divBdr>
            <w:top w:val="none" w:sz="0" w:space="0" w:color="auto"/>
            <w:left w:val="none" w:sz="0" w:space="0" w:color="auto"/>
            <w:bottom w:val="none" w:sz="0" w:space="0" w:color="auto"/>
            <w:right w:val="none" w:sz="0" w:space="0" w:color="auto"/>
          </w:divBdr>
        </w:div>
        <w:div w:id="730882494">
          <w:marLeft w:val="576"/>
          <w:marRight w:val="0"/>
          <w:marTop w:val="48"/>
          <w:marBottom w:val="0"/>
          <w:divBdr>
            <w:top w:val="none" w:sz="0" w:space="0" w:color="auto"/>
            <w:left w:val="none" w:sz="0" w:space="0" w:color="auto"/>
            <w:bottom w:val="none" w:sz="0" w:space="0" w:color="auto"/>
            <w:right w:val="none" w:sz="0" w:space="0" w:color="auto"/>
          </w:divBdr>
        </w:div>
        <w:div w:id="751392728">
          <w:marLeft w:val="576"/>
          <w:marRight w:val="0"/>
          <w:marTop w:val="48"/>
          <w:marBottom w:val="0"/>
          <w:divBdr>
            <w:top w:val="none" w:sz="0" w:space="0" w:color="auto"/>
            <w:left w:val="none" w:sz="0" w:space="0" w:color="auto"/>
            <w:bottom w:val="none" w:sz="0" w:space="0" w:color="auto"/>
            <w:right w:val="none" w:sz="0" w:space="0" w:color="auto"/>
          </w:divBdr>
        </w:div>
        <w:div w:id="890385514">
          <w:marLeft w:val="576"/>
          <w:marRight w:val="0"/>
          <w:marTop w:val="48"/>
          <w:marBottom w:val="0"/>
          <w:divBdr>
            <w:top w:val="none" w:sz="0" w:space="0" w:color="auto"/>
            <w:left w:val="none" w:sz="0" w:space="0" w:color="auto"/>
            <w:bottom w:val="none" w:sz="0" w:space="0" w:color="auto"/>
            <w:right w:val="none" w:sz="0" w:space="0" w:color="auto"/>
          </w:divBdr>
        </w:div>
        <w:div w:id="1007367749">
          <w:marLeft w:val="576"/>
          <w:marRight w:val="0"/>
          <w:marTop w:val="48"/>
          <w:marBottom w:val="0"/>
          <w:divBdr>
            <w:top w:val="none" w:sz="0" w:space="0" w:color="auto"/>
            <w:left w:val="none" w:sz="0" w:space="0" w:color="auto"/>
            <w:bottom w:val="none" w:sz="0" w:space="0" w:color="auto"/>
            <w:right w:val="none" w:sz="0" w:space="0" w:color="auto"/>
          </w:divBdr>
        </w:div>
        <w:div w:id="1046836124">
          <w:marLeft w:val="576"/>
          <w:marRight w:val="0"/>
          <w:marTop w:val="48"/>
          <w:marBottom w:val="0"/>
          <w:divBdr>
            <w:top w:val="none" w:sz="0" w:space="0" w:color="auto"/>
            <w:left w:val="none" w:sz="0" w:space="0" w:color="auto"/>
            <w:bottom w:val="none" w:sz="0" w:space="0" w:color="auto"/>
            <w:right w:val="none" w:sz="0" w:space="0" w:color="auto"/>
          </w:divBdr>
        </w:div>
        <w:div w:id="1251427762">
          <w:marLeft w:val="288"/>
          <w:marRight w:val="0"/>
          <w:marTop w:val="48"/>
          <w:marBottom w:val="0"/>
          <w:divBdr>
            <w:top w:val="none" w:sz="0" w:space="0" w:color="auto"/>
            <w:left w:val="none" w:sz="0" w:space="0" w:color="auto"/>
            <w:bottom w:val="none" w:sz="0" w:space="0" w:color="auto"/>
            <w:right w:val="none" w:sz="0" w:space="0" w:color="auto"/>
          </w:divBdr>
        </w:div>
        <w:div w:id="1435830864">
          <w:marLeft w:val="576"/>
          <w:marRight w:val="0"/>
          <w:marTop w:val="48"/>
          <w:marBottom w:val="0"/>
          <w:divBdr>
            <w:top w:val="none" w:sz="0" w:space="0" w:color="auto"/>
            <w:left w:val="none" w:sz="0" w:space="0" w:color="auto"/>
            <w:bottom w:val="none" w:sz="0" w:space="0" w:color="auto"/>
            <w:right w:val="none" w:sz="0" w:space="0" w:color="auto"/>
          </w:divBdr>
        </w:div>
        <w:div w:id="1487934434">
          <w:marLeft w:val="288"/>
          <w:marRight w:val="0"/>
          <w:marTop w:val="48"/>
          <w:marBottom w:val="0"/>
          <w:divBdr>
            <w:top w:val="none" w:sz="0" w:space="0" w:color="auto"/>
            <w:left w:val="none" w:sz="0" w:space="0" w:color="auto"/>
            <w:bottom w:val="none" w:sz="0" w:space="0" w:color="auto"/>
            <w:right w:val="none" w:sz="0" w:space="0" w:color="auto"/>
          </w:divBdr>
        </w:div>
        <w:div w:id="1640838215">
          <w:marLeft w:val="576"/>
          <w:marRight w:val="0"/>
          <w:marTop w:val="48"/>
          <w:marBottom w:val="0"/>
          <w:divBdr>
            <w:top w:val="none" w:sz="0" w:space="0" w:color="auto"/>
            <w:left w:val="none" w:sz="0" w:space="0" w:color="auto"/>
            <w:bottom w:val="none" w:sz="0" w:space="0" w:color="auto"/>
            <w:right w:val="none" w:sz="0" w:space="0" w:color="auto"/>
          </w:divBdr>
        </w:div>
        <w:div w:id="1781488933">
          <w:marLeft w:val="576"/>
          <w:marRight w:val="0"/>
          <w:marTop w:val="48"/>
          <w:marBottom w:val="0"/>
          <w:divBdr>
            <w:top w:val="none" w:sz="0" w:space="0" w:color="auto"/>
            <w:left w:val="none" w:sz="0" w:space="0" w:color="auto"/>
            <w:bottom w:val="none" w:sz="0" w:space="0" w:color="auto"/>
            <w:right w:val="none" w:sz="0" w:space="0" w:color="auto"/>
          </w:divBdr>
        </w:div>
        <w:div w:id="1983385319">
          <w:marLeft w:val="288"/>
          <w:marRight w:val="0"/>
          <w:marTop w:val="48"/>
          <w:marBottom w:val="0"/>
          <w:divBdr>
            <w:top w:val="none" w:sz="0" w:space="0" w:color="auto"/>
            <w:left w:val="none" w:sz="0" w:space="0" w:color="auto"/>
            <w:bottom w:val="none" w:sz="0" w:space="0" w:color="auto"/>
            <w:right w:val="none" w:sz="0" w:space="0" w:color="auto"/>
          </w:divBdr>
        </w:div>
        <w:div w:id="2076582187">
          <w:marLeft w:val="288"/>
          <w:marRight w:val="0"/>
          <w:marTop w:val="48"/>
          <w:marBottom w:val="0"/>
          <w:divBdr>
            <w:top w:val="none" w:sz="0" w:space="0" w:color="auto"/>
            <w:left w:val="none" w:sz="0" w:space="0" w:color="auto"/>
            <w:bottom w:val="none" w:sz="0" w:space="0" w:color="auto"/>
            <w:right w:val="none" w:sz="0" w:space="0" w:color="auto"/>
          </w:divBdr>
        </w:div>
        <w:div w:id="2108962911">
          <w:marLeft w:val="576"/>
          <w:marRight w:val="0"/>
          <w:marTop w:val="48"/>
          <w:marBottom w:val="0"/>
          <w:divBdr>
            <w:top w:val="none" w:sz="0" w:space="0" w:color="auto"/>
            <w:left w:val="none" w:sz="0" w:space="0" w:color="auto"/>
            <w:bottom w:val="none" w:sz="0" w:space="0" w:color="auto"/>
            <w:right w:val="none" w:sz="0" w:space="0" w:color="auto"/>
          </w:divBdr>
        </w:div>
        <w:div w:id="2115245709">
          <w:marLeft w:val="576"/>
          <w:marRight w:val="0"/>
          <w:marTop w:val="48"/>
          <w:marBottom w:val="0"/>
          <w:divBdr>
            <w:top w:val="none" w:sz="0" w:space="0" w:color="auto"/>
            <w:left w:val="none" w:sz="0" w:space="0" w:color="auto"/>
            <w:bottom w:val="none" w:sz="0" w:space="0" w:color="auto"/>
            <w:right w:val="none" w:sz="0" w:space="0" w:color="auto"/>
          </w:divBdr>
        </w:div>
        <w:div w:id="2147164694">
          <w:marLeft w:val="576"/>
          <w:marRight w:val="0"/>
          <w:marTop w:val="48"/>
          <w:marBottom w:val="0"/>
          <w:divBdr>
            <w:top w:val="none" w:sz="0" w:space="0" w:color="auto"/>
            <w:left w:val="none" w:sz="0" w:space="0" w:color="auto"/>
            <w:bottom w:val="none" w:sz="0" w:space="0" w:color="auto"/>
            <w:right w:val="none" w:sz="0" w:space="0" w:color="auto"/>
          </w:divBdr>
        </w:div>
      </w:divsChild>
    </w:div>
    <w:div w:id="1858233452">
      <w:bodyDiv w:val="1"/>
      <w:marLeft w:val="0"/>
      <w:marRight w:val="0"/>
      <w:marTop w:val="0"/>
      <w:marBottom w:val="0"/>
      <w:divBdr>
        <w:top w:val="none" w:sz="0" w:space="0" w:color="auto"/>
        <w:left w:val="none" w:sz="0" w:space="0" w:color="auto"/>
        <w:bottom w:val="none" w:sz="0" w:space="0" w:color="auto"/>
        <w:right w:val="none" w:sz="0" w:space="0" w:color="auto"/>
      </w:divBdr>
    </w:div>
    <w:div w:id="1861622947">
      <w:bodyDiv w:val="1"/>
      <w:marLeft w:val="0"/>
      <w:marRight w:val="0"/>
      <w:marTop w:val="0"/>
      <w:marBottom w:val="0"/>
      <w:divBdr>
        <w:top w:val="none" w:sz="0" w:space="0" w:color="auto"/>
        <w:left w:val="none" w:sz="0" w:space="0" w:color="auto"/>
        <w:bottom w:val="none" w:sz="0" w:space="0" w:color="auto"/>
        <w:right w:val="none" w:sz="0" w:space="0" w:color="auto"/>
      </w:divBdr>
      <w:divsChild>
        <w:div w:id="2070035890">
          <w:marLeft w:val="0"/>
          <w:marRight w:val="0"/>
          <w:marTop w:val="0"/>
          <w:marBottom w:val="0"/>
          <w:divBdr>
            <w:top w:val="none" w:sz="0" w:space="0" w:color="auto"/>
            <w:left w:val="none" w:sz="0" w:space="0" w:color="auto"/>
            <w:bottom w:val="none" w:sz="0" w:space="0" w:color="auto"/>
            <w:right w:val="none" w:sz="0" w:space="0" w:color="auto"/>
          </w:divBdr>
          <w:divsChild>
            <w:div w:id="1259485885">
              <w:marLeft w:val="0"/>
              <w:marRight w:val="0"/>
              <w:marTop w:val="0"/>
              <w:marBottom w:val="0"/>
              <w:divBdr>
                <w:top w:val="none" w:sz="0" w:space="0" w:color="auto"/>
                <w:left w:val="none" w:sz="0" w:space="0" w:color="auto"/>
                <w:bottom w:val="none" w:sz="0" w:space="0" w:color="auto"/>
                <w:right w:val="none" w:sz="0" w:space="0" w:color="auto"/>
              </w:divBdr>
              <w:divsChild>
                <w:div w:id="55057825">
                  <w:marLeft w:val="0"/>
                  <w:marRight w:val="0"/>
                  <w:marTop w:val="0"/>
                  <w:marBottom w:val="0"/>
                  <w:divBdr>
                    <w:top w:val="none" w:sz="0" w:space="0" w:color="auto"/>
                    <w:left w:val="none" w:sz="0" w:space="0" w:color="auto"/>
                    <w:bottom w:val="none" w:sz="0" w:space="0" w:color="auto"/>
                    <w:right w:val="none" w:sz="0" w:space="0" w:color="auto"/>
                  </w:divBdr>
                  <w:divsChild>
                    <w:div w:id="2113893281">
                      <w:marLeft w:val="0"/>
                      <w:marRight w:val="0"/>
                      <w:marTop w:val="0"/>
                      <w:marBottom w:val="0"/>
                      <w:divBdr>
                        <w:top w:val="none" w:sz="0" w:space="0" w:color="auto"/>
                        <w:left w:val="none" w:sz="0" w:space="0" w:color="auto"/>
                        <w:bottom w:val="none" w:sz="0" w:space="0" w:color="auto"/>
                        <w:right w:val="none" w:sz="0" w:space="0" w:color="auto"/>
                      </w:divBdr>
                      <w:divsChild>
                        <w:div w:id="622656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77815052">
      <w:bodyDiv w:val="1"/>
      <w:marLeft w:val="0"/>
      <w:marRight w:val="0"/>
      <w:marTop w:val="0"/>
      <w:marBottom w:val="0"/>
      <w:divBdr>
        <w:top w:val="none" w:sz="0" w:space="0" w:color="auto"/>
        <w:left w:val="none" w:sz="0" w:space="0" w:color="auto"/>
        <w:bottom w:val="none" w:sz="0" w:space="0" w:color="auto"/>
        <w:right w:val="none" w:sz="0" w:space="0" w:color="auto"/>
      </w:divBdr>
    </w:div>
    <w:div w:id="1885825105">
      <w:bodyDiv w:val="1"/>
      <w:marLeft w:val="0"/>
      <w:marRight w:val="0"/>
      <w:marTop w:val="0"/>
      <w:marBottom w:val="0"/>
      <w:divBdr>
        <w:top w:val="none" w:sz="0" w:space="0" w:color="auto"/>
        <w:left w:val="none" w:sz="0" w:space="0" w:color="auto"/>
        <w:bottom w:val="none" w:sz="0" w:space="0" w:color="auto"/>
        <w:right w:val="none" w:sz="0" w:space="0" w:color="auto"/>
      </w:divBdr>
      <w:divsChild>
        <w:div w:id="88089288">
          <w:marLeft w:val="418"/>
          <w:marRight w:val="0"/>
          <w:marTop w:val="58"/>
          <w:marBottom w:val="0"/>
          <w:divBdr>
            <w:top w:val="none" w:sz="0" w:space="0" w:color="auto"/>
            <w:left w:val="none" w:sz="0" w:space="0" w:color="auto"/>
            <w:bottom w:val="none" w:sz="0" w:space="0" w:color="auto"/>
            <w:right w:val="none" w:sz="0" w:space="0" w:color="auto"/>
          </w:divBdr>
        </w:div>
        <w:div w:id="953949480">
          <w:marLeft w:val="418"/>
          <w:marRight w:val="0"/>
          <w:marTop w:val="58"/>
          <w:marBottom w:val="0"/>
          <w:divBdr>
            <w:top w:val="none" w:sz="0" w:space="0" w:color="auto"/>
            <w:left w:val="none" w:sz="0" w:space="0" w:color="auto"/>
            <w:bottom w:val="none" w:sz="0" w:space="0" w:color="auto"/>
            <w:right w:val="none" w:sz="0" w:space="0" w:color="auto"/>
          </w:divBdr>
        </w:div>
      </w:divsChild>
    </w:div>
    <w:div w:id="1891990008">
      <w:bodyDiv w:val="1"/>
      <w:marLeft w:val="0"/>
      <w:marRight w:val="0"/>
      <w:marTop w:val="0"/>
      <w:marBottom w:val="0"/>
      <w:divBdr>
        <w:top w:val="none" w:sz="0" w:space="0" w:color="auto"/>
        <w:left w:val="none" w:sz="0" w:space="0" w:color="auto"/>
        <w:bottom w:val="none" w:sz="0" w:space="0" w:color="auto"/>
        <w:right w:val="none" w:sz="0" w:space="0" w:color="auto"/>
      </w:divBdr>
    </w:div>
    <w:div w:id="1894072806">
      <w:bodyDiv w:val="1"/>
      <w:marLeft w:val="0"/>
      <w:marRight w:val="0"/>
      <w:marTop w:val="0"/>
      <w:marBottom w:val="0"/>
      <w:divBdr>
        <w:top w:val="none" w:sz="0" w:space="0" w:color="auto"/>
        <w:left w:val="none" w:sz="0" w:space="0" w:color="auto"/>
        <w:bottom w:val="none" w:sz="0" w:space="0" w:color="auto"/>
        <w:right w:val="none" w:sz="0" w:space="0" w:color="auto"/>
      </w:divBdr>
    </w:div>
    <w:div w:id="1942640100">
      <w:bodyDiv w:val="1"/>
      <w:marLeft w:val="0"/>
      <w:marRight w:val="0"/>
      <w:marTop w:val="0"/>
      <w:marBottom w:val="0"/>
      <w:divBdr>
        <w:top w:val="none" w:sz="0" w:space="0" w:color="auto"/>
        <w:left w:val="none" w:sz="0" w:space="0" w:color="auto"/>
        <w:bottom w:val="none" w:sz="0" w:space="0" w:color="auto"/>
        <w:right w:val="none" w:sz="0" w:space="0" w:color="auto"/>
      </w:divBdr>
    </w:div>
    <w:div w:id="1943873635">
      <w:bodyDiv w:val="1"/>
      <w:marLeft w:val="0"/>
      <w:marRight w:val="0"/>
      <w:marTop w:val="0"/>
      <w:marBottom w:val="0"/>
      <w:divBdr>
        <w:top w:val="none" w:sz="0" w:space="0" w:color="auto"/>
        <w:left w:val="none" w:sz="0" w:space="0" w:color="auto"/>
        <w:bottom w:val="none" w:sz="0" w:space="0" w:color="auto"/>
        <w:right w:val="none" w:sz="0" w:space="0" w:color="auto"/>
      </w:divBdr>
    </w:div>
    <w:div w:id="1944191676">
      <w:bodyDiv w:val="1"/>
      <w:marLeft w:val="0"/>
      <w:marRight w:val="0"/>
      <w:marTop w:val="0"/>
      <w:marBottom w:val="0"/>
      <w:divBdr>
        <w:top w:val="none" w:sz="0" w:space="0" w:color="auto"/>
        <w:left w:val="none" w:sz="0" w:space="0" w:color="auto"/>
        <w:bottom w:val="none" w:sz="0" w:space="0" w:color="auto"/>
        <w:right w:val="none" w:sz="0" w:space="0" w:color="auto"/>
      </w:divBdr>
      <w:divsChild>
        <w:div w:id="134950326">
          <w:marLeft w:val="576"/>
          <w:marRight w:val="0"/>
          <w:marTop w:val="48"/>
          <w:marBottom w:val="0"/>
          <w:divBdr>
            <w:top w:val="none" w:sz="0" w:space="0" w:color="auto"/>
            <w:left w:val="none" w:sz="0" w:space="0" w:color="auto"/>
            <w:bottom w:val="none" w:sz="0" w:space="0" w:color="auto"/>
            <w:right w:val="none" w:sz="0" w:space="0" w:color="auto"/>
          </w:divBdr>
        </w:div>
        <w:div w:id="194389829">
          <w:marLeft w:val="576"/>
          <w:marRight w:val="0"/>
          <w:marTop w:val="48"/>
          <w:marBottom w:val="0"/>
          <w:divBdr>
            <w:top w:val="none" w:sz="0" w:space="0" w:color="auto"/>
            <w:left w:val="none" w:sz="0" w:space="0" w:color="auto"/>
            <w:bottom w:val="none" w:sz="0" w:space="0" w:color="auto"/>
            <w:right w:val="none" w:sz="0" w:space="0" w:color="auto"/>
          </w:divBdr>
        </w:div>
        <w:div w:id="244338364">
          <w:marLeft w:val="576"/>
          <w:marRight w:val="0"/>
          <w:marTop w:val="48"/>
          <w:marBottom w:val="0"/>
          <w:divBdr>
            <w:top w:val="none" w:sz="0" w:space="0" w:color="auto"/>
            <w:left w:val="none" w:sz="0" w:space="0" w:color="auto"/>
            <w:bottom w:val="none" w:sz="0" w:space="0" w:color="auto"/>
            <w:right w:val="none" w:sz="0" w:space="0" w:color="auto"/>
          </w:divBdr>
        </w:div>
        <w:div w:id="319426772">
          <w:marLeft w:val="850"/>
          <w:marRight w:val="0"/>
          <w:marTop w:val="48"/>
          <w:marBottom w:val="0"/>
          <w:divBdr>
            <w:top w:val="none" w:sz="0" w:space="0" w:color="auto"/>
            <w:left w:val="none" w:sz="0" w:space="0" w:color="auto"/>
            <w:bottom w:val="none" w:sz="0" w:space="0" w:color="auto"/>
            <w:right w:val="none" w:sz="0" w:space="0" w:color="auto"/>
          </w:divBdr>
        </w:div>
        <w:div w:id="403839258">
          <w:marLeft w:val="288"/>
          <w:marRight w:val="0"/>
          <w:marTop w:val="48"/>
          <w:marBottom w:val="0"/>
          <w:divBdr>
            <w:top w:val="none" w:sz="0" w:space="0" w:color="auto"/>
            <w:left w:val="none" w:sz="0" w:space="0" w:color="auto"/>
            <w:bottom w:val="none" w:sz="0" w:space="0" w:color="auto"/>
            <w:right w:val="none" w:sz="0" w:space="0" w:color="auto"/>
          </w:divBdr>
        </w:div>
        <w:div w:id="463620356">
          <w:marLeft w:val="288"/>
          <w:marRight w:val="0"/>
          <w:marTop w:val="48"/>
          <w:marBottom w:val="0"/>
          <w:divBdr>
            <w:top w:val="none" w:sz="0" w:space="0" w:color="auto"/>
            <w:left w:val="none" w:sz="0" w:space="0" w:color="auto"/>
            <w:bottom w:val="none" w:sz="0" w:space="0" w:color="auto"/>
            <w:right w:val="none" w:sz="0" w:space="0" w:color="auto"/>
          </w:divBdr>
        </w:div>
        <w:div w:id="529532500">
          <w:marLeft w:val="576"/>
          <w:marRight w:val="0"/>
          <w:marTop w:val="48"/>
          <w:marBottom w:val="0"/>
          <w:divBdr>
            <w:top w:val="none" w:sz="0" w:space="0" w:color="auto"/>
            <w:left w:val="none" w:sz="0" w:space="0" w:color="auto"/>
            <w:bottom w:val="none" w:sz="0" w:space="0" w:color="auto"/>
            <w:right w:val="none" w:sz="0" w:space="0" w:color="auto"/>
          </w:divBdr>
        </w:div>
        <w:div w:id="555703716">
          <w:marLeft w:val="288"/>
          <w:marRight w:val="0"/>
          <w:marTop w:val="48"/>
          <w:marBottom w:val="0"/>
          <w:divBdr>
            <w:top w:val="none" w:sz="0" w:space="0" w:color="auto"/>
            <w:left w:val="none" w:sz="0" w:space="0" w:color="auto"/>
            <w:bottom w:val="none" w:sz="0" w:space="0" w:color="auto"/>
            <w:right w:val="none" w:sz="0" w:space="0" w:color="auto"/>
          </w:divBdr>
        </w:div>
        <w:div w:id="682391140">
          <w:marLeft w:val="576"/>
          <w:marRight w:val="0"/>
          <w:marTop w:val="48"/>
          <w:marBottom w:val="0"/>
          <w:divBdr>
            <w:top w:val="none" w:sz="0" w:space="0" w:color="auto"/>
            <w:left w:val="none" w:sz="0" w:space="0" w:color="auto"/>
            <w:bottom w:val="none" w:sz="0" w:space="0" w:color="auto"/>
            <w:right w:val="none" w:sz="0" w:space="0" w:color="auto"/>
          </w:divBdr>
        </w:div>
        <w:div w:id="722288182">
          <w:marLeft w:val="576"/>
          <w:marRight w:val="0"/>
          <w:marTop w:val="48"/>
          <w:marBottom w:val="0"/>
          <w:divBdr>
            <w:top w:val="none" w:sz="0" w:space="0" w:color="auto"/>
            <w:left w:val="none" w:sz="0" w:space="0" w:color="auto"/>
            <w:bottom w:val="none" w:sz="0" w:space="0" w:color="auto"/>
            <w:right w:val="none" w:sz="0" w:space="0" w:color="auto"/>
          </w:divBdr>
        </w:div>
        <w:div w:id="729309177">
          <w:marLeft w:val="576"/>
          <w:marRight w:val="0"/>
          <w:marTop w:val="48"/>
          <w:marBottom w:val="0"/>
          <w:divBdr>
            <w:top w:val="none" w:sz="0" w:space="0" w:color="auto"/>
            <w:left w:val="none" w:sz="0" w:space="0" w:color="auto"/>
            <w:bottom w:val="none" w:sz="0" w:space="0" w:color="auto"/>
            <w:right w:val="none" w:sz="0" w:space="0" w:color="auto"/>
          </w:divBdr>
        </w:div>
        <w:div w:id="986209371">
          <w:marLeft w:val="576"/>
          <w:marRight w:val="0"/>
          <w:marTop w:val="48"/>
          <w:marBottom w:val="0"/>
          <w:divBdr>
            <w:top w:val="none" w:sz="0" w:space="0" w:color="auto"/>
            <w:left w:val="none" w:sz="0" w:space="0" w:color="auto"/>
            <w:bottom w:val="none" w:sz="0" w:space="0" w:color="auto"/>
            <w:right w:val="none" w:sz="0" w:space="0" w:color="auto"/>
          </w:divBdr>
        </w:div>
        <w:div w:id="1048534889">
          <w:marLeft w:val="288"/>
          <w:marRight w:val="0"/>
          <w:marTop w:val="48"/>
          <w:marBottom w:val="0"/>
          <w:divBdr>
            <w:top w:val="none" w:sz="0" w:space="0" w:color="auto"/>
            <w:left w:val="none" w:sz="0" w:space="0" w:color="auto"/>
            <w:bottom w:val="none" w:sz="0" w:space="0" w:color="auto"/>
            <w:right w:val="none" w:sz="0" w:space="0" w:color="auto"/>
          </w:divBdr>
        </w:div>
        <w:div w:id="1229150356">
          <w:marLeft w:val="576"/>
          <w:marRight w:val="0"/>
          <w:marTop w:val="48"/>
          <w:marBottom w:val="0"/>
          <w:divBdr>
            <w:top w:val="none" w:sz="0" w:space="0" w:color="auto"/>
            <w:left w:val="none" w:sz="0" w:space="0" w:color="auto"/>
            <w:bottom w:val="none" w:sz="0" w:space="0" w:color="auto"/>
            <w:right w:val="none" w:sz="0" w:space="0" w:color="auto"/>
          </w:divBdr>
        </w:div>
        <w:div w:id="1330131619">
          <w:marLeft w:val="576"/>
          <w:marRight w:val="0"/>
          <w:marTop w:val="48"/>
          <w:marBottom w:val="0"/>
          <w:divBdr>
            <w:top w:val="none" w:sz="0" w:space="0" w:color="auto"/>
            <w:left w:val="none" w:sz="0" w:space="0" w:color="auto"/>
            <w:bottom w:val="none" w:sz="0" w:space="0" w:color="auto"/>
            <w:right w:val="none" w:sz="0" w:space="0" w:color="auto"/>
          </w:divBdr>
        </w:div>
        <w:div w:id="1387333914">
          <w:marLeft w:val="576"/>
          <w:marRight w:val="0"/>
          <w:marTop w:val="48"/>
          <w:marBottom w:val="0"/>
          <w:divBdr>
            <w:top w:val="none" w:sz="0" w:space="0" w:color="auto"/>
            <w:left w:val="none" w:sz="0" w:space="0" w:color="auto"/>
            <w:bottom w:val="none" w:sz="0" w:space="0" w:color="auto"/>
            <w:right w:val="none" w:sz="0" w:space="0" w:color="auto"/>
          </w:divBdr>
        </w:div>
        <w:div w:id="1499230094">
          <w:marLeft w:val="576"/>
          <w:marRight w:val="0"/>
          <w:marTop w:val="48"/>
          <w:marBottom w:val="0"/>
          <w:divBdr>
            <w:top w:val="none" w:sz="0" w:space="0" w:color="auto"/>
            <w:left w:val="none" w:sz="0" w:space="0" w:color="auto"/>
            <w:bottom w:val="none" w:sz="0" w:space="0" w:color="auto"/>
            <w:right w:val="none" w:sz="0" w:space="0" w:color="auto"/>
          </w:divBdr>
        </w:div>
        <w:div w:id="1515192490">
          <w:marLeft w:val="288"/>
          <w:marRight w:val="0"/>
          <w:marTop w:val="48"/>
          <w:marBottom w:val="0"/>
          <w:divBdr>
            <w:top w:val="none" w:sz="0" w:space="0" w:color="auto"/>
            <w:left w:val="none" w:sz="0" w:space="0" w:color="auto"/>
            <w:bottom w:val="none" w:sz="0" w:space="0" w:color="auto"/>
            <w:right w:val="none" w:sz="0" w:space="0" w:color="auto"/>
          </w:divBdr>
        </w:div>
        <w:div w:id="1610427417">
          <w:marLeft w:val="288"/>
          <w:marRight w:val="0"/>
          <w:marTop w:val="48"/>
          <w:marBottom w:val="0"/>
          <w:divBdr>
            <w:top w:val="none" w:sz="0" w:space="0" w:color="auto"/>
            <w:left w:val="none" w:sz="0" w:space="0" w:color="auto"/>
            <w:bottom w:val="none" w:sz="0" w:space="0" w:color="auto"/>
            <w:right w:val="none" w:sz="0" w:space="0" w:color="auto"/>
          </w:divBdr>
        </w:div>
        <w:div w:id="1802570862">
          <w:marLeft w:val="576"/>
          <w:marRight w:val="0"/>
          <w:marTop w:val="48"/>
          <w:marBottom w:val="0"/>
          <w:divBdr>
            <w:top w:val="none" w:sz="0" w:space="0" w:color="auto"/>
            <w:left w:val="none" w:sz="0" w:space="0" w:color="auto"/>
            <w:bottom w:val="none" w:sz="0" w:space="0" w:color="auto"/>
            <w:right w:val="none" w:sz="0" w:space="0" w:color="auto"/>
          </w:divBdr>
        </w:div>
        <w:div w:id="1877355895">
          <w:marLeft w:val="576"/>
          <w:marRight w:val="0"/>
          <w:marTop w:val="48"/>
          <w:marBottom w:val="0"/>
          <w:divBdr>
            <w:top w:val="none" w:sz="0" w:space="0" w:color="auto"/>
            <w:left w:val="none" w:sz="0" w:space="0" w:color="auto"/>
            <w:bottom w:val="none" w:sz="0" w:space="0" w:color="auto"/>
            <w:right w:val="none" w:sz="0" w:space="0" w:color="auto"/>
          </w:divBdr>
        </w:div>
      </w:divsChild>
    </w:div>
    <w:div w:id="2009744026">
      <w:bodyDiv w:val="1"/>
      <w:marLeft w:val="0"/>
      <w:marRight w:val="0"/>
      <w:marTop w:val="0"/>
      <w:marBottom w:val="0"/>
      <w:divBdr>
        <w:top w:val="none" w:sz="0" w:space="0" w:color="auto"/>
        <w:left w:val="none" w:sz="0" w:space="0" w:color="auto"/>
        <w:bottom w:val="none" w:sz="0" w:space="0" w:color="auto"/>
        <w:right w:val="none" w:sz="0" w:space="0" w:color="auto"/>
      </w:divBdr>
    </w:div>
    <w:div w:id="2049446093">
      <w:bodyDiv w:val="1"/>
      <w:marLeft w:val="0"/>
      <w:marRight w:val="0"/>
      <w:marTop w:val="0"/>
      <w:marBottom w:val="0"/>
      <w:divBdr>
        <w:top w:val="none" w:sz="0" w:space="0" w:color="auto"/>
        <w:left w:val="none" w:sz="0" w:space="0" w:color="auto"/>
        <w:bottom w:val="none" w:sz="0" w:space="0" w:color="auto"/>
        <w:right w:val="none" w:sz="0" w:space="0" w:color="auto"/>
      </w:divBdr>
      <w:divsChild>
        <w:div w:id="929387741">
          <w:marLeft w:val="418"/>
          <w:marRight w:val="0"/>
          <w:marTop w:val="58"/>
          <w:marBottom w:val="0"/>
          <w:divBdr>
            <w:top w:val="none" w:sz="0" w:space="0" w:color="auto"/>
            <w:left w:val="none" w:sz="0" w:space="0" w:color="auto"/>
            <w:bottom w:val="none" w:sz="0" w:space="0" w:color="auto"/>
            <w:right w:val="none" w:sz="0" w:space="0" w:color="auto"/>
          </w:divBdr>
        </w:div>
        <w:div w:id="1263107134">
          <w:marLeft w:val="418"/>
          <w:marRight w:val="0"/>
          <w:marTop w:val="58"/>
          <w:marBottom w:val="0"/>
          <w:divBdr>
            <w:top w:val="none" w:sz="0" w:space="0" w:color="auto"/>
            <w:left w:val="none" w:sz="0" w:space="0" w:color="auto"/>
            <w:bottom w:val="none" w:sz="0" w:space="0" w:color="auto"/>
            <w:right w:val="none" w:sz="0" w:space="0" w:color="auto"/>
          </w:divBdr>
        </w:div>
      </w:divsChild>
    </w:div>
    <w:div w:id="2056463779">
      <w:bodyDiv w:val="1"/>
      <w:marLeft w:val="0"/>
      <w:marRight w:val="0"/>
      <w:marTop w:val="0"/>
      <w:marBottom w:val="0"/>
      <w:divBdr>
        <w:top w:val="none" w:sz="0" w:space="0" w:color="auto"/>
        <w:left w:val="none" w:sz="0" w:space="0" w:color="auto"/>
        <w:bottom w:val="none" w:sz="0" w:space="0" w:color="auto"/>
        <w:right w:val="none" w:sz="0" w:space="0" w:color="auto"/>
      </w:divBdr>
    </w:div>
    <w:div w:id="2064058595">
      <w:bodyDiv w:val="1"/>
      <w:marLeft w:val="0"/>
      <w:marRight w:val="0"/>
      <w:marTop w:val="0"/>
      <w:marBottom w:val="0"/>
      <w:divBdr>
        <w:top w:val="none" w:sz="0" w:space="0" w:color="auto"/>
        <w:left w:val="none" w:sz="0" w:space="0" w:color="auto"/>
        <w:bottom w:val="none" w:sz="0" w:space="0" w:color="auto"/>
        <w:right w:val="none" w:sz="0" w:space="0" w:color="auto"/>
      </w:divBdr>
      <w:divsChild>
        <w:div w:id="1137606505">
          <w:marLeft w:val="418"/>
          <w:marRight w:val="0"/>
          <w:marTop w:val="58"/>
          <w:marBottom w:val="0"/>
          <w:divBdr>
            <w:top w:val="none" w:sz="0" w:space="0" w:color="auto"/>
            <w:left w:val="none" w:sz="0" w:space="0" w:color="auto"/>
            <w:bottom w:val="none" w:sz="0" w:space="0" w:color="auto"/>
            <w:right w:val="none" w:sz="0" w:space="0" w:color="auto"/>
          </w:divBdr>
        </w:div>
      </w:divsChild>
    </w:div>
    <w:div w:id="21384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6a69bcf4-53cf-403b-9048-936b1531f1ad">G01315675-000119</_dlc_DocId>
    <_dlc_DocIdUrl xmlns="6a69bcf4-53cf-403b-9048-936b1531f1ad">
      <Url>https://gdok.finma.ch/container/1446/_layouts/15/DocIdRedir.aspx?ID=G01315675-000119</Url>
      <Description>G01315675-000119</Description>
    </_dlc_DocIdUrl>
    <FinmaDocumentDate xmlns="6a69bcf4-53cf-403b-9048-936b1531f1ad">2024-01-07T23:00:00+00:00</FinmaDocumentDate>
    <g1c9cab47ab34847b4ac830bba5063b0 xmlns="6a69bcf4-53cf-403b-9048-936b1531f1ad">
      <Terms xmlns="http://schemas.microsoft.com/office/infopath/2007/PartnerControls"/>
    </g1c9cab47ab34847b4ac830bba5063b0>
    <FinmaPasswordProtected xmlns="6a69bcf4-53cf-403b-9048-936b1531f1ad">false</FinmaPasswordProtected>
    <FinmaObjectId xmlns="6a69bcf4-53cf-403b-9048-936b1531f1ad">F00164912</FinmaObjectId>
    <TaxCatchAll xmlns="6a69bcf4-53cf-403b-9048-936b1531f1ad">
      <Value>1</Value>
      <Value>336</Value>
    </TaxCatchAll>
    <FinmaCaseDescription xmlns="6a69bcf4-53cf-403b-9048-936b1531f1ad">Prüfpunkte (G01315675)</FinmaCaseDescription>
    <n1f5c6536ac648a38ad663cdf8bd44e6 xmlns="6a69bcf4-53cf-403b-9048-936b1531f1ad">
      <Terms xmlns="http://schemas.microsoft.com/office/infopath/2007/PartnerControls">
        <TermInfo xmlns="http://schemas.microsoft.com/office/infopath/2007/PartnerControls">
          <TermName xmlns="http://schemas.microsoft.com/office/infopath/2007/PartnerControls">A0000563618</TermName>
          <TermId xmlns="http://schemas.microsoft.com/office/infopath/2007/PartnerControls">1c3927f8-a85a-4748-8a0d-e8ebcbf76e60</TermId>
        </TermInfo>
      </Terms>
    </n1f5c6536ac648a38ad663cdf8bd44e6>
    <f6ac7f7711e24d149a1ab98f6cfad432 xmlns="6a69bcf4-53cf-403b-9048-936b1531f1ad">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6a69bcf4-53cf-403b-9048-936b1531f1ad">2024-01-08T12:38:32+00:00</FinmaValidationDate>
    <Aktionswert xmlns="6a69bcf4-53cf-403b-9048-936b1531f1ad" xsi:nil="true"/>
    <FinmaObjectName xmlns="6a69bcf4-53cf-403b-9048-936b1531f1ad">Eidgenössische Finanzmarktaufsicht FINMA (F00164912)</FinmaObjectName>
    <FinmaValidationResult xmlns="6a69bcf4-53cf-403b-9048-936b1531f1ad" xsi:nil="true"/>
    <FinmaCaseID xmlns="6a69bcf4-53cf-403b-9048-936b1531f1ad">G01315675</FinmaCaseID>
    <h5452bf913d342ef967d06fb0970c0a5 xmlns="6a69bcf4-53cf-403b-9048-936b1531f1ad">
      <Terms xmlns="http://schemas.microsoft.com/office/infopath/2007/PartnerControls"/>
    </h5452bf913d342ef967d06fb0970c0a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Dok Document" ma:contentTypeID="0x0101003A499141982C43AFAF241BDE541C18D50000519DF5795C73439C3BCF439616D716" ma:contentTypeVersion="18" ma:contentTypeDescription="Create a new document." ma:contentTypeScope="" ma:versionID="3e9dbafe18dff3d69f8d18d881175270">
  <xsd:schema xmlns:xsd="http://www.w3.org/2001/XMLSchema" xmlns:xs="http://www.w3.org/2001/XMLSchema" xmlns:p="http://schemas.microsoft.com/office/2006/metadata/properties" xmlns:ns2="6a69bcf4-53cf-403b-9048-936b1531f1ad" targetNamespace="http://schemas.microsoft.com/office/2006/metadata/properties" ma:root="true" ma:fieldsID="c38773aaff0ce6d2ba3f1ef59662825f" ns2:_="">
    <xsd:import namespace="6a69bcf4-53cf-403b-9048-936b1531f1ad"/>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9bcf4-53cf-403b-9048-936b1531f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Prüfpunkte (G01315675)"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1d897c7-6512-47f2-a160-da422b0663e8}" ma:internalName="TaxCatchAll" ma:showField="CatchAllData"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1d897c7-6512-47f2-a160-da422b0663e8}" ma:internalName="TaxCatchAllLabel" ma:readOnly="true" ma:showField="CatchAllDataLabel"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315675"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82dd8aca-48d0-4b35-8214-4412d12ff6a5" ma:anchorId="014b0467-8825-4d4f-8a01-d04ca28bebe8" ma:open="fals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F00164912" ma:internalName="FinmaObjectId">
      <xsd:simpleType>
        <xsd:restriction base="dms:Text">
          <xsd:maxLength value="255"/>
        </xsd:restriction>
      </xsd:simpleType>
    </xsd:element>
    <xsd:element name="FinmaObjectName" ma:index="29" nillable="true" ma:displayName="Finma Objekt Bezeichnung" ma:default="Eidgenössische Finanzmarktaufsicht FINMA (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CBD50-D837-4C28-9DBD-EF715118D9E9}">
  <ds:schemaRefs>
    <ds:schemaRef ds:uri="http://schemas.microsoft.com/sharepoint/events"/>
  </ds:schemaRefs>
</ds:datastoreItem>
</file>

<file path=customXml/itemProps2.xml><?xml version="1.0" encoding="utf-8"?>
<ds:datastoreItem xmlns:ds="http://schemas.openxmlformats.org/officeDocument/2006/customXml" ds:itemID="{726FC71C-D9E3-439F-84E7-CDD50D00FA35}">
  <ds:schemaRefs>
    <ds:schemaRef ds:uri="http://schemas.openxmlformats.org/officeDocument/2006/bibliography"/>
  </ds:schemaRefs>
</ds:datastoreItem>
</file>

<file path=customXml/itemProps3.xml><?xml version="1.0" encoding="utf-8"?>
<ds:datastoreItem xmlns:ds="http://schemas.openxmlformats.org/officeDocument/2006/customXml" ds:itemID="{C985F6C7-E182-4CEA-92D7-3AA3295CD3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69bcf4-53cf-403b-9048-936b1531f1a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19C0542-D058-4061-9074-5D694330742C}">
  <ds:schemaRefs>
    <ds:schemaRef ds:uri="http://schemas.microsoft.com/sharepoint/v3/contenttype/forms"/>
  </ds:schemaRefs>
</ds:datastoreItem>
</file>

<file path=customXml/itemProps5.xml><?xml version="1.0" encoding="utf-8"?>
<ds:datastoreItem xmlns:ds="http://schemas.openxmlformats.org/officeDocument/2006/customXml" ds:itemID="{698EDF5F-A162-4DC2-B33B-2901675A7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9bcf4-53cf-403b-9048-936b1531f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2444</ap:Words>
  <ap:Characters>15398</ap:Characters>
  <ap:Application>Microsoft Office Word</ap:Application>
  <ap:DocSecurity>0</ap:DocSecurity>
  <ap:Lines>128</ap:Lines>
  <ap:Paragraphs>35</ap:Paragraphs>
  <ap:ScaleCrop>false</ap:ScaleCrop>
  <ap:HeadingPairs>
    <vt:vector baseType="variant" size="4">
      <vt:variant>
        <vt:lpstr>Titel</vt:lpstr>
      </vt:variant>
      <vt:variant>
        <vt:i4>1</vt:i4>
      </vt:variant>
      <vt:variant>
        <vt:lpstr>Titre</vt:lpstr>
      </vt:variant>
      <vt:variant>
        <vt:i4>1</vt:i4>
      </vt:variant>
    </vt:vector>
  </ap:HeadingPairs>
  <ap:TitlesOfParts>
    <vt:vector baseType="lpstr" size="2">
      <vt:lpstr/>
      <vt:lpstr/>
    </vt:vector>
  </ap:TitlesOfParts>
  <ap:LinksUpToDate>false</ap:LinksUpToDate>
  <ap:CharactersWithSpaces>17807</ap:CharactersWithSpaces>
  <ap:SharedDoc>false</ap:SharedDoc>
  <ap:HyperlinksChanged>false</ap:HyperlinksChanged>
  <ap:AppVersion>16.0000</ap:AppVersion>
  <ap:Company/>
  <ap:Manager/>
  <ap:HyperlinkBas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2024-01-08T12:38:00.0000000Z</dcterms:created>
  <dcterms:modified xsi:type="dcterms:W3CDTF">2024-01-09T09:34:00.0000000Z</dcterms:modified>
  <category/>
  <contentType/>
  <contentStatus/>
  <version/>
  <dc:language/>
  <dc:identifier/>
</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ContentTypeId">
    <vt:lpwstr>0x0101003A499141982C43AFAF241BDE541C18D50000519DF5795C73439C3BCF439616D716</vt:lpwstr>
  </op:property>
  <op:property fmtid="{D5CDD505-2E9C-101B-9397-08002B2CF9AE}" pid="4" name="OSP">
    <vt:lpwstr>24;#4-01.9 Verschiedenes|e6fcb4e3-30b0-4407-a767-d767f5fd947e</vt:lpwstr>
  </op:property>
  <op:property fmtid="{D5CDD505-2E9C-101B-9397-08002B2CF9AE}" pid="5" name="OU">
    <vt:lpwstr>2;#GB-B|e94a01d0-8159-4312-8c27-537da63eee99</vt:lpwstr>
  </op:property>
  <op:property fmtid="{D5CDD505-2E9C-101B-9397-08002B2CF9AE}" pid="6" name="_dlc_DocIdItemGuid">
    <vt:lpwstr>a1b3c1f1-f951-47ca-99c2-c97becd2a74c</vt:lpwstr>
  </op:property>
  <op:property fmtid="{D5CDD505-2E9C-101B-9397-08002B2CF9AE}" pid="7" name="FinmaCrmEntityIDs">
    <vt:lpwstr>336;#A0000563618|1c3927f8-a85a-4748-8a0d-e8ebcbf76e60</vt:lpwstr>
  </op:property>
  <op:property fmtid="{D5CDD505-2E9C-101B-9397-08002B2CF9AE}" pid="8" name="FinmaCatchphrases">
    <vt:lpwstr/>
  </op:property>
  <op:property fmtid="{D5CDD505-2E9C-101B-9397-08002B2CF9AE}" pid="9" name="FinmaCaseStatus">
    <vt:lpwstr>1;#Aktiv|7439e81f-a110-4e88-a7af-acf8d4806223</vt:lpwstr>
  </op:property>
  <op:property fmtid="{D5CDD505-2E9C-101B-9397-08002B2CF9AE}" pid="10" name="FinmaCategory">
    <vt:lpwstr/>
  </op:property>
</op:Properties>
</file>