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C1E5" w14:textId="5AB34726" w:rsidR="00DB7CF3" w:rsidRPr="00003E26" w:rsidRDefault="00622C87">
      <w:pPr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Points </w:t>
      </w:r>
      <w:r w:rsidR="000D48E6">
        <w:rPr>
          <w:b/>
          <w:sz w:val="28"/>
        </w:rPr>
        <w:t>d’audit</w:t>
      </w:r>
      <w:r>
        <w:rPr>
          <w:b/>
          <w:sz w:val="28"/>
        </w:rPr>
        <w:t xml:space="preserve"> concernant les autres risques provenant des risques juridiques et de procès</w:t>
      </w:r>
    </w:p>
    <w:p w14:paraId="269CC1E6" w14:textId="77777777" w:rsidR="00D247FF" w:rsidRPr="00DB7CF3" w:rsidRDefault="005D00E1">
      <w:pPr>
        <w:rPr>
          <w:rFonts w:cs="Arial"/>
          <w:b/>
        </w:rPr>
      </w:pPr>
      <w:r>
        <w:rPr>
          <w:b/>
        </w:rPr>
        <w:t>Vue d'ensemble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52"/>
        <w:gridCol w:w="11517"/>
      </w:tblGrid>
      <w:tr w:rsidR="001B763E" w:rsidRPr="00E75CFD" w14:paraId="269CC1E9" w14:textId="77777777" w:rsidTr="00EA067E">
        <w:tc>
          <w:tcPr>
            <w:tcW w:w="2694" w:type="dxa"/>
            <w:shd w:val="pct10" w:color="auto" w:fill="auto"/>
          </w:tcPr>
          <w:p w14:paraId="269CC1E7" w14:textId="0D6E7E82" w:rsidR="001B763E" w:rsidRPr="009438B7" w:rsidRDefault="00803B27" w:rsidP="00352874">
            <w:pPr>
              <w:tabs>
                <w:tab w:val="left" w:pos="1418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Champ d'audit </w:t>
            </w:r>
            <w:r w:rsidR="001B763E">
              <w:rPr>
                <w:b/>
              </w:rPr>
              <w:t>:</w:t>
            </w:r>
          </w:p>
        </w:tc>
        <w:tc>
          <w:tcPr>
            <w:tcW w:w="11701" w:type="dxa"/>
            <w:shd w:val="pct10" w:color="auto" w:fill="auto"/>
          </w:tcPr>
          <w:p w14:paraId="269CC1E8" w14:textId="77777777" w:rsidR="00E75CFD" w:rsidRPr="00E75CFD" w:rsidRDefault="00E75CFD" w:rsidP="000C6812">
            <w:pPr>
              <w:tabs>
                <w:tab w:val="left" w:pos="1859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Risques d'affaires – gestion des risques : autres risques provenant des risques juridiques et de procès</w:t>
            </w:r>
          </w:p>
        </w:tc>
      </w:tr>
      <w:tr w:rsidR="009F7E12" w:rsidRPr="00F6760D" w14:paraId="269CC1EC" w14:textId="77777777" w:rsidTr="00EA067E">
        <w:tc>
          <w:tcPr>
            <w:tcW w:w="2694" w:type="dxa"/>
            <w:shd w:val="pct10" w:color="auto" w:fill="auto"/>
          </w:tcPr>
          <w:p w14:paraId="269CC1EA" w14:textId="77777777" w:rsidR="009F7E12" w:rsidRPr="009438B7" w:rsidRDefault="009F7E12" w:rsidP="00352874">
            <w:pPr>
              <w:tabs>
                <w:tab w:val="left" w:pos="1418"/>
              </w:tabs>
              <w:rPr>
                <w:rFonts w:cs="Arial"/>
                <w:b/>
                <w:szCs w:val="18"/>
              </w:rPr>
            </w:pPr>
            <w:r>
              <w:rPr>
                <w:b/>
              </w:rPr>
              <w:t>Etendue d'audit :</w:t>
            </w:r>
          </w:p>
        </w:tc>
        <w:tc>
          <w:tcPr>
            <w:tcW w:w="11701" w:type="dxa"/>
            <w:shd w:val="pct10" w:color="auto" w:fill="auto"/>
          </w:tcPr>
          <w:p w14:paraId="269CC1EB" w14:textId="43397E6F" w:rsidR="009F7E12" w:rsidRPr="0045532C" w:rsidRDefault="00424650" w:rsidP="006C2A6A">
            <w:pPr>
              <w:tabs>
                <w:tab w:val="left" w:pos="1859"/>
              </w:tabs>
              <w:rPr>
                <w:rFonts w:cs="Arial"/>
                <w:szCs w:val="18"/>
              </w:rPr>
            </w:pPr>
            <w:r>
              <w:rPr>
                <w:highlight w:val="yellow"/>
              </w:rPr>
              <w:t>[Audit / Revue critique]</w:t>
            </w:r>
            <w:r w:rsidR="000D48E6">
              <w:rPr>
                <w:rStyle w:val="Appelnotedebasdep"/>
                <w:highlight w:val="yellow"/>
              </w:rPr>
              <w:footnoteReference w:id="1"/>
            </w:r>
          </w:p>
        </w:tc>
      </w:tr>
      <w:tr w:rsidR="00F37CB4" w:rsidRPr="00480444" w14:paraId="269CC1F2" w14:textId="77777777" w:rsidTr="00F37CB4">
        <w:tc>
          <w:tcPr>
            <w:tcW w:w="2694" w:type="dxa"/>
          </w:tcPr>
          <w:p w14:paraId="269CC1ED" w14:textId="77777777" w:rsidR="00F37CB4" w:rsidRPr="009438B7" w:rsidRDefault="00F37CB4" w:rsidP="00352874">
            <w:pPr>
              <w:tabs>
                <w:tab w:val="left" w:pos="1418"/>
              </w:tabs>
              <w:rPr>
                <w:rFonts w:cs="Arial"/>
                <w:b/>
                <w:szCs w:val="20"/>
              </w:rPr>
            </w:pPr>
            <w:r>
              <w:rPr>
                <w:b/>
              </w:rPr>
              <w:t>Bases légales :</w:t>
            </w:r>
          </w:p>
          <w:p w14:paraId="269CC1EE" w14:textId="77777777" w:rsidR="008F1FC1" w:rsidRPr="009438B7" w:rsidRDefault="008F1FC1" w:rsidP="00352874">
            <w:pPr>
              <w:tabs>
                <w:tab w:val="left" w:pos="1418"/>
              </w:tabs>
              <w:rPr>
                <w:rFonts w:cs="Arial"/>
                <w:szCs w:val="20"/>
              </w:rPr>
            </w:pPr>
            <w:r>
              <w:t>(liste non exhaustive)</w:t>
            </w:r>
          </w:p>
        </w:tc>
        <w:tc>
          <w:tcPr>
            <w:tcW w:w="11701" w:type="dxa"/>
          </w:tcPr>
          <w:p w14:paraId="1201D68E" w14:textId="1DA1B7CA" w:rsidR="00622C87" w:rsidRDefault="00622C87" w:rsidP="00E75CFD">
            <w:pPr>
              <w:tabs>
                <w:tab w:val="left" w:pos="1859"/>
              </w:tabs>
              <w:ind w:hanging="39"/>
            </w:pPr>
            <w:r>
              <w:t>Art. 3 al. 2 let. </w:t>
            </w:r>
            <w:r w:rsidR="002E0182">
              <w:t>a</w:t>
            </w:r>
            <w:r>
              <w:t xml:space="preserve"> de la loi </w:t>
            </w:r>
            <w:r w:rsidR="0031170A" w:rsidRPr="0031170A">
              <w:t xml:space="preserve">du 8 novembre 1934 </w:t>
            </w:r>
            <w:r>
              <w:t>sur les banques (LB</w:t>
            </w:r>
            <w:r w:rsidR="0031170A">
              <w:t> </w:t>
            </w:r>
            <w:r w:rsidR="0031170A" w:rsidRPr="00EA03C8">
              <w:t>; RS </w:t>
            </w:r>
            <w:r w:rsidR="0031170A" w:rsidRPr="00EA03C8">
              <w:rPr>
                <w:i/>
                <w:iCs/>
              </w:rPr>
              <w:t>952.0</w:t>
            </w:r>
            <w:r>
              <w:t>)</w:t>
            </w:r>
          </w:p>
          <w:p w14:paraId="2885FE97" w14:textId="173C1BDC" w:rsidR="00622C87" w:rsidRDefault="00622C87" w:rsidP="00E75CFD">
            <w:pPr>
              <w:tabs>
                <w:tab w:val="left" w:pos="1859"/>
              </w:tabs>
              <w:ind w:hanging="39"/>
            </w:pPr>
            <w:r>
              <w:t xml:space="preserve">Art. 9 de la </w:t>
            </w:r>
            <w:r w:rsidR="0031170A">
              <w:t>loi fédérale du 15 juin 2018 sur les établissements financiers (LEFin ; RS </w:t>
            </w:r>
            <w:r w:rsidR="0031170A">
              <w:rPr>
                <w:i/>
              </w:rPr>
              <w:t>954.1</w:t>
            </w:r>
            <w:r w:rsidR="0031170A">
              <w:t>)</w:t>
            </w:r>
          </w:p>
          <w:p w14:paraId="269CC1EF" w14:textId="049753D8" w:rsidR="00E75CFD" w:rsidRDefault="00DD7C28" w:rsidP="00E75CFD">
            <w:pPr>
              <w:tabs>
                <w:tab w:val="left" w:pos="1859"/>
              </w:tabs>
              <w:ind w:hanging="39"/>
              <w:rPr>
                <w:rFonts w:cs="Arial"/>
                <w:szCs w:val="20"/>
              </w:rPr>
            </w:pPr>
            <w:r>
              <w:t xml:space="preserve">Art. 12 </w:t>
            </w:r>
            <w:r w:rsidR="003F47BA">
              <w:t>al. 2</w:t>
            </w:r>
            <w:r w:rsidR="00B91025">
              <w:t xml:space="preserve"> à </w:t>
            </w:r>
            <w:r w:rsidR="003F47BA">
              <w:t xml:space="preserve">4 </w:t>
            </w:r>
            <w:r>
              <w:t>de l'</w:t>
            </w:r>
            <w:r w:rsidR="0031170A">
              <w:t>ordonnance du 30 avril 2014 sur les banques et les caisses d’épargne (OB ; RS </w:t>
            </w:r>
            <w:r w:rsidR="0031170A">
              <w:rPr>
                <w:i/>
              </w:rPr>
              <w:t>952.02</w:t>
            </w:r>
            <w:r w:rsidR="0031170A">
              <w:t>)</w:t>
            </w:r>
          </w:p>
          <w:p w14:paraId="269CC1F1" w14:textId="0CF91DC9" w:rsidR="00622C87" w:rsidRPr="00B70350" w:rsidRDefault="00622C87" w:rsidP="0065727C">
            <w:pPr>
              <w:tabs>
                <w:tab w:val="left" w:pos="1859"/>
              </w:tabs>
              <w:ind w:hanging="39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Art. 12 </w:t>
            </w:r>
            <w:r w:rsidR="003F47BA">
              <w:rPr>
                <w:rFonts w:cs="Arial"/>
                <w:szCs w:val="20"/>
              </w:rPr>
              <w:t xml:space="preserve">al. 4, </w:t>
            </w:r>
            <w:r>
              <w:rPr>
                <w:rFonts w:cs="Arial"/>
                <w:szCs w:val="20"/>
              </w:rPr>
              <w:t xml:space="preserve">68 </w:t>
            </w:r>
            <w:r w:rsidR="003F47BA">
              <w:rPr>
                <w:rFonts w:cs="Arial"/>
                <w:szCs w:val="20"/>
              </w:rPr>
              <w:t xml:space="preserve">et 73 </w:t>
            </w:r>
            <w:r>
              <w:rPr>
                <w:rFonts w:cs="Arial"/>
                <w:szCs w:val="20"/>
              </w:rPr>
              <w:t xml:space="preserve">de l’ordonnance </w:t>
            </w:r>
            <w:r w:rsidR="0031170A">
              <w:t>du 6 novembre 2019 sur les établissements financiers (OEFin ; RS </w:t>
            </w:r>
            <w:r w:rsidR="0031170A">
              <w:rPr>
                <w:i/>
              </w:rPr>
              <w:t>954.11</w:t>
            </w:r>
            <w:r w:rsidR="0031170A">
              <w:t>)</w:t>
            </w:r>
          </w:p>
        </w:tc>
      </w:tr>
      <w:tr w:rsidR="00F37CB4" w:rsidRPr="0045532C" w14:paraId="269CC205" w14:textId="77777777" w:rsidTr="0041269F">
        <w:trPr>
          <w:trHeight w:val="2160"/>
        </w:trPr>
        <w:tc>
          <w:tcPr>
            <w:tcW w:w="2694" w:type="dxa"/>
          </w:tcPr>
          <w:p w14:paraId="269CC1F3" w14:textId="77777777" w:rsidR="00F37CB4" w:rsidRPr="009438B7" w:rsidRDefault="00F37CB4" w:rsidP="00B54948">
            <w:pPr>
              <w:tabs>
                <w:tab w:val="left" w:pos="1418"/>
              </w:tabs>
              <w:spacing w:before="120" w:after="120"/>
              <w:rPr>
                <w:rFonts w:cs="Arial"/>
                <w:b/>
                <w:szCs w:val="20"/>
              </w:rPr>
            </w:pPr>
            <w:r>
              <w:rPr>
                <w:b/>
              </w:rPr>
              <w:t>Visas :</w:t>
            </w:r>
          </w:p>
        </w:tc>
        <w:tc>
          <w:tcPr>
            <w:tcW w:w="11701" w:type="dxa"/>
          </w:tcPr>
          <w:p w14:paraId="269CC1F4" w14:textId="77777777" w:rsidR="00F37CB4" w:rsidRPr="0045532C" w:rsidRDefault="00F37CB4" w:rsidP="0041269F">
            <w:pPr>
              <w:tabs>
                <w:tab w:val="left" w:pos="1859"/>
              </w:tabs>
              <w:spacing w:before="120"/>
              <w:rPr>
                <w:rFonts w:cs="Arial"/>
                <w:sz w:val="2"/>
                <w:szCs w:val="2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983"/>
              <w:gridCol w:w="3617"/>
              <w:gridCol w:w="3478"/>
              <w:gridCol w:w="2208"/>
            </w:tblGrid>
            <w:tr w:rsidR="009F7E12" w:rsidRPr="0045532C" w14:paraId="269CC1F9" w14:textId="77777777" w:rsidTr="00DB7CF3">
              <w:tc>
                <w:tcPr>
                  <w:tcW w:w="2013" w:type="dxa"/>
                  <w:shd w:val="clear" w:color="auto" w:fill="D9D9D9" w:themeFill="background1" w:themeFillShade="D9"/>
                </w:tcPr>
                <w:p w14:paraId="269CC1F5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Visa :</w:t>
                  </w:r>
                </w:p>
              </w:tc>
              <w:tc>
                <w:tcPr>
                  <w:tcW w:w="3685" w:type="dxa"/>
                  <w:shd w:val="clear" w:color="auto" w:fill="D9D9D9" w:themeFill="background1" w:themeFillShade="D9"/>
                </w:tcPr>
                <w:p w14:paraId="269CC1F6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Nom :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14:paraId="269CC1F7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Fonction :</w:t>
                  </w:r>
                </w:p>
              </w:tc>
              <w:tc>
                <w:tcPr>
                  <w:tcW w:w="2228" w:type="dxa"/>
                  <w:shd w:val="clear" w:color="auto" w:fill="D9D9D9" w:themeFill="background1" w:themeFillShade="D9"/>
                </w:tcPr>
                <w:p w14:paraId="269CC1F8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Date :</w:t>
                  </w:r>
                </w:p>
              </w:tc>
            </w:tr>
            <w:tr w:rsidR="009F7E12" w:rsidRPr="0045532C" w14:paraId="269CC1FE" w14:textId="77777777" w:rsidTr="00537739">
              <w:tc>
                <w:tcPr>
                  <w:tcW w:w="2013" w:type="dxa"/>
                </w:tcPr>
                <w:p w14:paraId="269CC1FA" w14:textId="4BF86B14" w:rsidR="009F7E12" w:rsidRPr="0045532C" w:rsidRDefault="00803B27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Auditeur </w:t>
                  </w:r>
                  <w:r w:rsidR="009F7E12">
                    <w:rPr>
                      <w:sz w:val="18"/>
                    </w:rPr>
                    <w:t xml:space="preserve">: </w:t>
                  </w:r>
                </w:p>
              </w:tc>
              <w:tc>
                <w:tcPr>
                  <w:tcW w:w="3685" w:type="dxa"/>
                </w:tcPr>
                <w:p w14:paraId="269CC1FB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[Nom]</w:t>
                  </w:r>
                </w:p>
              </w:tc>
              <w:tc>
                <w:tcPr>
                  <w:tcW w:w="3544" w:type="dxa"/>
                </w:tcPr>
                <w:p w14:paraId="269CC1FC" w14:textId="206B5A2A" w:rsidR="009F7E12" w:rsidRPr="0045532C" w:rsidRDefault="009F7E12" w:rsidP="00BC3B97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 xml:space="preserve">[Assistant / Senior / Manager / Senior Manager / </w:t>
                  </w:r>
                  <w:r w:rsidR="00BC3B97">
                    <w:rPr>
                      <w:sz w:val="18"/>
                      <w:highlight w:val="yellow"/>
                    </w:rPr>
                    <w:t>Partner</w:t>
                  </w:r>
                  <w:r>
                    <w:rPr>
                      <w:sz w:val="18"/>
                      <w:highlight w:val="yellow"/>
                    </w:rPr>
                    <w:t>]</w:t>
                  </w:r>
                </w:p>
              </w:tc>
              <w:tc>
                <w:tcPr>
                  <w:tcW w:w="2228" w:type="dxa"/>
                </w:tcPr>
                <w:p w14:paraId="269CC1FD" w14:textId="77777777" w:rsidR="009F7E12" w:rsidRPr="0045532C" w:rsidRDefault="00304A3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  <w:highlight w:val="yellow"/>
                    </w:rPr>
                    <w:t>[JJ.MM.AAAA]</w:t>
                  </w:r>
                </w:p>
              </w:tc>
            </w:tr>
            <w:tr w:rsidR="009F7E12" w:rsidRPr="0045532C" w14:paraId="269CC203" w14:textId="77777777" w:rsidTr="00537739">
              <w:tc>
                <w:tcPr>
                  <w:tcW w:w="2013" w:type="dxa"/>
                </w:tcPr>
                <w:p w14:paraId="269CC1FF" w14:textId="30D5530D" w:rsidR="009F7E12" w:rsidRPr="0045532C" w:rsidRDefault="00857E69" w:rsidP="00537739">
                  <w:pPr>
                    <w:tabs>
                      <w:tab w:val="left" w:pos="1859"/>
                    </w:tabs>
                    <w:spacing w:before="120" w:after="120"/>
                    <w:rPr>
                      <w:rFonts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</w:rPr>
                    <w:t>Reviewer</w:t>
                  </w:r>
                  <w:proofErr w:type="spellEnd"/>
                  <w:r>
                    <w:rPr>
                      <w:sz w:val="18"/>
                    </w:rPr>
                    <w:t> </w:t>
                  </w:r>
                  <w:r w:rsidR="009F7E12">
                    <w:rPr>
                      <w:sz w:val="18"/>
                    </w:rPr>
                    <w:t>:</w:t>
                  </w:r>
                </w:p>
              </w:tc>
              <w:tc>
                <w:tcPr>
                  <w:tcW w:w="3685" w:type="dxa"/>
                </w:tcPr>
                <w:p w14:paraId="269CC200" w14:textId="77777777" w:rsidR="009F7E12" w:rsidRPr="0045532C" w:rsidRDefault="009F7E12" w:rsidP="00537739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[Nom]</w:t>
                  </w:r>
                </w:p>
              </w:tc>
              <w:tc>
                <w:tcPr>
                  <w:tcW w:w="3544" w:type="dxa"/>
                </w:tcPr>
                <w:p w14:paraId="269CC201" w14:textId="516EAEB6" w:rsidR="009F7E12" w:rsidRPr="00782784" w:rsidRDefault="009F7E12" w:rsidP="00BC3B97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</w:pPr>
                  <w:r w:rsidRPr="00782784">
                    <w:rPr>
                      <w:sz w:val="18"/>
                      <w:highlight w:val="yellow"/>
                      <w:lang w:val="de-CH"/>
                    </w:rPr>
                    <w:t xml:space="preserve">[Senior / Manager / Senior Manager </w:t>
                  </w:r>
                  <w:r w:rsidRPr="00782784">
                    <w:rPr>
                      <w:rFonts w:cs="Arial"/>
                      <w:sz w:val="18"/>
                      <w:szCs w:val="18"/>
                      <w:highlight w:val="yellow"/>
                      <w:lang w:val="de-CH"/>
                    </w:rPr>
                    <w:br/>
                  </w:r>
                  <w:r w:rsidRPr="00782784">
                    <w:rPr>
                      <w:sz w:val="18"/>
                      <w:highlight w:val="yellow"/>
                      <w:lang w:val="de-CH"/>
                    </w:rPr>
                    <w:t xml:space="preserve">/ </w:t>
                  </w:r>
                  <w:r w:rsidR="00BC3B97" w:rsidRPr="00782784">
                    <w:rPr>
                      <w:sz w:val="18"/>
                      <w:highlight w:val="yellow"/>
                      <w:lang w:val="de-CH"/>
                    </w:rPr>
                    <w:t>Partner</w:t>
                  </w:r>
                  <w:r w:rsidRPr="00782784">
                    <w:rPr>
                      <w:sz w:val="18"/>
                      <w:highlight w:val="yellow"/>
                      <w:lang w:val="de-CH"/>
                    </w:rPr>
                    <w:t>]</w:t>
                  </w:r>
                </w:p>
              </w:tc>
              <w:tc>
                <w:tcPr>
                  <w:tcW w:w="2228" w:type="dxa"/>
                </w:tcPr>
                <w:p w14:paraId="269CC202" w14:textId="77777777" w:rsidR="009F7E12" w:rsidRPr="0045532C" w:rsidRDefault="009F7E12" w:rsidP="00304A32">
                  <w:pPr>
                    <w:tabs>
                      <w:tab w:val="left" w:pos="1859"/>
                    </w:tabs>
                    <w:spacing w:before="120" w:after="120"/>
                    <w:jc w:val="center"/>
                    <w:rPr>
                      <w:rFonts w:cs="Arial"/>
                      <w:sz w:val="18"/>
                      <w:szCs w:val="18"/>
                      <w:highlight w:val="yellow"/>
                    </w:rPr>
                  </w:pPr>
                  <w:r>
                    <w:rPr>
                      <w:sz w:val="18"/>
                      <w:highlight w:val="yellow"/>
                    </w:rPr>
                    <w:t>[JJ.MM.AAAA]</w:t>
                  </w:r>
                </w:p>
              </w:tc>
            </w:tr>
          </w:tbl>
          <w:p w14:paraId="269CC204" w14:textId="77777777" w:rsidR="00F37CB4" w:rsidRPr="0045532C" w:rsidRDefault="00F37CB4" w:rsidP="00B54948">
            <w:pPr>
              <w:tabs>
                <w:tab w:val="left" w:pos="1859"/>
              </w:tabs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</w:tbl>
    <w:p w14:paraId="269CC206" w14:textId="77777777" w:rsidR="00F37CB4" w:rsidRPr="0045532C" w:rsidRDefault="00F37CB4" w:rsidP="00F37CB4">
      <w:pPr>
        <w:rPr>
          <w:rFonts w:cs="Arial"/>
          <w:szCs w:val="20"/>
        </w:rPr>
      </w:pPr>
    </w:p>
    <w:p w14:paraId="269CC207" w14:textId="57E24A1E" w:rsidR="003E1DA2" w:rsidRPr="00DB7CF3" w:rsidRDefault="006F3170" w:rsidP="00B70350">
      <w:pPr>
        <w:jc w:val="both"/>
        <w:rPr>
          <w:rFonts w:cs="Arial"/>
          <w:b/>
          <w:szCs w:val="20"/>
        </w:rPr>
      </w:pPr>
      <w:r>
        <w:rPr>
          <w:b/>
        </w:rPr>
        <w:t>Le présent document est un programme d</w:t>
      </w:r>
      <w:r w:rsidR="000556CE">
        <w:rPr>
          <w:b/>
        </w:rPr>
        <w:t xml:space="preserve">'audit </w:t>
      </w:r>
      <w:r>
        <w:rPr>
          <w:b/>
        </w:rPr>
        <w:t xml:space="preserve">standard </w:t>
      </w:r>
      <w:bookmarkStart w:id="2" w:name="_Hlk34748769"/>
      <w:bookmarkStart w:id="3" w:name="_Hlk34741088"/>
      <w:r w:rsidR="00B114D1">
        <w:rPr>
          <w:b/>
        </w:rPr>
        <w:t xml:space="preserve">qui s’applique en principe lors de toute intervention dans ce </w:t>
      </w:r>
      <w:r w:rsidR="00EA16CE">
        <w:rPr>
          <w:b/>
        </w:rPr>
        <w:t>champ</w:t>
      </w:r>
      <w:r w:rsidR="00B114D1">
        <w:rPr>
          <w:b/>
        </w:rPr>
        <w:t xml:space="preserve"> d’audit conformément à la stratégie en la matière </w:t>
      </w:r>
      <w:bookmarkEnd w:id="2"/>
      <w:r>
        <w:rPr>
          <w:b/>
        </w:rPr>
        <w:t xml:space="preserve">. </w:t>
      </w:r>
      <w:bookmarkEnd w:id="3"/>
      <w:r>
        <w:rPr>
          <w:b/>
        </w:rPr>
        <w:t>Il est de la responsabilité de l'équipe d'audit d'adapter le programme d</w:t>
      </w:r>
      <w:r w:rsidR="000556CE">
        <w:rPr>
          <w:b/>
        </w:rPr>
        <w:t xml:space="preserve">'audit </w:t>
      </w:r>
      <w:r>
        <w:rPr>
          <w:b/>
        </w:rPr>
        <w:t xml:space="preserve">standard à la situation de chaque établissement audité (taille, modèle </w:t>
      </w:r>
      <w:r w:rsidR="00551001">
        <w:rPr>
          <w:b/>
        </w:rPr>
        <w:t>d’affaires</w:t>
      </w:r>
      <w:r>
        <w:rPr>
          <w:b/>
        </w:rPr>
        <w:t xml:space="preserve">, organisation, processus, exposition aux risques, etc.). Si le contrôle ne </w:t>
      </w:r>
      <w:r w:rsidR="00857E69">
        <w:rPr>
          <w:b/>
        </w:rPr>
        <w:t xml:space="preserve">prend </w:t>
      </w:r>
      <w:r>
        <w:rPr>
          <w:b/>
        </w:rPr>
        <w:t xml:space="preserve">pas </w:t>
      </w:r>
      <w:r w:rsidR="00857E69">
        <w:rPr>
          <w:b/>
        </w:rPr>
        <w:t xml:space="preserve">en compte toutes les </w:t>
      </w:r>
      <w:r>
        <w:rPr>
          <w:b/>
        </w:rPr>
        <w:t xml:space="preserve">procédures </w:t>
      </w:r>
      <w:r w:rsidR="00B114D1">
        <w:rPr>
          <w:b/>
        </w:rPr>
        <w:t>prescrites</w:t>
      </w:r>
      <w:r>
        <w:rPr>
          <w:b/>
        </w:rPr>
        <w:t>, une justification doit être fournie dans le document de travail</w:t>
      </w:r>
      <w:bookmarkStart w:id="4" w:name="_Hlk34748846"/>
      <w:r>
        <w:rPr>
          <w:b/>
        </w:rPr>
        <w:t>.</w:t>
      </w:r>
      <w:r w:rsidR="00B114D1">
        <w:rPr>
          <w:b/>
        </w:rPr>
        <w:t xml:space="preserve"> </w:t>
      </w:r>
      <w:bookmarkStart w:id="5" w:name="_Hlk34741163"/>
      <w:r w:rsidR="00B114D1">
        <w:rPr>
          <w:b/>
        </w:rPr>
        <w:t xml:space="preserve">Les points </w:t>
      </w:r>
      <w:r w:rsidR="000D48E6">
        <w:rPr>
          <w:b/>
        </w:rPr>
        <w:t xml:space="preserve">d’audit marqués d’un </w:t>
      </w:r>
      <w:r w:rsidR="002E0182">
        <w:rPr>
          <w:b/>
        </w:rPr>
        <w:t>astérisque</w:t>
      </w:r>
      <w:r w:rsidR="000D48E6">
        <w:rPr>
          <w:b/>
        </w:rPr>
        <w:t xml:space="preserve"> (*) ne s’appliquent pas aux banques des catégories de surveillance 4 et 5.</w:t>
      </w:r>
      <w:bookmarkEnd w:id="4"/>
      <w:bookmarkEnd w:id="5"/>
    </w:p>
    <w:p w14:paraId="269CC208" w14:textId="77777777" w:rsidR="003E1DA2" w:rsidRPr="0045532C" w:rsidRDefault="003E1DA2" w:rsidP="009F7E12">
      <w:pPr>
        <w:jc w:val="center"/>
        <w:rPr>
          <w:rFonts w:cs="Arial"/>
          <w:szCs w:val="20"/>
        </w:rPr>
      </w:pPr>
    </w:p>
    <w:p w14:paraId="269CC209" w14:textId="77777777" w:rsidR="00594CFF" w:rsidRPr="0045532C" w:rsidRDefault="00594CFF">
      <w:pPr>
        <w:rPr>
          <w:rFonts w:cs="Arial"/>
          <w:szCs w:val="20"/>
        </w:rPr>
      </w:pPr>
      <w:r>
        <w:br w:type="page"/>
      </w:r>
    </w:p>
    <w:p w14:paraId="269CC20A" w14:textId="77777777" w:rsidR="00352874" w:rsidRPr="00003E26" w:rsidRDefault="00003E26" w:rsidP="00352874">
      <w:pPr>
        <w:spacing w:line="240" w:lineRule="auto"/>
        <w:rPr>
          <w:rFonts w:cs="Arial"/>
          <w:b/>
        </w:rPr>
      </w:pPr>
      <w:r>
        <w:rPr>
          <w:b/>
        </w:rPr>
        <w:lastRenderedPageBreak/>
        <w:t>Conclusion globale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810"/>
        <w:gridCol w:w="11359"/>
      </w:tblGrid>
      <w:tr w:rsidR="0045532C" w:rsidRPr="0045532C" w14:paraId="269CC20D" w14:textId="77777777" w:rsidTr="0045532C">
        <w:trPr>
          <w:trHeight w:val="552"/>
          <w:tblHeader/>
        </w:trPr>
        <w:tc>
          <w:tcPr>
            <w:tcW w:w="2835" w:type="dxa"/>
            <w:shd w:val="pct15" w:color="auto" w:fill="auto"/>
          </w:tcPr>
          <w:p w14:paraId="269CC20B" w14:textId="77777777" w:rsidR="0045532C" w:rsidRPr="0045532C" w:rsidRDefault="0045532C" w:rsidP="000624A4">
            <w:pPr>
              <w:tabs>
                <w:tab w:val="left" w:pos="1418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Thème :</w:t>
            </w:r>
          </w:p>
        </w:tc>
        <w:tc>
          <w:tcPr>
            <w:tcW w:w="11482" w:type="dxa"/>
            <w:shd w:val="pct15" w:color="auto" w:fill="auto"/>
          </w:tcPr>
          <w:p w14:paraId="269CC20C" w14:textId="77777777" w:rsidR="0045532C" w:rsidRPr="0045532C" w:rsidRDefault="0045532C" w:rsidP="000624A4">
            <w:pPr>
              <w:tabs>
                <w:tab w:val="left" w:pos="1859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Information / Description :</w:t>
            </w:r>
          </w:p>
        </w:tc>
      </w:tr>
      <w:tr w:rsidR="0045532C" w:rsidRPr="009273E9" w14:paraId="269CC21A" w14:textId="77777777" w:rsidTr="003253CF">
        <w:trPr>
          <w:trHeight w:val="1920"/>
        </w:trPr>
        <w:tc>
          <w:tcPr>
            <w:tcW w:w="2835" w:type="dxa"/>
          </w:tcPr>
          <w:p w14:paraId="269CC20E" w14:textId="77777777" w:rsidR="0045532C" w:rsidRPr="0045532C" w:rsidRDefault="0045532C" w:rsidP="000624A4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Conclusion globale</w:t>
            </w:r>
          </w:p>
        </w:tc>
        <w:tc>
          <w:tcPr>
            <w:tcW w:w="11482" w:type="dxa"/>
          </w:tcPr>
          <w:p w14:paraId="269CC20F" w14:textId="77777777" w:rsidR="00FA041D" w:rsidRPr="00E60F3F" w:rsidRDefault="00FA041D" w:rsidP="00FA041D">
            <w:pPr>
              <w:rPr>
                <w:rFonts w:cs="Arial"/>
                <w:sz w:val="6"/>
                <w:szCs w:val="6"/>
                <w:highlight w:val="yellow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619"/>
              <w:gridCol w:w="5514"/>
            </w:tblGrid>
            <w:tr w:rsidR="00FA041D" w:rsidRPr="00E60F3F" w14:paraId="269CC212" w14:textId="77777777" w:rsidTr="0023011F">
              <w:tc>
                <w:tcPr>
                  <w:tcW w:w="5620" w:type="dxa"/>
                  <w:shd w:val="clear" w:color="auto" w:fill="D9D9D9" w:themeFill="background1" w:themeFillShade="D9"/>
                  <w:tcMar>
                    <w:left w:w="0" w:type="dxa"/>
                  </w:tcMar>
                </w:tcPr>
                <w:p w14:paraId="269CC210" w14:textId="77777777" w:rsidR="00FA041D" w:rsidRPr="00E60F3F" w:rsidRDefault="00FA041D" w:rsidP="002B52B1">
                  <w:pPr>
                    <w:tabs>
                      <w:tab w:val="left" w:pos="1859"/>
                    </w:tabs>
                    <w:ind w:left="34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Confirmation dans le rapport d'audit :</w:t>
                  </w:r>
                </w:p>
              </w:tc>
              <w:tc>
                <w:tcPr>
                  <w:tcW w:w="5514" w:type="dxa"/>
                  <w:shd w:val="clear" w:color="auto" w:fill="D9D9D9" w:themeFill="background1" w:themeFillShade="D9"/>
                </w:tcPr>
                <w:p w14:paraId="269CC211" w14:textId="77777777" w:rsidR="00FA041D" w:rsidRPr="00E60F3F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</w:rPr>
                    <w:t>Conclusion :</w:t>
                  </w:r>
                </w:p>
              </w:tc>
            </w:tr>
            <w:tr w:rsidR="00FA041D" w:rsidRPr="009273E9" w14:paraId="269CC215" w14:textId="77777777" w:rsidTr="0023011F">
              <w:tc>
                <w:tcPr>
                  <w:tcW w:w="5620" w:type="dxa"/>
                  <w:tcMar>
                    <w:left w:w="0" w:type="dxa"/>
                  </w:tcMar>
                </w:tcPr>
                <w:p w14:paraId="269CC213" w14:textId="18D9760C" w:rsidR="00B70350" w:rsidRPr="006C26A7" w:rsidRDefault="00C03FC8" w:rsidP="00857E69">
                  <w:pPr>
                    <w:ind w:left="34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Confirmation que les méthodes / processus </w:t>
                  </w:r>
                  <w:r w:rsidR="00857E69">
                    <w:rPr>
                      <w:sz w:val="18"/>
                    </w:rPr>
                    <w:t>relatifs à l’</w:t>
                  </w:r>
                  <w:r>
                    <w:rPr>
                      <w:sz w:val="18"/>
                    </w:rPr>
                    <w:t xml:space="preserve">identification,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mesure,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gestion et </w:t>
                  </w:r>
                  <w:r w:rsidR="00857E69">
                    <w:rPr>
                      <w:sz w:val="18"/>
                    </w:rPr>
                    <w:t xml:space="preserve">la </w:t>
                  </w:r>
                  <w:r>
                    <w:rPr>
                      <w:sz w:val="18"/>
                    </w:rPr>
                    <w:t xml:space="preserve">surveillance des </w:t>
                  </w:r>
                  <w:r w:rsidR="00857E69">
                    <w:rPr>
                      <w:sz w:val="18"/>
                    </w:rPr>
                    <w:t xml:space="preserve">autres </w:t>
                  </w:r>
                  <w:r>
                    <w:rPr>
                      <w:sz w:val="18"/>
                    </w:rPr>
                    <w:t xml:space="preserve">risques </w:t>
                  </w:r>
                  <w:r w:rsidR="00BF58EF">
                    <w:rPr>
                      <w:sz w:val="18"/>
                    </w:rPr>
                    <w:t xml:space="preserve">provenant des risques juridiques et de procès </w:t>
                  </w:r>
                  <w:r w:rsidR="00551001">
                    <w:rPr>
                      <w:sz w:val="18"/>
                    </w:rPr>
                    <w:t>étaient</w:t>
                  </w:r>
                  <w:r>
                    <w:rPr>
                      <w:sz w:val="18"/>
                    </w:rPr>
                    <w:t xml:space="preserve"> appropriés et, en cas d</w:t>
                  </w:r>
                  <w:r w:rsidR="008C7E4C">
                    <w:rPr>
                      <w:sz w:val="18"/>
                    </w:rPr>
                    <w:t>’</w:t>
                  </w:r>
                  <w:r>
                    <w:rPr>
                      <w:sz w:val="18"/>
                    </w:rPr>
                    <w:t>étendue d</w:t>
                  </w:r>
                  <w:r w:rsidR="008C7E4C">
                    <w:rPr>
                      <w:sz w:val="18"/>
                    </w:rPr>
                    <w:t>’</w:t>
                  </w:r>
                  <w:r>
                    <w:rPr>
                      <w:sz w:val="18"/>
                    </w:rPr>
                    <w:t xml:space="preserve">audit « audit », </w:t>
                  </w:r>
                  <w:r w:rsidR="00551001">
                    <w:rPr>
                      <w:sz w:val="18"/>
                    </w:rPr>
                    <w:t xml:space="preserve">ont été </w:t>
                  </w:r>
                  <w:r>
                    <w:rPr>
                      <w:sz w:val="18"/>
                    </w:rPr>
                    <w:t>effectivement appliqués.</w:t>
                  </w:r>
                </w:p>
              </w:tc>
              <w:tc>
                <w:tcPr>
                  <w:tcW w:w="5514" w:type="dxa"/>
                </w:tcPr>
                <w:p w14:paraId="269CC214" w14:textId="12E4593B" w:rsidR="00FA041D" w:rsidRPr="00BA46FF" w:rsidRDefault="00FA041D" w:rsidP="002B52B1">
                  <w:pPr>
                    <w:tabs>
                      <w:tab w:val="left" w:pos="1859"/>
                    </w:tabs>
                    <w:rPr>
                      <w:rFonts w:cs="Arial"/>
                      <w:i/>
                      <w:sz w:val="16"/>
                      <w:szCs w:val="16"/>
                      <w:highlight w:val="yellow"/>
                    </w:rPr>
                  </w:pPr>
                  <w:r w:rsidRPr="00BA46FF">
                    <w:rPr>
                      <w:b/>
                      <w:i/>
                      <w:sz w:val="16"/>
                      <w:highlight w:val="yellow"/>
                    </w:rPr>
                    <w:t>Oui</w:t>
                  </w:r>
                  <w:r w:rsidRPr="00BA46FF">
                    <w:rPr>
                      <w:i/>
                      <w:sz w:val="16"/>
                      <w:highlight w:val="yellow"/>
                    </w:rPr>
                    <w:t xml:space="preserve"> (Audit / Revue critique) / </w:t>
                  </w:r>
                  <w:r w:rsidRPr="00BA46FF">
                    <w:rPr>
                      <w:b/>
                      <w:i/>
                      <w:sz w:val="16"/>
                      <w:highlight w:val="yellow"/>
                    </w:rPr>
                    <w:t>Non</w:t>
                  </w:r>
                  <w:r w:rsidR="004A46DB">
                    <w:rPr>
                      <w:b/>
                      <w:i/>
                      <w:sz w:val="16"/>
                      <w:highlight w:val="yellow"/>
                    </w:rPr>
                    <w:t xml:space="preserve"> </w:t>
                  </w:r>
                </w:p>
              </w:tc>
            </w:tr>
          </w:tbl>
          <w:p w14:paraId="269CC219" w14:textId="77777777" w:rsidR="00FA041D" w:rsidRPr="003613F7" w:rsidRDefault="00FA041D" w:rsidP="000624A4">
            <w:pPr>
              <w:tabs>
                <w:tab w:val="left" w:pos="1859"/>
              </w:tabs>
              <w:rPr>
                <w:rFonts w:cs="Arial"/>
                <w:sz w:val="16"/>
                <w:szCs w:val="16"/>
              </w:rPr>
            </w:pPr>
          </w:p>
        </w:tc>
      </w:tr>
      <w:tr w:rsidR="0045532C" w:rsidRPr="0045532C" w14:paraId="269CC21D" w14:textId="77777777" w:rsidTr="0045532C">
        <w:trPr>
          <w:trHeight w:val="561"/>
        </w:trPr>
        <w:tc>
          <w:tcPr>
            <w:tcW w:w="2835" w:type="dxa"/>
          </w:tcPr>
          <w:p w14:paraId="269CC21B" w14:textId="4A0FD63A" w:rsidR="0045532C" w:rsidRPr="0045532C" w:rsidRDefault="0045532C" w:rsidP="00BA46FF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 w:rsidRPr="008C7E4C">
              <w:rPr>
                <w:sz w:val="16"/>
                <w:szCs w:val="16"/>
              </w:rPr>
              <w:t xml:space="preserve">Résumé des </w:t>
            </w:r>
            <w:r w:rsidR="00BA46FF">
              <w:rPr>
                <w:sz w:val="16"/>
                <w:szCs w:val="16"/>
              </w:rPr>
              <w:t>résultats de l’audit / irrégularités et recommandations</w:t>
            </w:r>
            <w:r w:rsidR="008C7E4C">
              <w:rPr>
                <w:sz w:val="16"/>
                <w:szCs w:val="16"/>
              </w:rPr>
              <w:t xml:space="preserve"> </w:t>
            </w:r>
            <w:r w:rsidRPr="008C7E4C">
              <w:rPr>
                <w:sz w:val="12"/>
                <w:szCs w:val="12"/>
              </w:rPr>
              <w:t>(voir détails ci-dessous)</w:t>
            </w:r>
          </w:p>
        </w:tc>
        <w:tc>
          <w:tcPr>
            <w:tcW w:w="11482" w:type="dxa"/>
          </w:tcPr>
          <w:p w14:paraId="269CC21C" w14:textId="14763B2F" w:rsidR="0045532C" w:rsidRPr="0045532C" w:rsidRDefault="0045532C" w:rsidP="00BA46FF">
            <w:pPr>
              <w:tabs>
                <w:tab w:val="left" w:pos="1859"/>
              </w:tabs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 xml:space="preserve">[Résumé des </w:t>
            </w:r>
            <w:r w:rsidR="00BA46FF">
              <w:rPr>
                <w:sz w:val="16"/>
                <w:highlight w:val="yellow"/>
              </w:rPr>
              <w:t>résultats de l’audit / irrégularités et recommandations</w:t>
            </w:r>
            <w:r>
              <w:rPr>
                <w:sz w:val="16"/>
                <w:highlight w:val="yellow"/>
              </w:rPr>
              <w:t>]</w:t>
            </w:r>
          </w:p>
        </w:tc>
      </w:tr>
      <w:tr w:rsidR="0045532C" w:rsidRPr="0045532C" w14:paraId="269CC220" w14:textId="77777777" w:rsidTr="0045532C">
        <w:trPr>
          <w:trHeight w:val="561"/>
        </w:trPr>
        <w:tc>
          <w:tcPr>
            <w:tcW w:w="2835" w:type="dxa"/>
          </w:tcPr>
          <w:p w14:paraId="269CC21E" w14:textId="77777777" w:rsidR="0045532C" w:rsidRPr="0045532C" w:rsidRDefault="0045532C" w:rsidP="0045532C">
            <w:pPr>
              <w:tabs>
                <w:tab w:val="left" w:pos="1418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Domaines d'audit, résultats et travaux de la Révision interne utilisés par la société d'audit (y compris la propre évaluation de la société d'audit)</w:t>
            </w:r>
          </w:p>
        </w:tc>
        <w:tc>
          <w:tcPr>
            <w:tcW w:w="11482" w:type="dxa"/>
          </w:tcPr>
          <w:p w14:paraId="269CC21F" w14:textId="77777777" w:rsidR="0045532C" w:rsidRPr="0045532C" w:rsidRDefault="0045532C" w:rsidP="009A0D29">
            <w:pPr>
              <w:rPr>
                <w:rFonts w:cs="Arial"/>
                <w:sz w:val="16"/>
                <w:szCs w:val="16"/>
                <w:highlight w:val="yellow"/>
              </w:rPr>
            </w:pPr>
            <w:r>
              <w:rPr>
                <w:sz w:val="16"/>
                <w:highlight w:val="yellow"/>
              </w:rPr>
              <w:t>[Description]</w:t>
            </w:r>
          </w:p>
        </w:tc>
      </w:tr>
    </w:tbl>
    <w:p w14:paraId="269CC221" w14:textId="77777777" w:rsidR="00FC6E90" w:rsidRPr="0045532C" w:rsidRDefault="00FC6E90">
      <w:pPr>
        <w:rPr>
          <w:rFonts w:cs="Arial"/>
        </w:rPr>
      </w:pPr>
      <w:r>
        <w:br w:type="page"/>
      </w:r>
    </w:p>
    <w:p w14:paraId="269CC222" w14:textId="77777777" w:rsidR="00A21545" w:rsidRPr="00163FB7" w:rsidRDefault="00A21545" w:rsidP="00A21545">
      <w:pPr>
        <w:spacing w:before="0" w:after="200"/>
        <w:rPr>
          <w:rFonts w:cs="Arial"/>
          <w:u w:val="single"/>
        </w:rPr>
      </w:pPr>
      <w:r>
        <w:rPr>
          <w:b/>
        </w:rPr>
        <w:lastRenderedPageBreak/>
        <w:t>Programme de travail – autres risques provenant des risques juridiques et de procès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31"/>
        <w:gridCol w:w="29"/>
        <w:gridCol w:w="3656"/>
        <w:gridCol w:w="29"/>
        <w:gridCol w:w="3798"/>
        <w:gridCol w:w="29"/>
        <w:gridCol w:w="3657"/>
        <w:gridCol w:w="29"/>
        <w:gridCol w:w="1134"/>
      </w:tblGrid>
      <w:tr w:rsidR="00A21545" w:rsidRPr="00133AB4" w14:paraId="269CC229" w14:textId="77777777" w:rsidTr="003253CF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  <w:shd w:val="pct20" w:color="auto" w:fill="auto"/>
          </w:tcPr>
          <w:p w14:paraId="269CC223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N°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pct20" w:color="auto" w:fill="auto"/>
          </w:tcPr>
          <w:p w14:paraId="269CC224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Thème :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5" w14:textId="4719E1CC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Procédures pour l'étendue d'audit « revue critique » :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6" w14:textId="46F83A08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Procédures </w:t>
            </w:r>
            <w:r>
              <w:rPr>
                <w:b/>
                <w:sz w:val="16"/>
                <w:u w:val="single"/>
              </w:rPr>
              <w:t>supplémentaires</w:t>
            </w:r>
            <w:r>
              <w:rPr>
                <w:b/>
                <w:sz w:val="16"/>
              </w:rPr>
              <w:t xml:space="preserve"> pour l'étendue d'audit « audit » 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7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Procédures mises en œuvre / Constatations</w:t>
            </w:r>
          </w:p>
        </w:tc>
        <w:tc>
          <w:tcPr>
            <w:tcW w:w="1163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14:paraId="269CC228" w14:textId="77777777" w:rsidR="00A21545" w:rsidRPr="00133AB4" w:rsidRDefault="00A21545" w:rsidP="002B52B1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Réf. doc. de travail</w:t>
            </w:r>
          </w:p>
        </w:tc>
      </w:tr>
      <w:tr w:rsidR="00A21545" w:rsidRPr="00BA46FF" w14:paraId="269CC22D" w14:textId="77777777" w:rsidTr="003253CF">
        <w:tc>
          <w:tcPr>
            <w:tcW w:w="14459" w:type="dxa"/>
            <w:gridSpan w:val="10"/>
            <w:shd w:val="pct10" w:color="auto" w:fill="auto"/>
          </w:tcPr>
          <w:p w14:paraId="0C36BE34" w14:textId="1D6DD8D2" w:rsidR="00BA46FF" w:rsidRPr="00BA46FF" w:rsidRDefault="00BA46FF" w:rsidP="00BA46FF">
            <w:pPr>
              <w:spacing w:line="240" w:lineRule="auto"/>
              <w:rPr>
                <w:i/>
                <w:sz w:val="16"/>
                <w:lang w:val="en-US"/>
              </w:rPr>
            </w:pPr>
            <w:r w:rsidRPr="00BA46FF">
              <w:rPr>
                <w:i/>
                <w:sz w:val="16"/>
                <w:lang w:val="en-US"/>
              </w:rPr>
              <w:t xml:space="preserve">“Confirmation that the methods / processes used to identify, measure, manage and monitor the </w:t>
            </w:r>
            <w:r w:rsidR="00BF58EF" w:rsidRPr="00BF58EF">
              <w:rPr>
                <w:i/>
                <w:sz w:val="16"/>
                <w:lang w:val="en-US"/>
              </w:rPr>
              <w:t>other risks in connection with legal and litigation risks</w:t>
            </w:r>
            <w:r w:rsidR="00BF58EF" w:rsidRPr="00BF58EF" w:rsidDel="00BF58EF">
              <w:rPr>
                <w:i/>
                <w:sz w:val="16"/>
                <w:lang w:val="en-US"/>
              </w:rPr>
              <w:t xml:space="preserve"> </w:t>
            </w:r>
            <w:r w:rsidRPr="00BA46FF">
              <w:rPr>
                <w:i/>
                <w:sz w:val="16"/>
                <w:lang w:val="en-US"/>
              </w:rPr>
              <w:t>were adequate and, in case of the audit depth “audit”, were applied effectively”.</w:t>
            </w:r>
          </w:p>
          <w:p w14:paraId="2B2B83B2" w14:textId="20AAB077" w:rsidR="00BA46FF" w:rsidRPr="00BA46FF" w:rsidRDefault="00BA46FF" w:rsidP="00BA46FF">
            <w:pPr>
              <w:spacing w:line="240" w:lineRule="auto"/>
              <w:rPr>
                <w:i/>
                <w:sz w:val="16"/>
                <w:lang w:val="de-CH"/>
              </w:rPr>
            </w:pPr>
            <w:r w:rsidRPr="00BA46FF">
              <w:rPr>
                <w:i/>
                <w:sz w:val="16"/>
                <w:lang w:val="de-CH"/>
              </w:rPr>
              <w:t xml:space="preserve">“Bestätigung, dass die Methoden / Prozesse zur Identifikation, Messung, Bewirtschaftung und Überwachung </w:t>
            </w:r>
            <w:r w:rsidR="000154CC">
              <w:rPr>
                <w:i/>
                <w:sz w:val="16"/>
                <w:lang w:val="de-CH"/>
              </w:rPr>
              <w:t xml:space="preserve">von </w:t>
            </w:r>
            <w:r w:rsidR="00BF58EF">
              <w:rPr>
                <w:i/>
                <w:sz w:val="16"/>
                <w:lang w:val="de-CH"/>
              </w:rPr>
              <w:t>anderen Risiken aus Rechts- und Prozessrisiken</w:t>
            </w:r>
            <w:r w:rsidRPr="00BA46FF">
              <w:rPr>
                <w:i/>
                <w:sz w:val="16"/>
                <w:lang w:val="de-CH"/>
              </w:rPr>
              <w:t xml:space="preserve"> angemessen waren und im Falle der Prüftiefe „Prüfung“ effektiv angewendet wurden“.</w:t>
            </w:r>
          </w:p>
          <w:p w14:paraId="269CC22C" w14:textId="7026B826" w:rsidR="00A21545" w:rsidRPr="00BA46FF" w:rsidRDefault="00BA46FF" w:rsidP="00A3497F">
            <w:pPr>
              <w:spacing w:line="240" w:lineRule="auto"/>
              <w:rPr>
                <w:rFonts w:cs="Arial"/>
                <w:bCs/>
                <w:i/>
                <w:sz w:val="16"/>
                <w:szCs w:val="16"/>
              </w:rPr>
            </w:pPr>
            <w:r w:rsidRPr="00BA46FF">
              <w:rPr>
                <w:i/>
                <w:sz w:val="16"/>
              </w:rPr>
              <w:t xml:space="preserve">„Confirmation que les méthodes / processus relatifs à l’identification, la mesure, la gestion et la surveillance des </w:t>
            </w:r>
            <w:r w:rsidR="00BF58EF">
              <w:rPr>
                <w:i/>
                <w:sz w:val="16"/>
              </w:rPr>
              <w:t xml:space="preserve">autres </w:t>
            </w:r>
            <w:r w:rsidRPr="00BA46FF">
              <w:rPr>
                <w:i/>
                <w:sz w:val="16"/>
              </w:rPr>
              <w:t>risques</w:t>
            </w:r>
            <w:r w:rsidR="00BF58EF">
              <w:rPr>
                <w:i/>
                <w:sz w:val="16"/>
              </w:rPr>
              <w:t xml:space="preserve"> provenant des risques juridiques et de procès</w:t>
            </w:r>
            <w:r w:rsidRPr="00BA46FF">
              <w:rPr>
                <w:i/>
                <w:sz w:val="16"/>
              </w:rPr>
              <w:t xml:space="preserve"> </w:t>
            </w:r>
            <w:r w:rsidR="00A3497F">
              <w:rPr>
                <w:i/>
                <w:sz w:val="16"/>
              </w:rPr>
              <w:t>étaient</w:t>
            </w:r>
            <w:r w:rsidRPr="00BA46FF">
              <w:rPr>
                <w:i/>
                <w:sz w:val="16"/>
              </w:rPr>
              <w:t xml:space="preserve"> appropriés et en cas d’étendue d’audit « audit » ont été effectivement appliqués</w:t>
            </w:r>
            <w:r w:rsidR="00D2575C" w:rsidRPr="00C25359">
              <w:rPr>
                <w:i/>
                <w:sz w:val="16"/>
              </w:rPr>
              <w:t>“</w:t>
            </w:r>
            <w:r w:rsidRPr="00BA46FF">
              <w:rPr>
                <w:i/>
                <w:sz w:val="16"/>
              </w:rPr>
              <w:t>.</w:t>
            </w:r>
          </w:p>
        </w:tc>
      </w:tr>
      <w:tr w:rsidR="005F6165" w:rsidRPr="009273E9" w14:paraId="269CC235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2E" w14:textId="77777777" w:rsidR="005F6165" w:rsidRPr="00133AB4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2F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Processus de gestion des risques juridiques en général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30" w14:textId="18FCB7A8" w:rsidR="005F6165" w:rsidRPr="007411F5" w:rsidRDefault="002C2F6F" w:rsidP="0020291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Évaluer</w:t>
            </w:r>
            <w:r w:rsidR="005F6165">
              <w:rPr>
                <w:i/>
                <w:sz w:val="16"/>
              </w:rPr>
              <w:t xml:space="preserve"> l</w:t>
            </w:r>
            <w:r w:rsidR="008C7E4C">
              <w:rPr>
                <w:i/>
                <w:sz w:val="16"/>
              </w:rPr>
              <w:t>’</w:t>
            </w:r>
            <w:r w:rsidR="005F6165">
              <w:rPr>
                <w:i/>
                <w:sz w:val="16"/>
              </w:rPr>
              <w:t xml:space="preserve">adéquation des méthodes / processus relatifs à l'identification, la mesure, la gestion, la surveillance et le </w:t>
            </w:r>
            <w:r w:rsidR="005F6165" w:rsidRPr="00C40930">
              <w:rPr>
                <w:i/>
                <w:sz w:val="16"/>
              </w:rPr>
              <w:t>reporting</w:t>
            </w:r>
            <w:r w:rsidR="005F6165">
              <w:rPr>
                <w:i/>
                <w:sz w:val="16"/>
              </w:rPr>
              <w:t xml:space="preserve"> du risque juridique en général 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>compte tenu de la taille de l'établissement</w:t>
            </w:r>
            <w:r w:rsidR="00202912">
              <w:rPr>
                <w:rFonts w:cs="Arial"/>
                <w:i/>
                <w:sz w:val="16"/>
                <w:szCs w:val="16"/>
              </w:rPr>
              <w:t xml:space="preserve"> ainsi que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 de la complexité de son activité et de son organisation</w:t>
            </w:r>
            <w:r w:rsidR="005F6165">
              <w:rPr>
                <w:i/>
                <w:sz w:val="16"/>
              </w:rPr>
              <w:t>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31" w14:textId="77777777" w:rsidR="005F6165" w:rsidRDefault="005F6165" w:rsidP="00D42A8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69CC232" w14:textId="77777777" w:rsidR="005F6165" w:rsidRPr="007411F5" w:rsidRDefault="005F6165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33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34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47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36" w14:textId="77777777" w:rsidR="005F6165" w:rsidRPr="006C26A7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37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38" w14:textId="77777777" w:rsidR="005F6165" w:rsidRDefault="00724B83" w:rsidP="00F5791C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 moyen d'enquêtes et par l'examen de documents appropriés (lignes directrices, directives et procédures internes), évaluer l'adéquation des processus mis en œuvre par l'établissement (conception) pour :</w:t>
            </w:r>
          </w:p>
          <w:p w14:paraId="269CC239" w14:textId="77777777" w:rsidR="005F6165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préparer, surveiller de façon continue et mettre à jour les contrats standardisés, y c</w:t>
            </w:r>
            <w:r w:rsidR="00840D34">
              <w:rPr>
                <w:sz w:val="16"/>
              </w:rPr>
              <w:t>ompris les conditions générales</w:t>
            </w:r>
          </w:p>
          <w:p w14:paraId="269CC23A" w14:textId="77777777" w:rsidR="00724B83" w:rsidRDefault="00C4126E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s'assurer que les modifications légales et réglementaires sont prises en compte de manière adéquate et en temps voulu dans les contrats standardisés de l'établissement</w:t>
            </w:r>
          </w:p>
          <w:p w14:paraId="269CC23B" w14:textId="77777777" w:rsidR="00C4126E" w:rsidRDefault="007B1246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mettre à jour les contrats standardisés (notamment en raison de modifications légales et réglementaires)</w:t>
            </w:r>
          </w:p>
          <w:p w14:paraId="269CC23C" w14:textId="77777777" w:rsidR="005F6165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introduire des dérogations aux contrats standardisés et des modifications dans lesdits contrats</w:t>
            </w:r>
          </w:p>
          <w:p w14:paraId="269CC23D" w14:textId="77777777" w:rsidR="00C4126E" w:rsidRDefault="00C4126E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recourir aux compétences et aux fonctions de contrôle adéquates lors de la préparation des contrats standardisés (et de l'introduction de dérogations à ceux-ci)</w:t>
            </w:r>
          </w:p>
          <w:p w14:paraId="269CC23E" w14:textId="77777777" w:rsidR="005F6165" w:rsidRPr="00C4126E" w:rsidRDefault="005F6165" w:rsidP="00F5791C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fixer les délais et assurer leur suivi.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44" w14:textId="7F6488CE" w:rsidR="005F6165" w:rsidRDefault="00645149" w:rsidP="00F5791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Sur la base d'un échantillon sélectionné en fonction des risques, </w:t>
            </w:r>
            <w:r w:rsidR="00C25359">
              <w:rPr>
                <w:sz w:val="16"/>
              </w:rPr>
              <w:t xml:space="preserve">vérifier </w:t>
            </w:r>
            <w:r>
              <w:rPr>
                <w:sz w:val="16"/>
              </w:rPr>
              <w:t xml:space="preserve">si les </w:t>
            </w:r>
            <w:r w:rsidR="00424BA0">
              <w:rPr>
                <w:sz w:val="16"/>
              </w:rPr>
              <w:t xml:space="preserve">directives </w:t>
            </w:r>
            <w:r>
              <w:rPr>
                <w:sz w:val="16"/>
              </w:rPr>
              <w:t>internes relati</w:t>
            </w:r>
            <w:r w:rsidR="00424BA0">
              <w:rPr>
                <w:sz w:val="16"/>
              </w:rPr>
              <w:t>ve</w:t>
            </w:r>
            <w:r w:rsidR="00A45BF3">
              <w:rPr>
                <w:sz w:val="16"/>
              </w:rPr>
              <w:t>s</w:t>
            </w:r>
            <w:r>
              <w:rPr>
                <w:sz w:val="16"/>
              </w:rPr>
              <w:t xml:space="preserve"> aux modifications des contrats standardisés et aux dérogations à ces contrats ont été respecté</w:t>
            </w:r>
            <w:r w:rsidR="00A45BF3">
              <w:rPr>
                <w:sz w:val="16"/>
              </w:rPr>
              <w:t>e</w:t>
            </w:r>
            <w:r>
              <w:rPr>
                <w:sz w:val="16"/>
              </w:rPr>
              <w:t>s.</w:t>
            </w:r>
            <w:r w:rsidR="005F6165">
              <w:rPr>
                <w:sz w:val="16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45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46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4E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48" w14:textId="77777777" w:rsidR="005F6165" w:rsidRPr="005F6165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49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4A" w14:textId="321E5A76" w:rsidR="005F6165" w:rsidRPr="007411F5" w:rsidRDefault="002C2F6F" w:rsidP="00240E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sz w:val="16"/>
              </w:rPr>
              <w:t xml:space="preserve">Évaluer </w:t>
            </w:r>
            <w:r w:rsidR="005F6165">
              <w:rPr>
                <w:sz w:val="16"/>
              </w:rPr>
              <w:t>si une utilisation correcte des contrats standardisés mis à jour</w:t>
            </w:r>
            <w:r w:rsidR="00221F52">
              <w:rPr>
                <w:sz w:val="16"/>
              </w:rPr>
              <w:t xml:space="preserve"> est garantie</w:t>
            </w:r>
            <w:r w:rsidR="005F6165">
              <w:rPr>
                <w:sz w:val="16"/>
              </w:rPr>
              <w:t>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4B" w14:textId="1522DF32" w:rsidR="005F6165" w:rsidRPr="007411F5" w:rsidRDefault="00CA47D6" w:rsidP="004A46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Sur la base d'un échantillon sélectionné en fonction des risques, </w:t>
            </w:r>
            <w:r w:rsidR="00C25359">
              <w:rPr>
                <w:sz w:val="16"/>
              </w:rPr>
              <w:t xml:space="preserve">vérifier </w:t>
            </w:r>
            <w:r>
              <w:rPr>
                <w:sz w:val="16"/>
              </w:rPr>
              <w:t>l</w:t>
            </w:r>
            <w:r w:rsidR="008C7E4C">
              <w:rPr>
                <w:sz w:val="16"/>
              </w:rPr>
              <w:t>’</w:t>
            </w:r>
            <w:r>
              <w:rPr>
                <w:sz w:val="16"/>
              </w:rPr>
              <w:t xml:space="preserve">emploi de contrats standardisés dûment </w:t>
            </w:r>
            <w:r w:rsidR="004A46DB">
              <w:rPr>
                <w:sz w:val="16"/>
              </w:rPr>
              <w:t>en vigueur</w:t>
            </w:r>
            <w:r>
              <w:rPr>
                <w:sz w:val="16"/>
              </w:rPr>
              <w:t xml:space="preserve">.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4C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4D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5F6165" w:rsidRPr="009273E9" w14:paraId="269CC257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4F" w14:textId="77777777" w:rsidR="005F6165" w:rsidRPr="005F6165" w:rsidRDefault="005F616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50" w14:textId="77777777" w:rsidR="005F6165" w:rsidRDefault="005F6165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51" w14:textId="51811DB5" w:rsidR="005F6165" w:rsidRDefault="002C2F6F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Évaluer </w:t>
            </w:r>
            <w:r w:rsidR="005F6165">
              <w:rPr>
                <w:sz w:val="16"/>
              </w:rPr>
              <w:t xml:space="preserve">l'adéquation du </w:t>
            </w:r>
            <w:r w:rsidR="005F6165" w:rsidRPr="00840D34">
              <w:rPr>
                <w:i/>
                <w:sz w:val="16"/>
              </w:rPr>
              <w:t>reporting</w:t>
            </w:r>
            <w:r w:rsidR="005F6165">
              <w:rPr>
                <w:sz w:val="16"/>
              </w:rPr>
              <w:t xml:space="preserve"> à l'intention de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 w:rsidR="005F6165">
              <w:rPr>
                <w:sz w:val="16"/>
              </w:rPr>
              <w:t>ains</w:t>
            </w:r>
            <w:r w:rsidR="00840D34">
              <w:rPr>
                <w:sz w:val="16"/>
              </w:rPr>
              <w:t>i que de la surveillance exercée</w:t>
            </w:r>
            <w:r w:rsidR="005F6165">
              <w:rPr>
                <w:sz w:val="16"/>
              </w:rPr>
              <w:t xml:space="preserve"> par ceux-ci en matière de gestion des risques juridiques d'une manière générale.</w:t>
            </w:r>
          </w:p>
          <w:p w14:paraId="269CC252" w14:textId="77777777" w:rsidR="005F6165" w:rsidRPr="007411F5" w:rsidRDefault="005F6165" w:rsidP="00240E66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269CC254" w14:textId="133AA447" w:rsidR="00924FCB" w:rsidRPr="007411F5" w:rsidRDefault="00924FCB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55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56" w14:textId="77777777" w:rsidR="005F6165" w:rsidRPr="007411F5" w:rsidRDefault="005F6165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5F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58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59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Organisation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5B" w14:textId="1A485B04" w:rsidR="007B1246" w:rsidRPr="00BA135C" w:rsidRDefault="0046272D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 xml:space="preserve">Au moyen d'enquêtes et par l'examen de documents appropriés, évaluer l'adéquation de l'organisation interne de l'établissement </w:t>
            </w:r>
            <w:r w:rsidR="004A46DB">
              <w:rPr>
                <w:i/>
                <w:sz w:val="16"/>
              </w:rPr>
              <w:t>concernant le traitement</w:t>
            </w:r>
            <w:r>
              <w:rPr>
                <w:i/>
                <w:sz w:val="16"/>
              </w:rPr>
              <w:t xml:space="preserve"> des prétentions des clients, des procès et du risque juridique, notamment 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5C" w14:textId="77777777" w:rsidR="0046272D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5D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5E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71DF9" w:rsidRPr="009273E9" w14:paraId="269CC266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0" w14:textId="77777777" w:rsidR="00771DF9" w:rsidRPr="005F6165" w:rsidRDefault="00771DF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1" w14:textId="77777777" w:rsidR="00771DF9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62" w14:textId="4BBCF3E3" w:rsidR="00771DF9" w:rsidRPr="005F6165" w:rsidRDefault="00771DF9" w:rsidP="004A46DB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Se procurer </w:t>
            </w:r>
            <w:r w:rsidR="004A46DB">
              <w:rPr>
                <w:sz w:val="16"/>
              </w:rPr>
              <w:t>la politique des risques</w:t>
            </w:r>
            <w:r>
              <w:rPr>
                <w:sz w:val="16"/>
              </w:rPr>
              <w:t xml:space="preserve">, les règlements internes, les directives, les manuels </w:t>
            </w:r>
            <w:r w:rsidR="00221F52">
              <w:rPr>
                <w:sz w:val="16"/>
              </w:rPr>
              <w:t xml:space="preserve">ou </w:t>
            </w:r>
            <w:r>
              <w:rPr>
                <w:sz w:val="16"/>
              </w:rPr>
              <w:t xml:space="preserve">les descriptions de poste et évaluer leur adéquation </w:t>
            </w:r>
            <w:r w:rsidR="00840D34">
              <w:rPr>
                <w:sz w:val="16"/>
              </w:rPr>
              <w:t>avec les besoins découlant</w:t>
            </w:r>
            <w:r>
              <w:rPr>
                <w:sz w:val="16"/>
              </w:rPr>
              <w:t xml:space="preserve"> de la gestion des prétentions des clients, des procès et du risque juridique.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63" w14:textId="77777777" w:rsidR="00771DF9" w:rsidRDefault="00771DF9" w:rsidP="00240E66">
            <w:pPr>
              <w:autoSpaceDE w:val="0"/>
              <w:autoSpaceDN w:val="0"/>
              <w:adjustRightInd w:val="0"/>
              <w:spacing w:before="40" w:after="40"/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64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65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71DF9" w:rsidRPr="009273E9" w14:paraId="269CC272" w14:textId="77777777" w:rsidTr="003253C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7" w14:textId="77777777" w:rsidR="00771DF9" w:rsidRPr="005F6165" w:rsidRDefault="00771DF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68" w14:textId="77777777" w:rsidR="00771DF9" w:rsidRDefault="00771DF9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69" w14:textId="615D9579" w:rsidR="00771DF9" w:rsidRPr="00F5791C" w:rsidRDefault="00221F52" w:rsidP="00D42A8D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 w:rsidRPr="00B21CF3">
              <w:rPr>
                <w:b/>
                <w:bCs/>
                <w:sz w:val="28"/>
                <w:szCs w:val="28"/>
              </w:rPr>
              <w:t>*</w:t>
            </w:r>
            <w:r w:rsidRPr="00B21CF3">
              <w:rPr>
                <w:sz w:val="28"/>
                <w:szCs w:val="28"/>
              </w:rPr>
              <w:t xml:space="preserve"> </w:t>
            </w:r>
            <w:r w:rsidR="002C2F6F">
              <w:rPr>
                <w:sz w:val="16"/>
              </w:rPr>
              <w:t xml:space="preserve">Évaluer </w:t>
            </w:r>
            <w:r w:rsidR="00771DF9">
              <w:rPr>
                <w:sz w:val="16"/>
              </w:rPr>
              <w:t>l'adéquation</w:t>
            </w:r>
          </w:p>
          <w:p w14:paraId="269CC26A" w14:textId="77777777" w:rsidR="00771DF9" w:rsidRPr="00F5791C" w:rsidRDefault="00726BE3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des aptitudes, du savoir-faire et du niveau d'expertise</w:t>
            </w:r>
          </w:p>
          <w:p w14:paraId="269CC26B" w14:textId="77777777" w:rsidR="00771DF9" w:rsidRPr="00F5791C" w:rsidRDefault="00771DF9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des compétences</w:t>
            </w:r>
          </w:p>
          <w:p w14:paraId="269CC26C" w14:textId="77777777" w:rsidR="00771DF9" w:rsidRPr="00F5791C" w:rsidRDefault="00771DF9" w:rsidP="00726BE3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 la répartition des responsabilités</w:t>
            </w:r>
          </w:p>
          <w:p w14:paraId="269CC26D" w14:textId="77777777" w:rsidR="00771DF9" w:rsidRPr="00F5791C" w:rsidRDefault="00771DF9" w:rsidP="00771DF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du suivi des délais</w:t>
            </w:r>
          </w:p>
          <w:p w14:paraId="269CC26E" w14:textId="77777777" w:rsidR="00771DF9" w:rsidRPr="00F5791C" w:rsidRDefault="00F5791C" w:rsidP="00771DF9">
            <w:pPr>
              <w:rPr>
                <w:sz w:val="16"/>
                <w:szCs w:val="16"/>
              </w:rPr>
            </w:pPr>
            <w:r>
              <w:rPr>
                <w:sz w:val="16"/>
              </w:rPr>
              <w:t>pour le traitement des prétentions des clients, des procès et du risque juridique.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6F" w14:textId="77777777" w:rsidR="00771DF9" w:rsidRPr="00F5791C" w:rsidRDefault="00771DF9" w:rsidP="00240E66">
            <w:pPr>
              <w:autoSpaceDE w:val="0"/>
              <w:autoSpaceDN w:val="0"/>
              <w:adjustRightInd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70" w14:textId="77777777" w:rsidR="00771DF9" w:rsidRPr="00F5791C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71" w14:textId="77777777" w:rsidR="00771DF9" w:rsidRPr="007411F5" w:rsidRDefault="00771DF9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79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73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CC274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75" w14:textId="5E3C324D" w:rsidR="0046272D" w:rsidRPr="00F5791C" w:rsidRDefault="002C2F6F" w:rsidP="006A0053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Évaluer </w:t>
            </w:r>
            <w:r w:rsidR="00F5791C">
              <w:rPr>
                <w:sz w:val="16"/>
              </w:rPr>
              <w:t xml:space="preserve">l'adéquation de </w:t>
            </w:r>
            <w:r w:rsidR="00840D34">
              <w:rPr>
                <w:sz w:val="16"/>
              </w:rPr>
              <w:t>l’implication</w:t>
            </w:r>
            <w:r w:rsidR="00F5791C">
              <w:rPr>
                <w:sz w:val="16"/>
              </w:rPr>
              <w:t xml:space="preserve"> </w:t>
            </w:r>
            <w:r w:rsidR="006A0053">
              <w:rPr>
                <w:sz w:val="16"/>
              </w:rPr>
              <w:t xml:space="preserve">l'organe responsable de la haute direction (par ex. CA) </w:t>
            </w:r>
            <w:r w:rsidR="00F5791C">
              <w:rPr>
                <w:sz w:val="16"/>
              </w:rPr>
              <w:t xml:space="preserve"> et de la direction dans le traitement des prétentions des clients, des procès et du risque juridique, par l'examen des procès-verbaux et du </w:t>
            </w:r>
            <w:r w:rsidR="00F5791C" w:rsidRPr="00840D34">
              <w:rPr>
                <w:i/>
                <w:sz w:val="16"/>
              </w:rPr>
              <w:t>reporting</w:t>
            </w:r>
            <w:r w:rsidR="00F5791C">
              <w:rPr>
                <w:sz w:val="16"/>
              </w:rPr>
              <w:t xml:space="preserve"> correspondant.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76" w14:textId="77777777" w:rsidR="0046272D" w:rsidRPr="00F5791C" w:rsidRDefault="0046272D" w:rsidP="00881865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77" w14:textId="77777777" w:rsidR="0046272D" w:rsidRPr="00F5791C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78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6272D" w:rsidRPr="009273E9" w14:paraId="269CC282" w14:textId="77777777" w:rsidTr="003253C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7A" w14:textId="77777777" w:rsidR="0046272D" w:rsidRPr="005F6165" w:rsidRDefault="0046272D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C27B" w14:textId="77777777" w:rsidR="0046272D" w:rsidRDefault="0046272D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9CC27C" w14:textId="46628AAA" w:rsidR="0046272D" w:rsidRPr="00F5791C" w:rsidRDefault="002C2F6F" w:rsidP="006C26A7">
            <w:pPr>
              <w:pStyle w:val="Bullet"/>
              <w:numPr>
                <w:ilvl w:val="0"/>
                <w:numId w:val="0"/>
              </w:numPr>
              <w:spacing w:before="40" w:after="40"/>
            </w:pPr>
            <w:r>
              <w:t>Évaluer</w:t>
            </w:r>
            <w:r w:rsidR="0046272D">
              <w:t xml:space="preserve"> le caractère approprié </w:t>
            </w:r>
            <w:r w:rsidR="00221F52">
              <w:t>de la procédure</w:t>
            </w:r>
            <w:r w:rsidR="0046272D">
              <w:t xml:space="preserve"> adopté</w:t>
            </w:r>
            <w:r w:rsidR="00221F52">
              <w:t>e</w:t>
            </w:r>
            <w:r w:rsidR="0046272D">
              <w:t xml:space="preserve"> par l'établissement pour engager un conseiller juridique externe, y compris :</w:t>
            </w:r>
          </w:p>
          <w:p w14:paraId="269CC27D" w14:textId="119963D3" w:rsidR="0046272D" w:rsidRPr="00F5791C" w:rsidRDefault="00221F52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la </w:t>
            </w:r>
            <w:r w:rsidR="00424BA0">
              <w:rPr>
                <w:sz w:val="16"/>
              </w:rPr>
              <w:t xml:space="preserve">sélection, </w:t>
            </w:r>
            <w:r w:rsidR="00DA6481">
              <w:rPr>
                <w:sz w:val="16"/>
              </w:rPr>
              <w:t>l’embauche</w:t>
            </w:r>
            <w:r>
              <w:rPr>
                <w:sz w:val="16"/>
              </w:rPr>
              <w:t xml:space="preserve"> </w:t>
            </w:r>
            <w:r w:rsidR="00424BA0">
              <w:rPr>
                <w:sz w:val="16"/>
              </w:rPr>
              <w:t xml:space="preserve">et </w:t>
            </w:r>
            <w:r w:rsidR="00DA6481">
              <w:rPr>
                <w:sz w:val="16"/>
              </w:rPr>
              <w:t xml:space="preserve">la collaboration </w:t>
            </w:r>
            <w:r w:rsidR="00424BA0">
              <w:rPr>
                <w:sz w:val="16"/>
              </w:rPr>
              <w:t>avec le</w:t>
            </w:r>
            <w:r w:rsidR="00552F55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conseiller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juridique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 externe</w:t>
            </w:r>
            <w:r w:rsidR="00417F7E">
              <w:rPr>
                <w:sz w:val="16"/>
              </w:rPr>
              <w:t>s</w:t>
            </w:r>
            <w:r w:rsidR="0046272D">
              <w:rPr>
                <w:sz w:val="16"/>
              </w:rPr>
              <w:t xml:space="preserve">, </w:t>
            </w:r>
          </w:p>
          <w:p w14:paraId="269CC27E" w14:textId="3CEF91CA" w:rsidR="0046272D" w:rsidRPr="007203E1" w:rsidRDefault="00DA6481" w:rsidP="00D42A8D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contextualSpacing w:val="0"/>
              <w:jc w:val="both"/>
              <w:rPr>
                <w:sz w:val="16"/>
                <w:szCs w:val="16"/>
              </w:rPr>
            </w:pPr>
            <w:r w:rsidRPr="00B21CF3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7203E1">
              <w:rPr>
                <w:sz w:val="16"/>
              </w:rPr>
              <w:t>l'existence d'une liste des contreparties autorisées.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7F" w14:textId="77777777" w:rsidR="0046272D" w:rsidRPr="00F5791C" w:rsidRDefault="0046272D" w:rsidP="00240E66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80" w14:textId="77777777" w:rsidR="0046272D" w:rsidRPr="00F5791C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81" w14:textId="77777777" w:rsidR="0046272D" w:rsidRPr="007411F5" w:rsidRDefault="0046272D" w:rsidP="00240E66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411F5" w:rsidRPr="009273E9" w14:paraId="269CC28A" w14:textId="77777777" w:rsidTr="003253CF"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CC283" w14:textId="77777777" w:rsidR="007411F5" w:rsidRPr="006C26A7" w:rsidRDefault="007411F5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9CC284" w14:textId="77777777" w:rsidR="00EE1526" w:rsidRDefault="00EE1526" w:rsidP="007100D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Identification, évaluation et suivi des prétentions des clients, des cas juridiques et des procès</w:t>
            </w:r>
          </w:p>
          <w:p w14:paraId="269CC285" w14:textId="77777777" w:rsidR="007411F5" w:rsidRPr="00927C9E" w:rsidRDefault="007411F5" w:rsidP="007100D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86" w14:textId="4D6E7BAA" w:rsidR="007411F5" w:rsidRPr="007411F5" w:rsidRDefault="002C2F6F" w:rsidP="00202912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i/>
                <w:sz w:val="16"/>
                <w:szCs w:val="16"/>
              </w:rPr>
            </w:pPr>
            <w:r>
              <w:rPr>
                <w:i/>
                <w:sz w:val="16"/>
              </w:rPr>
              <w:t>Évaluer</w:t>
            </w:r>
            <w:r w:rsidR="007100D9">
              <w:rPr>
                <w:i/>
                <w:sz w:val="16"/>
              </w:rPr>
              <w:t xml:space="preserve"> l'adéquation des méthodes / processus d'identification, de mesure, de gestion, de suivi et de </w:t>
            </w:r>
            <w:r w:rsidR="007100D9" w:rsidRPr="009D26FD">
              <w:rPr>
                <w:i/>
                <w:sz w:val="16"/>
              </w:rPr>
              <w:t>reporting</w:t>
            </w:r>
            <w:r w:rsidR="007100D9">
              <w:rPr>
                <w:i/>
                <w:sz w:val="16"/>
              </w:rPr>
              <w:t xml:space="preserve"> des prétentions des clients, des cas juridiques et des procès 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compte tenu </w:t>
            </w:r>
            <w:r w:rsidR="00202912">
              <w:rPr>
                <w:rFonts w:cs="Arial"/>
                <w:i/>
                <w:sz w:val="16"/>
                <w:szCs w:val="16"/>
              </w:rPr>
              <w:t>de la taille de l'établissement ainsi que</w:t>
            </w:r>
            <w:r w:rsidR="00202912" w:rsidRPr="00E37383">
              <w:rPr>
                <w:rFonts w:cs="Arial"/>
                <w:i/>
                <w:sz w:val="16"/>
                <w:szCs w:val="16"/>
              </w:rPr>
              <w:t xml:space="preserve"> de la complexité de son </w:t>
            </w:r>
            <w:r w:rsidR="00202912">
              <w:rPr>
                <w:rFonts w:cs="Arial"/>
                <w:i/>
                <w:sz w:val="16"/>
                <w:szCs w:val="16"/>
              </w:rPr>
              <w:t>activité et de son organisation</w:t>
            </w:r>
            <w:r w:rsidR="007100D9">
              <w:rPr>
                <w:i/>
                <w:sz w:val="16"/>
              </w:rPr>
              <w:t>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87" w14:textId="77777777" w:rsidR="007411F5" w:rsidRPr="007411F5" w:rsidRDefault="007411F5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88" w14:textId="77777777" w:rsidR="007411F5" w:rsidRPr="007411F5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89" w14:textId="77777777" w:rsidR="007411F5" w:rsidRPr="007411F5" w:rsidRDefault="007411F5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7100D9" w:rsidRPr="009273E9" w14:paraId="269CC2A2" w14:textId="77777777" w:rsidTr="003253CF">
        <w:tc>
          <w:tcPr>
            <w:tcW w:w="567" w:type="dxa"/>
            <w:vMerge/>
            <w:shd w:val="clear" w:color="auto" w:fill="auto"/>
          </w:tcPr>
          <w:p w14:paraId="269CC28B" w14:textId="77777777" w:rsidR="007100D9" w:rsidRPr="007411F5" w:rsidRDefault="007100D9" w:rsidP="002021DE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9CC28C" w14:textId="77777777" w:rsidR="007100D9" w:rsidRPr="00133AB4" w:rsidDel="007411F5" w:rsidRDefault="007100D9" w:rsidP="002021DE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8D" w14:textId="4CCF5825" w:rsidR="007100D9" w:rsidRDefault="002C2F6F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caps/>
                <w:sz w:val="16"/>
              </w:rPr>
              <w:t>Évaluer</w:t>
            </w:r>
            <w:r w:rsidR="007100D9">
              <w:rPr>
                <w:sz w:val="16"/>
              </w:rPr>
              <w:t xml:space="preserve"> l'adéquation des processus adoptés par l'établissement (conception) pour gérer les prétentions des clients, les cas juridiques et les procès, y compris :</w:t>
            </w:r>
          </w:p>
          <w:p w14:paraId="269CC28E" w14:textId="6958AE13" w:rsidR="001E49F0" w:rsidRDefault="00E16339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2C1698">
              <w:rPr>
                <w:sz w:val="16"/>
              </w:rPr>
              <w:t>la séparation et la répartition appropriées des fonctions</w:t>
            </w:r>
          </w:p>
          <w:p w14:paraId="269CC28F" w14:textId="0A1B024C" w:rsidR="001E49F0" w:rsidRPr="00927C9E" w:rsidRDefault="00E16339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06419D">
              <w:rPr>
                <w:sz w:val="16"/>
              </w:rPr>
              <w:t>l'adéquation des compétences et des aptitudes</w:t>
            </w:r>
          </w:p>
          <w:p w14:paraId="269CC290" w14:textId="77777777" w:rsidR="007100D9" w:rsidRPr="007100D9" w:rsidRDefault="0065035C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l'identification, l'évaluation et le suivi des prétentions des clients, des cas juridiques et des procès</w:t>
            </w:r>
          </w:p>
          <w:p w14:paraId="269CC291" w14:textId="3567E665" w:rsidR="0065035C" w:rsidRDefault="00E16339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A4411F">
              <w:rPr>
                <w:sz w:val="16"/>
              </w:rPr>
              <w:t>le processus de traitement des prétentions des clients, des cas juridiques et des procès (centralisé / décentralisé, répartition des responsabilités)</w:t>
            </w:r>
          </w:p>
          <w:p w14:paraId="269CC292" w14:textId="77777777" w:rsidR="00D417D7" w:rsidRDefault="0065035C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la fixation et le suivi des délais</w:t>
            </w:r>
          </w:p>
          <w:p w14:paraId="269CC293" w14:textId="52F0EAD7" w:rsidR="008017EA" w:rsidRPr="00A4411F" w:rsidRDefault="006D78F6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la garantie </w:t>
            </w:r>
            <w:r w:rsidR="004A46DB">
              <w:rPr>
                <w:sz w:val="16"/>
              </w:rPr>
              <w:t>que l'ensemble</w:t>
            </w:r>
            <w:r>
              <w:rPr>
                <w:sz w:val="16"/>
              </w:rPr>
              <w:t xml:space="preserve"> des prétentions, des cas juridiques et des procès</w:t>
            </w:r>
            <w:r w:rsidR="004A46DB">
              <w:rPr>
                <w:sz w:val="16"/>
              </w:rPr>
              <w:t xml:space="preserve"> fait l'objet d'un </w:t>
            </w:r>
            <w:r w:rsidR="008F7C4D">
              <w:rPr>
                <w:sz w:val="16"/>
              </w:rPr>
              <w:t>suivi</w:t>
            </w:r>
          </w:p>
          <w:p w14:paraId="269CC294" w14:textId="6DFE8DB6" w:rsidR="006F2B22" w:rsidRDefault="00E16339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8017EA">
              <w:rPr>
                <w:sz w:val="16"/>
              </w:rPr>
              <w:t>le processus de détermination des provisions</w:t>
            </w:r>
          </w:p>
          <w:p w14:paraId="269CC295" w14:textId="598F7F8B" w:rsidR="00A200FE" w:rsidRDefault="00E16339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A200FE">
              <w:rPr>
                <w:sz w:val="16"/>
              </w:rPr>
              <w:t xml:space="preserve">le processus </w:t>
            </w:r>
            <w:r w:rsidR="00120C73">
              <w:rPr>
                <w:sz w:val="16"/>
              </w:rPr>
              <w:t>pour sélectionner, déterminer et collaborer avec des</w:t>
            </w:r>
            <w:r w:rsidR="00A200FE">
              <w:rPr>
                <w:sz w:val="16"/>
              </w:rPr>
              <w:t xml:space="preserve"> experts externes en procédures judiciaires</w:t>
            </w:r>
          </w:p>
          <w:p w14:paraId="269CC296" w14:textId="77777777" w:rsidR="007100D9" w:rsidRPr="006C26A7" w:rsidRDefault="0065035C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40"/>
              <w:ind w:left="346" w:hanging="346"/>
              <w:contextualSpacing w:val="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le </w:t>
            </w:r>
            <w:r w:rsidRPr="00840D34">
              <w:rPr>
                <w:i/>
                <w:sz w:val="16"/>
              </w:rPr>
              <w:t>reporting</w:t>
            </w:r>
            <w:r>
              <w:rPr>
                <w:sz w:val="16"/>
              </w:rPr>
              <w:t xml:space="preserve"> interne et les procédures </w:t>
            </w:r>
            <w:r w:rsidR="00840D34">
              <w:rPr>
                <w:sz w:val="16"/>
              </w:rPr>
              <w:t>de remontée de l’information</w:t>
            </w:r>
            <w:r>
              <w:rPr>
                <w:sz w:val="16"/>
              </w:rPr>
              <w:t xml:space="preserve"> </w:t>
            </w:r>
            <w:r w:rsidRPr="00840D34">
              <w:rPr>
                <w:i/>
                <w:sz w:val="16"/>
              </w:rPr>
              <w:t>(</w:t>
            </w:r>
            <w:proofErr w:type="spellStart"/>
            <w:r w:rsidRPr="00840D34">
              <w:rPr>
                <w:i/>
                <w:sz w:val="16"/>
              </w:rPr>
              <w:t>escalation</w:t>
            </w:r>
            <w:proofErr w:type="spellEnd"/>
            <w:r w:rsidRPr="00840D34">
              <w:rPr>
                <w:i/>
                <w:sz w:val="16"/>
              </w:rPr>
              <w:t>)</w:t>
            </w:r>
            <w:r>
              <w:rPr>
                <w:sz w:val="16"/>
              </w:rPr>
              <w:t>.</w:t>
            </w:r>
          </w:p>
          <w:p w14:paraId="269CC297" w14:textId="77777777" w:rsidR="002C1698" w:rsidRPr="00AB7E68" w:rsidRDefault="002C1698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caps/>
                <w:sz w:val="16"/>
                <w:szCs w:val="16"/>
              </w:rPr>
            </w:pPr>
            <w:r>
              <w:rPr>
                <w:sz w:val="16"/>
              </w:rPr>
              <w:t>Se procurer les lignes directrices, les directives et procédures internes.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98" w14:textId="3C24D583" w:rsidR="006D78F6" w:rsidRDefault="00C25359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Vérifier </w:t>
            </w:r>
            <w:r w:rsidR="006D78F6">
              <w:rPr>
                <w:sz w:val="16"/>
              </w:rPr>
              <w:t>l'efficacité du fonctionnement des contrôles identifiés à partir d'échantillons.</w:t>
            </w:r>
          </w:p>
          <w:p w14:paraId="269CC299" w14:textId="77777777" w:rsidR="006D78F6" w:rsidRDefault="006D78F6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  <w:p w14:paraId="269CC29A" w14:textId="49757003" w:rsidR="00BF62F9" w:rsidRDefault="002C2F6F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Évaluer</w:t>
            </w:r>
            <w:r w:rsidR="00BF62F9">
              <w:rPr>
                <w:sz w:val="16"/>
              </w:rPr>
              <w:t xml:space="preserve"> l'adéquation </w:t>
            </w:r>
            <w:r w:rsidR="00E16339">
              <w:rPr>
                <w:sz w:val="16"/>
              </w:rPr>
              <w:t>de la procédure</w:t>
            </w:r>
            <w:r w:rsidR="00BF62F9">
              <w:rPr>
                <w:sz w:val="16"/>
              </w:rPr>
              <w:t xml:space="preserve"> et le caractère raisonnable des décisions prises par les organes responsables, à partir d'une sélection de prétentions de clients, de cas juridiques et de procès basée sur les risques.</w:t>
            </w:r>
          </w:p>
          <w:p w14:paraId="269CC29B" w14:textId="77777777" w:rsidR="00DD2B13" w:rsidRDefault="00DD2B13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  <w:p w14:paraId="269CC29C" w14:textId="1D2BD024" w:rsidR="00DD2B13" w:rsidRDefault="00C25359" w:rsidP="006C26A7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Contrôle de substance portant sur </w:t>
            </w:r>
            <w:r w:rsidR="00DD2B13">
              <w:rPr>
                <w:sz w:val="16"/>
              </w:rPr>
              <w:t>des cas particuliers de procès, y compris :</w:t>
            </w:r>
          </w:p>
          <w:p w14:paraId="269CC29D" w14:textId="76E12800" w:rsidR="00DD2B13" w:rsidRDefault="00DD2B13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examiner la correspondance (échangée avec les avocats, le</w:t>
            </w:r>
            <w:r w:rsidR="00222852">
              <w:rPr>
                <w:sz w:val="16"/>
              </w:rPr>
              <w:t>s clients, les tribunaux, etc.)</w:t>
            </w:r>
            <w:r>
              <w:rPr>
                <w:sz w:val="16"/>
              </w:rPr>
              <w:t xml:space="preserve"> </w:t>
            </w:r>
            <w:r w:rsidR="00120C73">
              <w:rPr>
                <w:sz w:val="16"/>
              </w:rPr>
              <w:t>relative aux</w:t>
            </w:r>
            <w:r>
              <w:rPr>
                <w:sz w:val="16"/>
              </w:rPr>
              <w:t xml:space="preserve"> cas choisis</w:t>
            </w:r>
          </w:p>
          <w:p w14:paraId="269CC29E" w14:textId="77777777" w:rsidR="00DD2B13" w:rsidRPr="00801983" w:rsidRDefault="00DD2B13" w:rsidP="006C26A7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/>
              <w:ind w:left="346" w:hanging="346"/>
              <w:jc w:val="both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se procurer et examiner la lettre de confirmation du conseiller juridique externe et/ou de l'avocat. </w:t>
            </w:r>
          </w:p>
          <w:p w14:paraId="269CC29F" w14:textId="77777777" w:rsidR="00DD2B13" w:rsidRPr="008807C0" w:rsidDel="007411F5" w:rsidRDefault="00DD2B13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A0" w14:textId="77777777" w:rsidR="007100D9" w:rsidRPr="00133AB4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A1" w14:textId="77777777" w:rsidR="007100D9" w:rsidRPr="00133AB4" w:rsidRDefault="007100D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361A89" w:rsidRPr="009273E9" w14:paraId="269CC2AB" w14:textId="77777777" w:rsidTr="003253CF">
        <w:trPr>
          <w:trHeight w:val="489"/>
        </w:trPr>
        <w:tc>
          <w:tcPr>
            <w:tcW w:w="567" w:type="dxa"/>
            <w:vMerge/>
            <w:shd w:val="clear" w:color="auto" w:fill="auto"/>
          </w:tcPr>
          <w:p w14:paraId="269CC2A3" w14:textId="77777777" w:rsidR="00361A89" w:rsidRPr="007411F5" w:rsidRDefault="00361A89" w:rsidP="00361A89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69CC2A4" w14:textId="77777777" w:rsidR="00361A89" w:rsidRPr="00133AB4" w:rsidDel="007411F5" w:rsidRDefault="00361A89" w:rsidP="00361A8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A5" w14:textId="3957047F" w:rsidR="00E21A77" w:rsidRPr="00927C9E" w:rsidDel="007411F5" w:rsidRDefault="002C2F6F" w:rsidP="004A46DB">
            <w:pPr>
              <w:autoSpaceDE w:val="0"/>
              <w:autoSpaceDN w:val="0"/>
              <w:adjustRightInd w:val="0"/>
              <w:spacing w:before="40" w:after="40"/>
              <w:jc w:val="both"/>
            </w:pPr>
            <w:r>
              <w:rPr>
                <w:sz w:val="16"/>
              </w:rPr>
              <w:t>Évaluer</w:t>
            </w:r>
            <w:r w:rsidR="00361A89">
              <w:rPr>
                <w:sz w:val="16"/>
              </w:rPr>
              <w:t xml:space="preserve"> l'adéquation du </w:t>
            </w:r>
            <w:r w:rsidR="00361A89" w:rsidRPr="00840D34">
              <w:rPr>
                <w:i/>
                <w:sz w:val="16"/>
              </w:rPr>
              <w:t>reporting</w:t>
            </w:r>
            <w:r w:rsidR="00361A89">
              <w:rPr>
                <w:sz w:val="16"/>
              </w:rPr>
              <w:t xml:space="preserve"> à l'intention de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 w:rsidR="00361A89">
              <w:rPr>
                <w:sz w:val="16"/>
              </w:rPr>
              <w:t>ainsi que de la surveillance exercée par ceux-ci en ce qui concerne les prétentions des clients, les cas juridiques et les procès.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A6" w14:textId="5A545B12" w:rsidR="006D78F6" w:rsidRDefault="002C2F6F" w:rsidP="006C26A7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Évaluer</w:t>
            </w:r>
            <w:r w:rsidR="00361A89">
              <w:rPr>
                <w:sz w:val="16"/>
              </w:rPr>
              <w:t xml:space="preserve">, à partir d'une sélection de prétentions de clients, de cas juridiques et de procès basée sur les risques, si ceux-ci sont correctement pris en compte dans le </w:t>
            </w:r>
            <w:r w:rsidR="00361A89" w:rsidRPr="00840D34">
              <w:rPr>
                <w:i/>
                <w:sz w:val="16"/>
              </w:rPr>
              <w:t>reporting</w:t>
            </w:r>
            <w:r w:rsidR="00361A89">
              <w:rPr>
                <w:sz w:val="16"/>
              </w:rPr>
              <w:t xml:space="preserve"> adressé à la direction et</w:t>
            </w:r>
            <w:r w:rsidR="006A0053">
              <w:rPr>
                <w:sz w:val="16"/>
              </w:rPr>
              <w:t xml:space="preserve"> à</w:t>
            </w:r>
            <w:r w:rsidR="00361A89">
              <w:rPr>
                <w:sz w:val="16"/>
              </w:rPr>
              <w:t xml:space="preserve"> </w:t>
            </w:r>
            <w:r w:rsidR="006A0053">
              <w:rPr>
                <w:sz w:val="16"/>
              </w:rPr>
              <w:t>l'organe responsable de la haute direction</w:t>
            </w:r>
            <w:r w:rsidR="00361A89">
              <w:rPr>
                <w:sz w:val="16"/>
              </w:rPr>
              <w:t>.</w:t>
            </w:r>
          </w:p>
          <w:p w14:paraId="0769137E" w14:textId="77777777" w:rsidR="00BA135C" w:rsidRDefault="00BA135C" w:rsidP="004A46DB">
            <w:pPr>
              <w:autoSpaceDE w:val="0"/>
              <w:autoSpaceDN w:val="0"/>
              <w:adjustRightInd w:val="0"/>
              <w:spacing w:before="40" w:after="40"/>
              <w:rPr>
                <w:sz w:val="16"/>
              </w:rPr>
            </w:pPr>
          </w:p>
          <w:p w14:paraId="269CC2A8" w14:textId="0459E313" w:rsidR="006D78F6" w:rsidRPr="00133AB4" w:rsidDel="007411F5" w:rsidRDefault="006D78F6" w:rsidP="004A46DB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Examiner les procès-verbaux des séances d</w:t>
            </w:r>
            <w:r w:rsidR="004A46DB">
              <w:rPr>
                <w:sz w:val="16"/>
              </w:rPr>
              <w:t>e l'organe responsable de la haute direction</w:t>
            </w:r>
            <w:r>
              <w:rPr>
                <w:sz w:val="16"/>
              </w:rPr>
              <w:t>/ de la direction sur la base d'un échantillon afin d'évaluer la surveillance exercée par ceux-ci.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A9" w14:textId="77777777" w:rsidR="00361A89" w:rsidRPr="00133AB4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63" w:type="dxa"/>
            <w:gridSpan w:val="2"/>
            <w:shd w:val="clear" w:color="auto" w:fill="auto"/>
          </w:tcPr>
          <w:p w14:paraId="269CC2AA" w14:textId="77777777" w:rsidR="00361A89" w:rsidRPr="00133AB4" w:rsidRDefault="00361A8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9273E9" w14:paraId="269CC2B2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AC" w14:textId="77777777" w:rsidR="00166719" w:rsidRPr="0029693B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jc w:val="both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AD" w14:textId="29C0B76F" w:rsidR="00166719" w:rsidRPr="00927C9E" w:rsidRDefault="00E16339" w:rsidP="00B21CF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b/>
                <w:sz w:val="16"/>
              </w:rPr>
              <w:t>Conformité avec les lignes directrices et procédures existantes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69CC2AE" w14:textId="7136A0B2" w:rsidR="00166719" w:rsidRPr="00133AB4" w:rsidRDefault="00E16339" w:rsidP="00840D34">
            <w:pPr>
              <w:pStyle w:val="Bullet"/>
              <w:numPr>
                <w:ilvl w:val="0"/>
                <w:numId w:val="0"/>
              </w:numPr>
              <w:spacing w:before="40" w:after="40"/>
              <w:ind w:left="63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2C2F6F">
              <w:rPr>
                <w:i/>
              </w:rPr>
              <w:t>Évaluer</w:t>
            </w:r>
            <w:r w:rsidR="00120C73">
              <w:rPr>
                <w:i/>
              </w:rPr>
              <w:t xml:space="preserve"> </w:t>
            </w:r>
            <w:r w:rsidR="00A614B3">
              <w:rPr>
                <w:i/>
              </w:rPr>
              <w:t xml:space="preserve">s'il existe un processus approprié pour s'assurer que les lignes directrices/procédures en matière de risques et les </w:t>
            </w:r>
            <w:r>
              <w:rPr>
                <w:i/>
              </w:rPr>
              <w:t xml:space="preserve">directives </w:t>
            </w:r>
            <w:r w:rsidR="00A614B3">
              <w:rPr>
                <w:i/>
              </w:rPr>
              <w:t>relatives à la gestion des prétentions</w:t>
            </w:r>
            <w:r w:rsidR="00840D34">
              <w:rPr>
                <w:i/>
              </w:rPr>
              <w:t xml:space="preserve"> des clients, des procès et du risque juridique</w:t>
            </w:r>
            <w:r w:rsidR="00A614B3">
              <w:rPr>
                <w:i/>
              </w:rPr>
              <w:t xml:space="preserve"> ont été effectivement appliquées et respectées, notamment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AF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269CC2B0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9CC2B1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166719" w14:paraId="269CC2BE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B3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B4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B5" w14:textId="3B5018AC" w:rsidR="00166719" w:rsidRDefault="004A2B6C" w:rsidP="00166719">
            <w:pPr>
              <w:pStyle w:val="Bullet"/>
              <w:numPr>
                <w:ilvl w:val="0"/>
                <w:numId w:val="0"/>
              </w:numPr>
              <w:spacing w:before="40" w:after="40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166719">
              <w:t xml:space="preserve">Au moyen d'enquêtes auprès du management et par l'examen de rapports internes, acquérir une compréhension globale des contrôles internes liés à la gestion </w:t>
            </w:r>
          </w:p>
          <w:p w14:paraId="269CC2B6" w14:textId="77777777" w:rsidR="00166719" w:rsidRPr="00927C9E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des prétentions des clients,</w:t>
            </w:r>
          </w:p>
          <w:p w14:paraId="269CC2B7" w14:textId="77777777" w:rsidR="00166719" w:rsidRPr="00927C9E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du risque de procès,</w:t>
            </w:r>
          </w:p>
          <w:p w14:paraId="269CC2B8" w14:textId="77777777" w:rsidR="00166719" w:rsidRPr="00927C9E" w:rsidRDefault="00166719" w:rsidP="00166719">
            <w:pPr>
              <w:pStyle w:val="Paragraphedeliste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40" w:after="40" w:line="240" w:lineRule="auto"/>
              <w:ind w:left="346" w:hanging="346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du risque juridique,</w:t>
            </w:r>
          </w:p>
          <w:p w14:paraId="269CC2B9" w14:textId="77777777" w:rsidR="00166719" w:rsidRPr="00166719" w:rsidRDefault="00166719" w:rsidP="00166719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les identifier, les documenter, et évaluer leur efficacité conceptuelle.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BA" w14:textId="0ACF4200" w:rsidR="00166719" w:rsidRPr="00C41508" w:rsidRDefault="004A2B6C" w:rsidP="00166719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sz w:val="16"/>
              </w:rPr>
              <w:t xml:space="preserve">Effectuer des tests </w:t>
            </w:r>
            <w:r w:rsidR="00F67CEF">
              <w:rPr>
                <w:sz w:val="16"/>
              </w:rPr>
              <w:t>de procédures</w:t>
            </w:r>
            <w:r w:rsidR="00166719">
              <w:rPr>
                <w:sz w:val="16"/>
              </w:rPr>
              <w:t xml:space="preserve"> afin de confirmer l'efficacité </w:t>
            </w:r>
            <w:r w:rsidR="00552F55">
              <w:rPr>
                <w:sz w:val="16"/>
              </w:rPr>
              <w:t xml:space="preserve">du </w:t>
            </w:r>
            <w:r w:rsidR="00166719">
              <w:rPr>
                <w:sz w:val="16"/>
              </w:rPr>
              <w:t xml:space="preserve">fonctionnement des contrôles internes pour la gestion des prétentions des clients, des risques de procès et des risques juridiques eu égard aux lignes directrices et procédures internes. </w:t>
            </w:r>
          </w:p>
          <w:p w14:paraId="269CC2BB" w14:textId="5B7792B0" w:rsidR="00166719" w:rsidRPr="00133AB4" w:rsidRDefault="00166719" w:rsidP="00F67CEF">
            <w:pPr>
              <w:pStyle w:val="Bullet"/>
              <w:numPr>
                <w:ilvl w:val="0"/>
                <w:numId w:val="0"/>
              </w:numPr>
              <w:spacing w:before="40" w:after="40"/>
            </w:pPr>
            <w:r>
              <w:t xml:space="preserve">Sélectionner au moins une prétention de client / un procès majeur(e) afin d'effectuer un </w:t>
            </w:r>
            <w:r w:rsidR="00F67CEF">
              <w:t xml:space="preserve">contrôle de substance </w:t>
            </w:r>
            <w:r>
              <w:t>de la conformité avec les règles internes.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BC" w14:textId="77777777" w:rsidR="00166719" w:rsidRPr="00C41508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269CC2BD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166719" w:rsidRPr="009273E9" w14:paraId="269CC2C5" w14:textId="77777777" w:rsidTr="003253CF">
        <w:trPr>
          <w:cantSplit/>
        </w:trPr>
        <w:tc>
          <w:tcPr>
            <w:tcW w:w="567" w:type="dxa"/>
            <w:shd w:val="clear" w:color="auto" w:fill="auto"/>
          </w:tcPr>
          <w:p w14:paraId="269CC2BF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269CC2C0" w14:textId="77777777" w:rsidR="00166719" w:rsidRPr="002E0311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69CC2C1" w14:textId="4C23A05D" w:rsidR="00166719" w:rsidRPr="00166719" w:rsidRDefault="004A2B6C" w:rsidP="008F7C4D">
            <w:pPr>
              <w:spacing w:before="40" w:after="40" w:line="240" w:lineRule="auto"/>
              <w:rPr>
                <w:rFonts w:cs="Arial"/>
                <w:b/>
                <w:sz w:val="16"/>
                <w:szCs w:val="16"/>
              </w:rPr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  <w:sz w:val="16"/>
                <w:szCs w:val="16"/>
              </w:rPr>
              <w:t xml:space="preserve"> </w:t>
            </w:r>
            <w:r w:rsidR="00166719">
              <w:rPr>
                <w:sz w:val="16"/>
              </w:rPr>
              <w:t xml:space="preserve">Lire les procès-verbaux et les documents de </w:t>
            </w:r>
            <w:r w:rsidR="00166719" w:rsidRPr="00840D34">
              <w:rPr>
                <w:i/>
                <w:sz w:val="16"/>
              </w:rPr>
              <w:t>reporting</w:t>
            </w:r>
            <w:r w:rsidR="00166719">
              <w:rPr>
                <w:sz w:val="16"/>
              </w:rPr>
              <w:t xml:space="preserve"> et évaluer l'adéquation de la surveillance exercée par la direction et </w:t>
            </w:r>
            <w:r w:rsidR="006A0053">
              <w:rPr>
                <w:sz w:val="16"/>
              </w:rPr>
              <w:t xml:space="preserve">l'organe responsable de la haute direction </w:t>
            </w:r>
            <w:r w:rsidR="00166719">
              <w:rPr>
                <w:sz w:val="16"/>
              </w:rPr>
              <w:t xml:space="preserve"> ainsi que des décisions prises en conséquence au sujet des activités.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269CC2C2" w14:textId="0DCBE9A1" w:rsidR="00166719" w:rsidRPr="00133AB4" w:rsidRDefault="004A2B6C" w:rsidP="00C25359">
            <w:pPr>
              <w:pStyle w:val="Bullet"/>
              <w:numPr>
                <w:ilvl w:val="0"/>
                <w:numId w:val="0"/>
              </w:numPr>
              <w:spacing w:before="40" w:after="40"/>
            </w:pPr>
            <w:r w:rsidRPr="001F6220">
              <w:rPr>
                <w:b/>
                <w:bCs/>
                <w:sz w:val="28"/>
                <w:szCs w:val="28"/>
              </w:rPr>
              <w:t>*</w:t>
            </w:r>
            <w:r w:rsidRPr="00E16339">
              <w:rPr>
                <w:b/>
                <w:bCs/>
              </w:rPr>
              <w:t xml:space="preserve"> </w:t>
            </w:r>
            <w:r w:rsidR="00C25359">
              <w:t>Procéder à un contrôle de substance</w:t>
            </w:r>
            <w:r w:rsidR="00923CB7">
              <w:t xml:space="preserve"> sur la base d'un échantillon, </w:t>
            </w:r>
            <w:r w:rsidR="00C25359">
              <w:t xml:space="preserve">afin de vérifier </w:t>
            </w:r>
            <w:r w:rsidR="00923CB7">
              <w:t>si les décisions des organes de direction ont été effectivement mises en œuvre.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269CC2C3" w14:textId="77777777" w:rsidR="00166719" w:rsidRDefault="00166719" w:rsidP="006C26A7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69CC2C4" w14:textId="77777777" w:rsidR="00166719" w:rsidRPr="00133AB4" w:rsidRDefault="00166719" w:rsidP="006C26A7">
            <w:pPr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F9D5B02" w14:textId="77777777" w:rsidR="00BA135C" w:rsidRDefault="00BA135C" w:rsidP="006C26A7">
      <w:pPr>
        <w:spacing w:before="0" w:after="200"/>
        <w:jc w:val="center"/>
        <w:rPr>
          <w:sz w:val="16"/>
        </w:rPr>
      </w:pPr>
    </w:p>
    <w:p w14:paraId="269CC2F4" w14:textId="67096CBC" w:rsidR="00003E26" w:rsidRPr="00133AB4" w:rsidRDefault="00513348" w:rsidP="006C26A7">
      <w:pPr>
        <w:spacing w:before="0" w:after="200"/>
        <w:jc w:val="center"/>
        <w:rPr>
          <w:rFonts w:cs="Arial"/>
          <w:sz w:val="16"/>
          <w:szCs w:val="16"/>
        </w:rPr>
      </w:pPr>
      <w:r>
        <w:rPr>
          <w:sz w:val="16"/>
        </w:rPr>
        <w:t>********************************</w:t>
      </w:r>
    </w:p>
    <w:sectPr w:rsidR="00003E26" w:rsidRPr="00133AB4" w:rsidSect="00E23370">
      <w:headerReference w:type="default" r:id="rId12"/>
      <w:footerReference w:type="default" r:id="rId13"/>
      <w:pgSz w:w="16838" w:h="11906" w:orient="landscape"/>
      <w:pgMar w:top="1417" w:right="1417" w:bottom="1135" w:left="1134" w:header="426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3C14" w14:textId="77777777" w:rsidR="000864FD" w:rsidRDefault="000864FD" w:rsidP="0073176F">
      <w:pPr>
        <w:spacing w:after="0" w:line="240" w:lineRule="auto"/>
      </w:pPr>
      <w:r>
        <w:separator/>
      </w:r>
    </w:p>
  </w:endnote>
  <w:endnote w:type="continuationSeparator" w:id="0">
    <w:p w14:paraId="5F2B904A" w14:textId="77777777" w:rsidR="000864FD" w:rsidRDefault="000864FD" w:rsidP="0073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8258" w14:textId="60CE583E" w:rsidR="00955265" w:rsidRDefault="0029735F" w:rsidP="00C25359">
    <w:pPr>
      <w:pStyle w:val="Pieddepage"/>
      <w:tabs>
        <w:tab w:val="clear" w:pos="9072"/>
        <w:tab w:val="right" w:pos="14175"/>
      </w:tabs>
    </w:pPr>
    <w:r w:rsidRPr="008C7E4C">
      <w:rPr>
        <w:sz w:val="16"/>
        <w:szCs w:val="16"/>
      </w:rPr>
      <w:t>Procédures applicables au champ d'audit « Risques d'</w:t>
    </w:r>
    <w:r w:rsidR="00551001">
      <w:rPr>
        <w:sz w:val="16"/>
        <w:szCs w:val="16"/>
      </w:rPr>
      <w:t>affaires – gestion des risques /</w:t>
    </w:r>
    <w:r w:rsidRPr="008C7E4C">
      <w:rPr>
        <w:sz w:val="16"/>
        <w:szCs w:val="16"/>
      </w:rPr>
      <w:t xml:space="preserve"> autres risques provenant des risques juridiques et de procès » </w:t>
    </w:r>
  </w:p>
  <w:p w14:paraId="269CC2FF" w14:textId="25BF0B43" w:rsidR="00163FB7" w:rsidRPr="0029735F" w:rsidRDefault="00955265" w:rsidP="00C25359">
    <w:pPr>
      <w:pStyle w:val="Pieddepage"/>
      <w:tabs>
        <w:tab w:val="clear" w:pos="9072"/>
        <w:tab w:val="right" w:pos="14175"/>
      </w:tabs>
    </w:pPr>
    <w:r w:rsidRPr="005B057F">
      <w:rPr>
        <w:sz w:val="16"/>
        <w:szCs w:val="16"/>
      </w:rPr>
      <w:t xml:space="preserve">Version </w:t>
    </w:r>
    <w:r w:rsidR="005B057F">
      <w:rPr>
        <w:sz w:val="16"/>
        <w:szCs w:val="16"/>
      </w:rPr>
      <w:t xml:space="preserve">du </w:t>
    </w:r>
    <w:r w:rsidR="0002784B">
      <w:rPr>
        <w:sz w:val="16"/>
        <w:szCs w:val="16"/>
      </w:rPr>
      <w:t>15 mars</w:t>
    </w:r>
    <w:r w:rsidR="00803B27">
      <w:rPr>
        <w:sz w:val="16"/>
        <w:szCs w:val="16"/>
      </w:rPr>
      <w:t xml:space="preserve"> 2025</w:t>
    </w:r>
    <w:r w:rsidR="005B057F">
      <w:rPr>
        <w:sz w:val="16"/>
        <w:szCs w:val="16"/>
      </w:rPr>
      <w:t xml:space="preserve">, </w:t>
    </w:r>
    <w:r w:rsidRPr="005B057F">
      <w:rPr>
        <w:sz w:val="16"/>
        <w:szCs w:val="16"/>
      </w:rPr>
      <w:t>applicable dès</w:t>
    </w:r>
    <w:r w:rsidR="003D3D4F">
      <w:rPr>
        <w:sz w:val="16"/>
        <w:szCs w:val="16"/>
      </w:rPr>
      <w:t xml:space="preserve"> </w:t>
    </w:r>
    <w:r w:rsidR="004A2B6C">
      <w:rPr>
        <w:sz w:val="16"/>
        <w:szCs w:val="16"/>
      </w:rPr>
      <w:t>la période d’audit 202</w:t>
    </w:r>
    <w:r w:rsidR="00803B27">
      <w:rPr>
        <w:sz w:val="16"/>
        <w:szCs w:val="16"/>
      </w:rPr>
      <w:t>5</w:t>
    </w:r>
    <w:r w:rsidR="004A2B6C">
      <w:rPr>
        <w:sz w:val="16"/>
        <w:szCs w:val="16"/>
      </w:rPr>
      <w:t xml:space="preserve"> (année d’audit débutant</w:t>
    </w:r>
    <w:r w:rsidR="006E6ABB">
      <w:rPr>
        <w:sz w:val="16"/>
        <w:szCs w:val="16"/>
      </w:rPr>
      <w:t xml:space="preserve"> au plus tôt</w:t>
    </w:r>
    <w:r w:rsidR="004A2B6C">
      <w:rPr>
        <w:sz w:val="16"/>
        <w:szCs w:val="16"/>
      </w:rPr>
      <w:t xml:space="preserve"> </w:t>
    </w:r>
    <w:r w:rsidR="003D3D4F">
      <w:rPr>
        <w:sz w:val="16"/>
        <w:szCs w:val="16"/>
      </w:rPr>
      <w:t xml:space="preserve">le </w:t>
    </w:r>
    <w:bookmarkStart w:id="6" w:name="_Hlk191450775"/>
    <w:r w:rsidR="00803B27">
      <w:rPr>
        <w:sz w:val="16"/>
      </w:rPr>
      <w:t>1</w:t>
    </w:r>
    <w:r w:rsidR="00803B27">
      <w:rPr>
        <w:sz w:val="16"/>
        <w:vertAlign w:val="superscript"/>
      </w:rPr>
      <w:t>er</w:t>
    </w:r>
    <w:r w:rsidR="00803B27">
      <w:rPr>
        <w:sz w:val="16"/>
      </w:rPr>
      <w:t> janvier 2025</w:t>
    </w:r>
    <w:bookmarkEnd w:id="6"/>
    <w:r w:rsidR="004A2B6C">
      <w:rPr>
        <w:sz w:val="16"/>
        <w:szCs w:val="16"/>
      </w:rPr>
      <w:t>)</w:t>
    </w:r>
    <w:r w:rsidR="00552F55">
      <w:tab/>
    </w:r>
    <w:r w:rsidR="0029735F">
      <w:rPr>
        <w:sz w:val="16"/>
      </w:rPr>
      <w:t xml:space="preserve">Page </w:t>
    </w:r>
    <w:r w:rsidR="009273E9" w:rsidRPr="009273E9">
      <w:rPr>
        <w:sz w:val="16"/>
        <w:szCs w:val="16"/>
      </w:rPr>
      <w:fldChar w:fldCharType="begin"/>
    </w:r>
    <w:r w:rsidR="009273E9" w:rsidRPr="009273E9">
      <w:rPr>
        <w:sz w:val="16"/>
        <w:szCs w:val="16"/>
      </w:rPr>
      <w:instrText>PAGE   \* MERGEFORMAT</w:instrText>
    </w:r>
    <w:r w:rsidR="009273E9" w:rsidRPr="009273E9">
      <w:rPr>
        <w:sz w:val="16"/>
        <w:szCs w:val="16"/>
      </w:rPr>
      <w:fldChar w:fldCharType="separate"/>
    </w:r>
    <w:r w:rsidR="00CC289B">
      <w:rPr>
        <w:noProof/>
        <w:sz w:val="16"/>
        <w:szCs w:val="16"/>
      </w:rPr>
      <w:t>7</w:t>
    </w:r>
    <w:r w:rsidR="009273E9" w:rsidRPr="009273E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D3A87" w14:textId="77777777" w:rsidR="000864FD" w:rsidRDefault="000864FD" w:rsidP="0073176F">
      <w:pPr>
        <w:spacing w:after="0" w:line="240" w:lineRule="auto"/>
      </w:pPr>
      <w:r>
        <w:separator/>
      </w:r>
    </w:p>
  </w:footnote>
  <w:footnote w:type="continuationSeparator" w:id="0">
    <w:p w14:paraId="1DB31C3D" w14:textId="77777777" w:rsidR="000864FD" w:rsidRDefault="000864FD" w:rsidP="0073176F">
      <w:pPr>
        <w:spacing w:after="0" w:line="240" w:lineRule="auto"/>
      </w:pPr>
      <w:r>
        <w:continuationSeparator/>
      </w:r>
    </w:p>
  </w:footnote>
  <w:footnote w:id="1">
    <w:p w14:paraId="0FB43DBF" w14:textId="0553CA56" w:rsidR="000D48E6" w:rsidRDefault="000D48E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191391812"/>
      <w:bookmarkStart w:id="1" w:name="_Hlk34745727"/>
      <w:r w:rsidR="00803B27" w:rsidRPr="001036E9">
        <w:t xml:space="preserve">Art. 10 </w:t>
      </w:r>
      <w:r w:rsidR="00803B27" w:rsidRPr="00E86591">
        <w:t>al</w:t>
      </w:r>
      <w:r w:rsidR="00803B27" w:rsidRPr="001036E9">
        <w:t xml:space="preserve">. 2 </w:t>
      </w:r>
      <w:r w:rsidR="00803B27" w:rsidRPr="00E86591">
        <w:t>et</w:t>
      </w:r>
      <w:r w:rsidR="00803B27" w:rsidRPr="001036E9">
        <w:t xml:space="preserve"> 3 </w:t>
      </w:r>
      <w:bookmarkEnd w:id="0"/>
      <w:r w:rsidR="00803B27">
        <w:t>de l'</w:t>
      </w:r>
      <w:r w:rsidR="00803B27" w:rsidRPr="00E86591">
        <w:t>or</w:t>
      </w:r>
      <w:r w:rsidR="00803B27">
        <w:t>d</w:t>
      </w:r>
      <w:r w:rsidR="00803B27" w:rsidRPr="00E86591">
        <w:t xml:space="preserve">onnance FINMA </w:t>
      </w:r>
      <w:r w:rsidR="0002784B" w:rsidRPr="0002784B">
        <w:t>du 31 octobre 2024</w:t>
      </w:r>
      <w:r w:rsidR="0002784B">
        <w:t xml:space="preserve"> </w:t>
      </w:r>
      <w:r w:rsidR="00803B27" w:rsidRPr="00E86591">
        <w:t>sur l’audit prudentiel</w:t>
      </w:r>
      <w:r w:rsidR="0002784B">
        <w:t xml:space="preserve"> (RS</w:t>
      </w:r>
      <w:r w:rsidR="0002784B" w:rsidRPr="007A370C">
        <w:rPr>
          <w:i/>
          <w:iCs/>
        </w:rPr>
        <w:t> 956.161.1</w:t>
      </w:r>
      <w:r w:rsidR="0002784B">
        <w:t>)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C2F9" w14:textId="3ECF7612" w:rsidR="0029735F" w:rsidRPr="0029735F" w:rsidRDefault="0029735F" w:rsidP="00B21CF3">
    <w:pPr>
      <w:tabs>
        <w:tab w:val="left" w:pos="3969"/>
        <w:tab w:val="center" w:pos="4536"/>
        <w:tab w:val="right" w:pos="14317"/>
      </w:tabs>
      <w:spacing w:after="0" w:line="240" w:lineRule="auto"/>
      <w:rPr>
        <w:rFonts w:cs="Arial"/>
        <w:sz w:val="14"/>
        <w:szCs w:val="16"/>
      </w:rPr>
    </w:pPr>
    <w:r>
      <w:rPr>
        <w:noProof/>
        <w:lang w:val="de-CH" w:eastAsia="de-CH" w:bidi="ar-SA"/>
      </w:rPr>
      <w:drawing>
        <wp:anchor distT="0" distB="0" distL="114300" distR="114300" simplePos="0" relativeHeight="251659264" behindDoc="1" locked="0" layoutInCell="1" allowOverlap="1" wp14:anchorId="269CC300" wp14:editId="1205506F">
          <wp:simplePos x="0" y="0"/>
          <wp:positionH relativeFrom="column">
            <wp:posOffset>7057059</wp:posOffset>
          </wp:positionH>
          <wp:positionV relativeFrom="paragraph">
            <wp:posOffset>-68635</wp:posOffset>
          </wp:positionV>
          <wp:extent cx="2062480" cy="835025"/>
          <wp:effectExtent l="0" t="0" r="0" b="3175"/>
          <wp:wrapTight wrapText="bothSides">
            <wp:wrapPolygon edited="0">
              <wp:start x="0" y="0"/>
              <wp:lineTo x="0" y="21189"/>
              <wp:lineTo x="21347" y="21189"/>
              <wp:lineTo x="21347" y="0"/>
              <wp:lineTo x="0" y="0"/>
            </wp:wrapPolygon>
          </wp:wrapTight>
          <wp:docPr id="1" name="Image 1" descr="Logo_FIN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Logo_FIN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highlight w:val="yellow"/>
      </w:rPr>
      <w:t>[Etablissement XY]</w:t>
    </w:r>
    <w:r>
      <w:tab/>
    </w:r>
    <w:r>
      <w:rPr>
        <w:sz w:val="16"/>
      </w:rPr>
      <w:t xml:space="preserve">Référence : </w:t>
    </w:r>
    <w:r>
      <w:rPr>
        <w:sz w:val="16"/>
        <w:highlight w:val="yellow"/>
      </w:rPr>
      <w:t>[ajouter la référence]</w:t>
    </w:r>
  </w:p>
  <w:p w14:paraId="269CC2FA" w14:textId="465C4AB8" w:rsidR="0029735F" w:rsidRPr="0029735F" w:rsidRDefault="0029735F" w:rsidP="00B21CF3">
    <w:pPr>
      <w:tabs>
        <w:tab w:val="left" w:pos="3969"/>
        <w:tab w:val="right" w:pos="14317"/>
      </w:tabs>
      <w:spacing w:after="0" w:line="240" w:lineRule="auto"/>
      <w:rPr>
        <w:rFonts w:cs="Arial"/>
        <w:sz w:val="16"/>
        <w:szCs w:val="16"/>
      </w:rPr>
    </w:pPr>
    <w:r>
      <w:rPr>
        <w:sz w:val="16"/>
      </w:rPr>
      <w:t xml:space="preserve">Période d'audit </w:t>
    </w:r>
    <w:r>
      <w:rPr>
        <w:sz w:val="16"/>
        <w:highlight w:val="yellow"/>
      </w:rPr>
      <w:t>20XX</w:t>
    </w:r>
    <w:r>
      <w:tab/>
    </w:r>
    <w:r>
      <w:rPr>
        <w:b/>
        <w:sz w:val="16"/>
      </w:rPr>
      <w:t xml:space="preserve">Autres risques provenant des risques juridiques et de procès </w:t>
    </w:r>
  </w:p>
  <w:p w14:paraId="269CC2FB" w14:textId="57BFC0BA" w:rsid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269CC2FC" w14:textId="77777777" w:rsidR="0029735F" w:rsidRP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269CC2FD" w14:textId="77777777" w:rsidR="0029735F" w:rsidRPr="0029735F" w:rsidRDefault="0029735F" w:rsidP="00B21CF3">
    <w:pPr>
      <w:tabs>
        <w:tab w:val="center" w:pos="4536"/>
        <w:tab w:val="right" w:pos="9072"/>
      </w:tabs>
      <w:spacing w:after="0" w:line="240" w:lineRule="auto"/>
      <w:rPr>
        <w:rFonts w:cs="Arial"/>
        <w:sz w:val="18"/>
        <w:szCs w:val="18"/>
      </w:rPr>
    </w:pPr>
  </w:p>
  <w:p w14:paraId="269CC2FE" w14:textId="77777777" w:rsidR="0029735F" w:rsidRPr="0029735F" w:rsidRDefault="0029735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67E"/>
    <w:multiLevelType w:val="hybridMultilevel"/>
    <w:tmpl w:val="6CEE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35ACF"/>
    <w:multiLevelType w:val="hybridMultilevel"/>
    <w:tmpl w:val="A1606C3E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18680276"/>
    <w:multiLevelType w:val="multilevel"/>
    <w:tmpl w:val="545A961C"/>
    <w:styleLink w:val="ListePP"/>
    <w:lvl w:ilvl="0">
      <w:start w:val="1"/>
      <w:numFmt w:val="upperLetter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" w15:restartNumberingAfterBreak="0">
    <w:nsid w:val="187A464A"/>
    <w:multiLevelType w:val="hybridMultilevel"/>
    <w:tmpl w:val="971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E20BD"/>
    <w:multiLevelType w:val="multilevel"/>
    <w:tmpl w:val="545A961C"/>
    <w:numStyleLink w:val="ListePP"/>
  </w:abstractNum>
  <w:abstractNum w:abstractNumId="5" w15:restartNumberingAfterBreak="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CC3091"/>
    <w:multiLevelType w:val="hybridMultilevel"/>
    <w:tmpl w:val="BFA82456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 w15:restartNumberingAfterBreak="0">
    <w:nsid w:val="25A022E3"/>
    <w:multiLevelType w:val="hybridMultilevel"/>
    <w:tmpl w:val="2D822F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682E"/>
    <w:multiLevelType w:val="hybridMultilevel"/>
    <w:tmpl w:val="DA3CB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C0CD6"/>
    <w:multiLevelType w:val="hybridMultilevel"/>
    <w:tmpl w:val="5B846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C68B1"/>
    <w:multiLevelType w:val="hybridMultilevel"/>
    <w:tmpl w:val="198E9BD8"/>
    <w:lvl w:ilvl="0" w:tplc="FCC4893A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lang w:val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B1932"/>
    <w:multiLevelType w:val="hybridMultilevel"/>
    <w:tmpl w:val="A35802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04E95"/>
    <w:multiLevelType w:val="hybridMultilevel"/>
    <w:tmpl w:val="DDC219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443FB"/>
    <w:multiLevelType w:val="hybridMultilevel"/>
    <w:tmpl w:val="6CDE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B6A6A"/>
    <w:multiLevelType w:val="hybridMultilevel"/>
    <w:tmpl w:val="4174738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1E223B"/>
    <w:multiLevelType w:val="hybridMultilevel"/>
    <w:tmpl w:val="F4169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5D4"/>
    <w:multiLevelType w:val="hybridMultilevel"/>
    <w:tmpl w:val="8E3C1D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74283"/>
    <w:multiLevelType w:val="hybridMultilevel"/>
    <w:tmpl w:val="DDF830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218E4"/>
    <w:multiLevelType w:val="hybridMultilevel"/>
    <w:tmpl w:val="4E301B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C3600"/>
    <w:multiLevelType w:val="hybridMultilevel"/>
    <w:tmpl w:val="BFB64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109EC"/>
    <w:multiLevelType w:val="hybridMultilevel"/>
    <w:tmpl w:val="CA468560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1" w15:restartNumberingAfterBreak="0">
    <w:nsid w:val="67C65345"/>
    <w:multiLevelType w:val="hybridMultilevel"/>
    <w:tmpl w:val="2416A7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806B3"/>
    <w:multiLevelType w:val="hybridMultilevel"/>
    <w:tmpl w:val="CD1435E6"/>
    <w:lvl w:ilvl="0" w:tplc="AC4EA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67457"/>
    <w:multiLevelType w:val="hybridMultilevel"/>
    <w:tmpl w:val="C666CB00"/>
    <w:lvl w:ilvl="0" w:tplc="3F5AAEA6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E97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val="en-US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C3FCB"/>
    <w:multiLevelType w:val="hybridMultilevel"/>
    <w:tmpl w:val="6C661F1A"/>
    <w:lvl w:ilvl="0" w:tplc="8ABE2DFE">
      <w:numFmt w:val="bullet"/>
      <w:pStyle w:val="Bullet"/>
      <w:lvlText w:val="-"/>
      <w:lvlJc w:val="left"/>
      <w:pPr>
        <w:ind w:left="720" w:hanging="360"/>
      </w:pPr>
      <w:rPr>
        <w:rFonts w:ascii="EYInterstate Light" w:eastAsiaTheme="minorHAnsi" w:hAnsi="EYInterstate 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DB4924"/>
    <w:multiLevelType w:val="hybridMultilevel"/>
    <w:tmpl w:val="7618E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D382B"/>
    <w:multiLevelType w:val="hybridMultilevel"/>
    <w:tmpl w:val="2516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17E40"/>
    <w:multiLevelType w:val="hybridMultilevel"/>
    <w:tmpl w:val="670A40EA"/>
    <w:lvl w:ilvl="0" w:tplc="DE08847E">
      <w:start w:val="1"/>
      <w:numFmt w:val="decimal"/>
      <w:pStyle w:val="EGANumbered"/>
      <w:lvlText w:val="%1."/>
      <w:lvlJc w:val="left"/>
      <w:pPr>
        <w:ind w:left="360" w:hanging="360"/>
      </w:pPr>
      <w:rPr>
        <w:rFonts w:hint="default"/>
      </w:rPr>
    </w:lvl>
    <w:lvl w:ilvl="1" w:tplc="73CE1146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3470055">
    <w:abstractNumId w:val="2"/>
  </w:num>
  <w:num w:numId="2" w16cid:durableId="36200494">
    <w:abstractNumId w:val="4"/>
    <w:lvlOverride w:ilvl="0">
      <w:lvl w:ilvl="0">
        <w:start w:val="1"/>
        <w:numFmt w:val="upperLetter"/>
        <w:lvlText w:val="%1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pPr>
          <w:ind w:left="357" w:hanging="357"/>
        </w:pPr>
        <w:rPr>
          <w:rFonts w:ascii="EYInterstate" w:hAnsi="EYInterstate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Titre3"/>
        <w:lvlText w:val="%1.%2.%3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3" w16cid:durableId="762915006">
    <w:abstractNumId w:val="24"/>
  </w:num>
  <w:num w:numId="4" w16cid:durableId="1474954981">
    <w:abstractNumId w:val="5"/>
  </w:num>
  <w:num w:numId="5" w16cid:durableId="1548224072">
    <w:abstractNumId w:val="8"/>
  </w:num>
  <w:num w:numId="6" w16cid:durableId="499002333">
    <w:abstractNumId w:val="3"/>
  </w:num>
  <w:num w:numId="7" w16cid:durableId="122845752">
    <w:abstractNumId w:val="27"/>
  </w:num>
  <w:num w:numId="8" w16cid:durableId="1324579812">
    <w:abstractNumId w:val="9"/>
  </w:num>
  <w:num w:numId="9" w16cid:durableId="2010280945">
    <w:abstractNumId w:val="26"/>
  </w:num>
  <w:num w:numId="10" w16cid:durableId="587692906">
    <w:abstractNumId w:val="20"/>
  </w:num>
  <w:num w:numId="11" w16cid:durableId="308243768">
    <w:abstractNumId w:val="6"/>
  </w:num>
  <w:num w:numId="12" w16cid:durableId="1761633082">
    <w:abstractNumId w:val="1"/>
  </w:num>
  <w:num w:numId="13" w16cid:durableId="138544969">
    <w:abstractNumId w:val="10"/>
  </w:num>
  <w:num w:numId="14" w16cid:durableId="548882210">
    <w:abstractNumId w:val="23"/>
  </w:num>
  <w:num w:numId="15" w16cid:durableId="1508473736">
    <w:abstractNumId w:val="19"/>
  </w:num>
  <w:num w:numId="16" w16cid:durableId="895824149">
    <w:abstractNumId w:val="25"/>
  </w:num>
  <w:num w:numId="17" w16cid:durableId="2030567542">
    <w:abstractNumId w:val="16"/>
  </w:num>
  <w:num w:numId="18" w16cid:durableId="1652949796">
    <w:abstractNumId w:val="18"/>
  </w:num>
  <w:num w:numId="19" w16cid:durableId="278296349">
    <w:abstractNumId w:val="15"/>
  </w:num>
  <w:num w:numId="20" w16cid:durableId="1935359496">
    <w:abstractNumId w:val="17"/>
  </w:num>
  <w:num w:numId="21" w16cid:durableId="1607150562">
    <w:abstractNumId w:val="22"/>
  </w:num>
  <w:num w:numId="22" w16cid:durableId="2067795919">
    <w:abstractNumId w:val="21"/>
  </w:num>
  <w:num w:numId="23" w16cid:durableId="2050257414">
    <w:abstractNumId w:val="11"/>
  </w:num>
  <w:num w:numId="24" w16cid:durableId="829491436">
    <w:abstractNumId w:val="5"/>
  </w:num>
  <w:num w:numId="25" w16cid:durableId="399521747">
    <w:abstractNumId w:val="13"/>
  </w:num>
  <w:num w:numId="26" w16cid:durableId="899753677">
    <w:abstractNumId w:val="5"/>
  </w:num>
  <w:num w:numId="27" w16cid:durableId="299193907">
    <w:abstractNumId w:val="0"/>
  </w:num>
  <w:num w:numId="28" w16cid:durableId="575021435">
    <w:abstractNumId w:val="7"/>
  </w:num>
  <w:num w:numId="29" w16cid:durableId="1712877640">
    <w:abstractNumId w:val="12"/>
  </w:num>
  <w:num w:numId="30" w16cid:durableId="194885203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08"/>
  <w:autoHyphenation/>
  <w:hyphenationZone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6F"/>
    <w:rsid w:val="000038B7"/>
    <w:rsid w:val="00003E26"/>
    <w:rsid w:val="00004411"/>
    <w:rsid w:val="000067CF"/>
    <w:rsid w:val="00006BC9"/>
    <w:rsid w:val="00007639"/>
    <w:rsid w:val="00012AEB"/>
    <w:rsid w:val="00012CCD"/>
    <w:rsid w:val="00013CC5"/>
    <w:rsid w:val="00014CAD"/>
    <w:rsid w:val="0001506A"/>
    <w:rsid w:val="000154CC"/>
    <w:rsid w:val="00016202"/>
    <w:rsid w:val="00016B0E"/>
    <w:rsid w:val="00016C72"/>
    <w:rsid w:val="00017CCE"/>
    <w:rsid w:val="00020474"/>
    <w:rsid w:val="000209A9"/>
    <w:rsid w:val="0002133D"/>
    <w:rsid w:val="00022135"/>
    <w:rsid w:val="00022671"/>
    <w:rsid w:val="0002429A"/>
    <w:rsid w:val="0002624A"/>
    <w:rsid w:val="000262F9"/>
    <w:rsid w:val="0002784B"/>
    <w:rsid w:val="00030F77"/>
    <w:rsid w:val="00032978"/>
    <w:rsid w:val="000338F4"/>
    <w:rsid w:val="00034787"/>
    <w:rsid w:val="0003546F"/>
    <w:rsid w:val="000363B1"/>
    <w:rsid w:val="0003658A"/>
    <w:rsid w:val="000366CA"/>
    <w:rsid w:val="00036D65"/>
    <w:rsid w:val="00040A28"/>
    <w:rsid w:val="00040ABF"/>
    <w:rsid w:val="00041BB7"/>
    <w:rsid w:val="00041CB2"/>
    <w:rsid w:val="000424C9"/>
    <w:rsid w:val="0004253A"/>
    <w:rsid w:val="00042EEF"/>
    <w:rsid w:val="00046A66"/>
    <w:rsid w:val="00047096"/>
    <w:rsid w:val="00047792"/>
    <w:rsid w:val="00047C8C"/>
    <w:rsid w:val="00051655"/>
    <w:rsid w:val="0005189D"/>
    <w:rsid w:val="00051CD5"/>
    <w:rsid w:val="000556CE"/>
    <w:rsid w:val="00060579"/>
    <w:rsid w:val="000608A8"/>
    <w:rsid w:val="000616F9"/>
    <w:rsid w:val="00061BA4"/>
    <w:rsid w:val="000624A4"/>
    <w:rsid w:val="000634CA"/>
    <w:rsid w:val="0006419D"/>
    <w:rsid w:val="000652CA"/>
    <w:rsid w:val="00065D05"/>
    <w:rsid w:val="000661B3"/>
    <w:rsid w:val="00071D3A"/>
    <w:rsid w:val="000735D6"/>
    <w:rsid w:val="00082C26"/>
    <w:rsid w:val="00082D9B"/>
    <w:rsid w:val="00083FB0"/>
    <w:rsid w:val="000843F8"/>
    <w:rsid w:val="00085B58"/>
    <w:rsid w:val="000864FD"/>
    <w:rsid w:val="00090ADF"/>
    <w:rsid w:val="00090FAF"/>
    <w:rsid w:val="0009150B"/>
    <w:rsid w:val="000926CB"/>
    <w:rsid w:val="00093407"/>
    <w:rsid w:val="00095183"/>
    <w:rsid w:val="00095592"/>
    <w:rsid w:val="000A0B0F"/>
    <w:rsid w:val="000A1BD5"/>
    <w:rsid w:val="000A42AC"/>
    <w:rsid w:val="000A581D"/>
    <w:rsid w:val="000A6E44"/>
    <w:rsid w:val="000B0AEC"/>
    <w:rsid w:val="000B3D37"/>
    <w:rsid w:val="000B5B37"/>
    <w:rsid w:val="000B6A11"/>
    <w:rsid w:val="000B7398"/>
    <w:rsid w:val="000B7C09"/>
    <w:rsid w:val="000B7CDA"/>
    <w:rsid w:val="000C0BDE"/>
    <w:rsid w:val="000C6812"/>
    <w:rsid w:val="000C7424"/>
    <w:rsid w:val="000C7D90"/>
    <w:rsid w:val="000D13B1"/>
    <w:rsid w:val="000D2A91"/>
    <w:rsid w:val="000D398C"/>
    <w:rsid w:val="000D48E6"/>
    <w:rsid w:val="000D6161"/>
    <w:rsid w:val="000E043C"/>
    <w:rsid w:val="000E1C2F"/>
    <w:rsid w:val="000E29D8"/>
    <w:rsid w:val="000E3618"/>
    <w:rsid w:val="000E37FC"/>
    <w:rsid w:val="000E50B3"/>
    <w:rsid w:val="000E573D"/>
    <w:rsid w:val="000E590A"/>
    <w:rsid w:val="000E677E"/>
    <w:rsid w:val="000E7734"/>
    <w:rsid w:val="000F42F4"/>
    <w:rsid w:val="000F4671"/>
    <w:rsid w:val="00100F5B"/>
    <w:rsid w:val="001060DD"/>
    <w:rsid w:val="00106961"/>
    <w:rsid w:val="00107129"/>
    <w:rsid w:val="00107E58"/>
    <w:rsid w:val="0011059F"/>
    <w:rsid w:val="001112D4"/>
    <w:rsid w:val="00111449"/>
    <w:rsid w:val="00111BD5"/>
    <w:rsid w:val="001125B1"/>
    <w:rsid w:val="00114D75"/>
    <w:rsid w:val="0012026E"/>
    <w:rsid w:val="001203C0"/>
    <w:rsid w:val="00120C73"/>
    <w:rsid w:val="00121478"/>
    <w:rsid w:val="00121E7A"/>
    <w:rsid w:val="00123E39"/>
    <w:rsid w:val="0012481F"/>
    <w:rsid w:val="00124C11"/>
    <w:rsid w:val="00125B73"/>
    <w:rsid w:val="00127B56"/>
    <w:rsid w:val="00130B30"/>
    <w:rsid w:val="00131D47"/>
    <w:rsid w:val="00133AB4"/>
    <w:rsid w:val="00133BDA"/>
    <w:rsid w:val="00136BE1"/>
    <w:rsid w:val="0014034B"/>
    <w:rsid w:val="00142C1B"/>
    <w:rsid w:val="00142C84"/>
    <w:rsid w:val="00143230"/>
    <w:rsid w:val="0014398E"/>
    <w:rsid w:val="00146B9B"/>
    <w:rsid w:val="00146BD6"/>
    <w:rsid w:val="0014750E"/>
    <w:rsid w:val="0015132D"/>
    <w:rsid w:val="001524A9"/>
    <w:rsid w:val="0015290D"/>
    <w:rsid w:val="00153358"/>
    <w:rsid w:val="00155567"/>
    <w:rsid w:val="001610BF"/>
    <w:rsid w:val="00163FB7"/>
    <w:rsid w:val="00166719"/>
    <w:rsid w:val="0016794B"/>
    <w:rsid w:val="0017032A"/>
    <w:rsid w:val="00173722"/>
    <w:rsid w:val="001737DA"/>
    <w:rsid w:val="00173ED3"/>
    <w:rsid w:val="0017531B"/>
    <w:rsid w:val="00175CF3"/>
    <w:rsid w:val="00182272"/>
    <w:rsid w:val="00182876"/>
    <w:rsid w:val="00183846"/>
    <w:rsid w:val="00183DC0"/>
    <w:rsid w:val="00185722"/>
    <w:rsid w:val="00185758"/>
    <w:rsid w:val="00187002"/>
    <w:rsid w:val="00191D14"/>
    <w:rsid w:val="0019241A"/>
    <w:rsid w:val="0019248A"/>
    <w:rsid w:val="00194422"/>
    <w:rsid w:val="00194907"/>
    <w:rsid w:val="001950B1"/>
    <w:rsid w:val="001954E8"/>
    <w:rsid w:val="0019797A"/>
    <w:rsid w:val="001A105A"/>
    <w:rsid w:val="001A1AC0"/>
    <w:rsid w:val="001A1B32"/>
    <w:rsid w:val="001A2CCB"/>
    <w:rsid w:val="001A2E90"/>
    <w:rsid w:val="001A39AF"/>
    <w:rsid w:val="001B0E19"/>
    <w:rsid w:val="001B22B3"/>
    <w:rsid w:val="001B2788"/>
    <w:rsid w:val="001B3543"/>
    <w:rsid w:val="001B3A1A"/>
    <w:rsid w:val="001B416F"/>
    <w:rsid w:val="001B4BC1"/>
    <w:rsid w:val="001B5BF8"/>
    <w:rsid w:val="001B763E"/>
    <w:rsid w:val="001C001D"/>
    <w:rsid w:val="001C1216"/>
    <w:rsid w:val="001C16EE"/>
    <w:rsid w:val="001C22FE"/>
    <w:rsid w:val="001C4063"/>
    <w:rsid w:val="001C588F"/>
    <w:rsid w:val="001C7344"/>
    <w:rsid w:val="001D0059"/>
    <w:rsid w:val="001D023A"/>
    <w:rsid w:val="001D05BD"/>
    <w:rsid w:val="001D2771"/>
    <w:rsid w:val="001D3F89"/>
    <w:rsid w:val="001D46BF"/>
    <w:rsid w:val="001E0C10"/>
    <w:rsid w:val="001E2A56"/>
    <w:rsid w:val="001E357A"/>
    <w:rsid w:val="001E49F0"/>
    <w:rsid w:val="001E576F"/>
    <w:rsid w:val="001E6CC8"/>
    <w:rsid w:val="001E7261"/>
    <w:rsid w:val="001E74C6"/>
    <w:rsid w:val="001F2D4C"/>
    <w:rsid w:val="001F65D0"/>
    <w:rsid w:val="001F77B1"/>
    <w:rsid w:val="001F782E"/>
    <w:rsid w:val="00201E2E"/>
    <w:rsid w:val="002021DE"/>
    <w:rsid w:val="00202912"/>
    <w:rsid w:val="00204AF8"/>
    <w:rsid w:val="0020644C"/>
    <w:rsid w:val="00207C18"/>
    <w:rsid w:val="002104F2"/>
    <w:rsid w:val="0021155E"/>
    <w:rsid w:val="00211A49"/>
    <w:rsid w:val="00211D49"/>
    <w:rsid w:val="00211D75"/>
    <w:rsid w:val="0021403B"/>
    <w:rsid w:val="0021406D"/>
    <w:rsid w:val="002157DE"/>
    <w:rsid w:val="00216358"/>
    <w:rsid w:val="00220745"/>
    <w:rsid w:val="00220C15"/>
    <w:rsid w:val="0022183B"/>
    <w:rsid w:val="002218B6"/>
    <w:rsid w:val="002219EF"/>
    <w:rsid w:val="00221F52"/>
    <w:rsid w:val="0022227C"/>
    <w:rsid w:val="00222852"/>
    <w:rsid w:val="00224FF0"/>
    <w:rsid w:val="0022521D"/>
    <w:rsid w:val="0022774D"/>
    <w:rsid w:val="0023011F"/>
    <w:rsid w:val="002311A4"/>
    <w:rsid w:val="0023405D"/>
    <w:rsid w:val="00234352"/>
    <w:rsid w:val="00234CCB"/>
    <w:rsid w:val="00235C97"/>
    <w:rsid w:val="00236A2C"/>
    <w:rsid w:val="00240C18"/>
    <w:rsid w:val="00240E66"/>
    <w:rsid w:val="0024269F"/>
    <w:rsid w:val="0024412C"/>
    <w:rsid w:val="0024768A"/>
    <w:rsid w:val="00251456"/>
    <w:rsid w:val="0025192F"/>
    <w:rsid w:val="00252A43"/>
    <w:rsid w:val="00253AE1"/>
    <w:rsid w:val="00253C2E"/>
    <w:rsid w:val="00253DDB"/>
    <w:rsid w:val="002553A1"/>
    <w:rsid w:val="0025569C"/>
    <w:rsid w:val="00256144"/>
    <w:rsid w:val="002562F2"/>
    <w:rsid w:val="00261820"/>
    <w:rsid w:val="00266F48"/>
    <w:rsid w:val="00267097"/>
    <w:rsid w:val="00267D57"/>
    <w:rsid w:val="002729E7"/>
    <w:rsid w:val="002743FF"/>
    <w:rsid w:val="0027643F"/>
    <w:rsid w:val="00282365"/>
    <w:rsid w:val="00283147"/>
    <w:rsid w:val="00284351"/>
    <w:rsid w:val="00284617"/>
    <w:rsid w:val="00284880"/>
    <w:rsid w:val="0029041D"/>
    <w:rsid w:val="002940FA"/>
    <w:rsid w:val="002952FE"/>
    <w:rsid w:val="00295E1C"/>
    <w:rsid w:val="00296685"/>
    <w:rsid w:val="0029693B"/>
    <w:rsid w:val="0029735F"/>
    <w:rsid w:val="002A0AFC"/>
    <w:rsid w:val="002A2544"/>
    <w:rsid w:val="002A3D86"/>
    <w:rsid w:val="002A579C"/>
    <w:rsid w:val="002A6DE6"/>
    <w:rsid w:val="002B0057"/>
    <w:rsid w:val="002B19F9"/>
    <w:rsid w:val="002B3029"/>
    <w:rsid w:val="002B3A01"/>
    <w:rsid w:val="002B4AE7"/>
    <w:rsid w:val="002B52B1"/>
    <w:rsid w:val="002B79CF"/>
    <w:rsid w:val="002C1698"/>
    <w:rsid w:val="002C2523"/>
    <w:rsid w:val="002C2F6F"/>
    <w:rsid w:val="002C3A35"/>
    <w:rsid w:val="002C718E"/>
    <w:rsid w:val="002C7B7F"/>
    <w:rsid w:val="002D08A4"/>
    <w:rsid w:val="002D1C55"/>
    <w:rsid w:val="002D2A40"/>
    <w:rsid w:val="002D3883"/>
    <w:rsid w:val="002D4C85"/>
    <w:rsid w:val="002D56A5"/>
    <w:rsid w:val="002D5DB0"/>
    <w:rsid w:val="002D6DCC"/>
    <w:rsid w:val="002E0182"/>
    <w:rsid w:val="002E0311"/>
    <w:rsid w:val="002E033C"/>
    <w:rsid w:val="002E434E"/>
    <w:rsid w:val="002E545F"/>
    <w:rsid w:val="002F0FC8"/>
    <w:rsid w:val="002F1359"/>
    <w:rsid w:val="002F16EA"/>
    <w:rsid w:val="002F2C0F"/>
    <w:rsid w:val="002F30E1"/>
    <w:rsid w:val="002F7710"/>
    <w:rsid w:val="002F7E16"/>
    <w:rsid w:val="00301420"/>
    <w:rsid w:val="0030165B"/>
    <w:rsid w:val="0030293E"/>
    <w:rsid w:val="00304472"/>
    <w:rsid w:val="00304A32"/>
    <w:rsid w:val="003072C1"/>
    <w:rsid w:val="00307DC6"/>
    <w:rsid w:val="003105B9"/>
    <w:rsid w:val="00310C41"/>
    <w:rsid w:val="0031170A"/>
    <w:rsid w:val="00311C64"/>
    <w:rsid w:val="00312ADB"/>
    <w:rsid w:val="00312D1B"/>
    <w:rsid w:val="003130A1"/>
    <w:rsid w:val="00313E95"/>
    <w:rsid w:val="00314A15"/>
    <w:rsid w:val="0031534E"/>
    <w:rsid w:val="00315D63"/>
    <w:rsid w:val="003164E2"/>
    <w:rsid w:val="00317848"/>
    <w:rsid w:val="003179A2"/>
    <w:rsid w:val="0032007C"/>
    <w:rsid w:val="00320CAD"/>
    <w:rsid w:val="00321885"/>
    <w:rsid w:val="00321FD5"/>
    <w:rsid w:val="00322EDE"/>
    <w:rsid w:val="003253CF"/>
    <w:rsid w:val="00327024"/>
    <w:rsid w:val="00327735"/>
    <w:rsid w:val="003324D9"/>
    <w:rsid w:val="003334B7"/>
    <w:rsid w:val="00333E26"/>
    <w:rsid w:val="00334C1F"/>
    <w:rsid w:val="003351BB"/>
    <w:rsid w:val="003353FA"/>
    <w:rsid w:val="0033615A"/>
    <w:rsid w:val="003367A0"/>
    <w:rsid w:val="0033737E"/>
    <w:rsid w:val="00340874"/>
    <w:rsid w:val="00340ADB"/>
    <w:rsid w:val="00341BA1"/>
    <w:rsid w:val="003478C0"/>
    <w:rsid w:val="00350BD1"/>
    <w:rsid w:val="00350C67"/>
    <w:rsid w:val="0035176B"/>
    <w:rsid w:val="003519F3"/>
    <w:rsid w:val="00351BE1"/>
    <w:rsid w:val="00351EB2"/>
    <w:rsid w:val="00352645"/>
    <w:rsid w:val="00352874"/>
    <w:rsid w:val="003540BD"/>
    <w:rsid w:val="00354FAD"/>
    <w:rsid w:val="00357213"/>
    <w:rsid w:val="003579C8"/>
    <w:rsid w:val="003613F7"/>
    <w:rsid w:val="00361A89"/>
    <w:rsid w:val="003634E4"/>
    <w:rsid w:val="00364268"/>
    <w:rsid w:val="00364401"/>
    <w:rsid w:val="00366D3A"/>
    <w:rsid w:val="00367960"/>
    <w:rsid w:val="00367CC7"/>
    <w:rsid w:val="00370776"/>
    <w:rsid w:val="0037077C"/>
    <w:rsid w:val="00371281"/>
    <w:rsid w:val="003717DC"/>
    <w:rsid w:val="0037289F"/>
    <w:rsid w:val="00375718"/>
    <w:rsid w:val="0038190E"/>
    <w:rsid w:val="003827C3"/>
    <w:rsid w:val="00385857"/>
    <w:rsid w:val="0038669F"/>
    <w:rsid w:val="00386A98"/>
    <w:rsid w:val="00387E38"/>
    <w:rsid w:val="00390304"/>
    <w:rsid w:val="003919DF"/>
    <w:rsid w:val="00392256"/>
    <w:rsid w:val="00392C86"/>
    <w:rsid w:val="0039400C"/>
    <w:rsid w:val="00394636"/>
    <w:rsid w:val="00394954"/>
    <w:rsid w:val="00395B22"/>
    <w:rsid w:val="003968DD"/>
    <w:rsid w:val="00396930"/>
    <w:rsid w:val="00396CC5"/>
    <w:rsid w:val="00396D67"/>
    <w:rsid w:val="003A100E"/>
    <w:rsid w:val="003A1DA5"/>
    <w:rsid w:val="003A5EE2"/>
    <w:rsid w:val="003A63B2"/>
    <w:rsid w:val="003A656C"/>
    <w:rsid w:val="003A74C2"/>
    <w:rsid w:val="003B1109"/>
    <w:rsid w:val="003B1651"/>
    <w:rsid w:val="003B1AC7"/>
    <w:rsid w:val="003B3F09"/>
    <w:rsid w:val="003C0030"/>
    <w:rsid w:val="003C0668"/>
    <w:rsid w:val="003C3BBB"/>
    <w:rsid w:val="003C4F8E"/>
    <w:rsid w:val="003C5B48"/>
    <w:rsid w:val="003C6F80"/>
    <w:rsid w:val="003C79BE"/>
    <w:rsid w:val="003D072E"/>
    <w:rsid w:val="003D1621"/>
    <w:rsid w:val="003D1FBC"/>
    <w:rsid w:val="003D2D4A"/>
    <w:rsid w:val="003D3D4F"/>
    <w:rsid w:val="003D42C9"/>
    <w:rsid w:val="003D5828"/>
    <w:rsid w:val="003E0192"/>
    <w:rsid w:val="003E0B77"/>
    <w:rsid w:val="003E1DA2"/>
    <w:rsid w:val="003E2A5B"/>
    <w:rsid w:val="003E692F"/>
    <w:rsid w:val="003F1BA6"/>
    <w:rsid w:val="003F1EE5"/>
    <w:rsid w:val="003F2543"/>
    <w:rsid w:val="003F2BCB"/>
    <w:rsid w:val="003F47BA"/>
    <w:rsid w:val="003F4F30"/>
    <w:rsid w:val="003F50D1"/>
    <w:rsid w:val="003F55D5"/>
    <w:rsid w:val="003F6868"/>
    <w:rsid w:val="003F6D4F"/>
    <w:rsid w:val="003F6ECC"/>
    <w:rsid w:val="003F7AD9"/>
    <w:rsid w:val="0040004E"/>
    <w:rsid w:val="004007FC"/>
    <w:rsid w:val="00400940"/>
    <w:rsid w:val="004025B9"/>
    <w:rsid w:val="0040313A"/>
    <w:rsid w:val="004039EA"/>
    <w:rsid w:val="004040C5"/>
    <w:rsid w:val="0040619D"/>
    <w:rsid w:val="004112D6"/>
    <w:rsid w:val="00411CDA"/>
    <w:rsid w:val="0041269F"/>
    <w:rsid w:val="004148E2"/>
    <w:rsid w:val="004165FE"/>
    <w:rsid w:val="00416AA6"/>
    <w:rsid w:val="00416B51"/>
    <w:rsid w:val="004178C4"/>
    <w:rsid w:val="00417F7E"/>
    <w:rsid w:val="00421376"/>
    <w:rsid w:val="004221B5"/>
    <w:rsid w:val="00422480"/>
    <w:rsid w:val="00422DC3"/>
    <w:rsid w:val="00423239"/>
    <w:rsid w:val="004240C2"/>
    <w:rsid w:val="00424650"/>
    <w:rsid w:val="00424BA0"/>
    <w:rsid w:val="00424F1E"/>
    <w:rsid w:val="00425BF6"/>
    <w:rsid w:val="004310F7"/>
    <w:rsid w:val="0043332A"/>
    <w:rsid w:val="00433E8D"/>
    <w:rsid w:val="00434174"/>
    <w:rsid w:val="00435848"/>
    <w:rsid w:val="00436011"/>
    <w:rsid w:val="004377EE"/>
    <w:rsid w:val="004404CC"/>
    <w:rsid w:val="00440BBC"/>
    <w:rsid w:val="004445F9"/>
    <w:rsid w:val="00444C32"/>
    <w:rsid w:val="0044517C"/>
    <w:rsid w:val="004514BB"/>
    <w:rsid w:val="00451A4E"/>
    <w:rsid w:val="00451DBD"/>
    <w:rsid w:val="00452091"/>
    <w:rsid w:val="0045477F"/>
    <w:rsid w:val="0045532C"/>
    <w:rsid w:val="00461A02"/>
    <w:rsid w:val="0046272D"/>
    <w:rsid w:val="00464225"/>
    <w:rsid w:val="004649B5"/>
    <w:rsid w:val="004672A5"/>
    <w:rsid w:val="004677B3"/>
    <w:rsid w:val="00472883"/>
    <w:rsid w:val="00472994"/>
    <w:rsid w:val="00473423"/>
    <w:rsid w:val="00476DE3"/>
    <w:rsid w:val="00480444"/>
    <w:rsid w:val="004814BC"/>
    <w:rsid w:val="004823CB"/>
    <w:rsid w:val="00482DA3"/>
    <w:rsid w:val="004850F8"/>
    <w:rsid w:val="0049056B"/>
    <w:rsid w:val="004907DE"/>
    <w:rsid w:val="004918A4"/>
    <w:rsid w:val="00494EE0"/>
    <w:rsid w:val="00496E5A"/>
    <w:rsid w:val="004970EE"/>
    <w:rsid w:val="004A2B6C"/>
    <w:rsid w:val="004A2F71"/>
    <w:rsid w:val="004A3785"/>
    <w:rsid w:val="004A46DB"/>
    <w:rsid w:val="004A5DC7"/>
    <w:rsid w:val="004A7E20"/>
    <w:rsid w:val="004B01E0"/>
    <w:rsid w:val="004B2DBB"/>
    <w:rsid w:val="004B65A1"/>
    <w:rsid w:val="004B6EB8"/>
    <w:rsid w:val="004B77F7"/>
    <w:rsid w:val="004C0B24"/>
    <w:rsid w:val="004C0D3F"/>
    <w:rsid w:val="004C201D"/>
    <w:rsid w:val="004C2138"/>
    <w:rsid w:val="004C3F57"/>
    <w:rsid w:val="004C43A0"/>
    <w:rsid w:val="004D0626"/>
    <w:rsid w:val="004D1031"/>
    <w:rsid w:val="004D1795"/>
    <w:rsid w:val="004D24D3"/>
    <w:rsid w:val="004D57D1"/>
    <w:rsid w:val="004D76DE"/>
    <w:rsid w:val="004E0B65"/>
    <w:rsid w:val="004E1151"/>
    <w:rsid w:val="004E4C48"/>
    <w:rsid w:val="004E4E0D"/>
    <w:rsid w:val="004E51DB"/>
    <w:rsid w:val="004E7E53"/>
    <w:rsid w:val="004F0D79"/>
    <w:rsid w:val="004F1D95"/>
    <w:rsid w:val="004F4848"/>
    <w:rsid w:val="004F5BE3"/>
    <w:rsid w:val="005020FB"/>
    <w:rsid w:val="005030AA"/>
    <w:rsid w:val="00503BE5"/>
    <w:rsid w:val="00505876"/>
    <w:rsid w:val="005105C7"/>
    <w:rsid w:val="00512BFB"/>
    <w:rsid w:val="00513348"/>
    <w:rsid w:val="005139DC"/>
    <w:rsid w:val="0051480E"/>
    <w:rsid w:val="00514D2B"/>
    <w:rsid w:val="005168CF"/>
    <w:rsid w:val="005172C0"/>
    <w:rsid w:val="005202DE"/>
    <w:rsid w:val="00522C5C"/>
    <w:rsid w:val="005231BD"/>
    <w:rsid w:val="005233D5"/>
    <w:rsid w:val="005274D3"/>
    <w:rsid w:val="00531EE2"/>
    <w:rsid w:val="0053333D"/>
    <w:rsid w:val="0053365C"/>
    <w:rsid w:val="00533829"/>
    <w:rsid w:val="00537005"/>
    <w:rsid w:val="00537333"/>
    <w:rsid w:val="00537739"/>
    <w:rsid w:val="00540201"/>
    <w:rsid w:val="00540BDF"/>
    <w:rsid w:val="0054178D"/>
    <w:rsid w:val="005417FC"/>
    <w:rsid w:val="00541B0D"/>
    <w:rsid w:val="005423AB"/>
    <w:rsid w:val="00543117"/>
    <w:rsid w:val="00544229"/>
    <w:rsid w:val="005443CE"/>
    <w:rsid w:val="005444E9"/>
    <w:rsid w:val="00544C0F"/>
    <w:rsid w:val="00545091"/>
    <w:rsid w:val="00547381"/>
    <w:rsid w:val="00551001"/>
    <w:rsid w:val="00552F55"/>
    <w:rsid w:val="00554CE5"/>
    <w:rsid w:val="00554E74"/>
    <w:rsid w:val="00560D63"/>
    <w:rsid w:val="0056197F"/>
    <w:rsid w:val="00562942"/>
    <w:rsid w:val="00563960"/>
    <w:rsid w:val="00565238"/>
    <w:rsid w:val="005666B9"/>
    <w:rsid w:val="005673AC"/>
    <w:rsid w:val="00573296"/>
    <w:rsid w:val="005743E7"/>
    <w:rsid w:val="005766F7"/>
    <w:rsid w:val="00577539"/>
    <w:rsid w:val="0058037C"/>
    <w:rsid w:val="00583A54"/>
    <w:rsid w:val="00584EE7"/>
    <w:rsid w:val="0058511F"/>
    <w:rsid w:val="00585581"/>
    <w:rsid w:val="00586642"/>
    <w:rsid w:val="005874EF"/>
    <w:rsid w:val="00587DC2"/>
    <w:rsid w:val="00591D54"/>
    <w:rsid w:val="00594CFF"/>
    <w:rsid w:val="005957CC"/>
    <w:rsid w:val="005977A9"/>
    <w:rsid w:val="005A0C5D"/>
    <w:rsid w:val="005A2662"/>
    <w:rsid w:val="005A2F74"/>
    <w:rsid w:val="005A3720"/>
    <w:rsid w:val="005A4026"/>
    <w:rsid w:val="005A5AF1"/>
    <w:rsid w:val="005A6109"/>
    <w:rsid w:val="005A610B"/>
    <w:rsid w:val="005B0390"/>
    <w:rsid w:val="005B0451"/>
    <w:rsid w:val="005B057F"/>
    <w:rsid w:val="005B131C"/>
    <w:rsid w:val="005B2DD6"/>
    <w:rsid w:val="005B5A08"/>
    <w:rsid w:val="005B6365"/>
    <w:rsid w:val="005B746C"/>
    <w:rsid w:val="005B7D40"/>
    <w:rsid w:val="005C00F0"/>
    <w:rsid w:val="005C0C64"/>
    <w:rsid w:val="005C1C95"/>
    <w:rsid w:val="005C265D"/>
    <w:rsid w:val="005C668B"/>
    <w:rsid w:val="005C71F0"/>
    <w:rsid w:val="005D00E1"/>
    <w:rsid w:val="005D2808"/>
    <w:rsid w:val="005D33C8"/>
    <w:rsid w:val="005D33E0"/>
    <w:rsid w:val="005D483E"/>
    <w:rsid w:val="005D6922"/>
    <w:rsid w:val="005D6E17"/>
    <w:rsid w:val="005D771A"/>
    <w:rsid w:val="005E0093"/>
    <w:rsid w:val="005E0BC7"/>
    <w:rsid w:val="005E111F"/>
    <w:rsid w:val="005E2565"/>
    <w:rsid w:val="005E3D2F"/>
    <w:rsid w:val="005E60F8"/>
    <w:rsid w:val="005E6F8D"/>
    <w:rsid w:val="005E7298"/>
    <w:rsid w:val="005E7745"/>
    <w:rsid w:val="005F2EEC"/>
    <w:rsid w:val="005F5D8D"/>
    <w:rsid w:val="005F5DA8"/>
    <w:rsid w:val="005F6165"/>
    <w:rsid w:val="005F7077"/>
    <w:rsid w:val="006003DA"/>
    <w:rsid w:val="00601043"/>
    <w:rsid w:val="0060349B"/>
    <w:rsid w:val="00604518"/>
    <w:rsid w:val="0060535B"/>
    <w:rsid w:val="00606979"/>
    <w:rsid w:val="006072F5"/>
    <w:rsid w:val="00610268"/>
    <w:rsid w:val="006106AB"/>
    <w:rsid w:val="00610BC3"/>
    <w:rsid w:val="00611FB4"/>
    <w:rsid w:val="006120B0"/>
    <w:rsid w:val="00613BCC"/>
    <w:rsid w:val="006143D4"/>
    <w:rsid w:val="006147C2"/>
    <w:rsid w:val="00614C4B"/>
    <w:rsid w:val="00615279"/>
    <w:rsid w:val="0061534F"/>
    <w:rsid w:val="006173B6"/>
    <w:rsid w:val="0061766E"/>
    <w:rsid w:val="00617A8C"/>
    <w:rsid w:val="00617D2B"/>
    <w:rsid w:val="00620C71"/>
    <w:rsid w:val="006213D9"/>
    <w:rsid w:val="00621AE0"/>
    <w:rsid w:val="00622C87"/>
    <w:rsid w:val="00622F58"/>
    <w:rsid w:val="00624FE8"/>
    <w:rsid w:val="00626DF1"/>
    <w:rsid w:val="006303EB"/>
    <w:rsid w:val="00632338"/>
    <w:rsid w:val="00633000"/>
    <w:rsid w:val="0063346A"/>
    <w:rsid w:val="00634360"/>
    <w:rsid w:val="00634D6E"/>
    <w:rsid w:val="00635C2A"/>
    <w:rsid w:val="0063699F"/>
    <w:rsid w:val="00636BDE"/>
    <w:rsid w:val="0063794E"/>
    <w:rsid w:val="00637EDD"/>
    <w:rsid w:val="00641D04"/>
    <w:rsid w:val="00642CC4"/>
    <w:rsid w:val="006434A1"/>
    <w:rsid w:val="006447F9"/>
    <w:rsid w:val="00644B0A"/>
    <w:rsid w:val="00645149"/>
    <w:rsid w:val="00646576"/>
    <w:rsid w:val="0064735B"/>
    <w:rsid w:val="00647694"/>
    <w:rsid w:val="0065035C"/>
    <w:rsid w:val="00650833"/>
    <w:rsid w:val="00651061"/>
    <w:rsid w:val="00654B47"/>
    <w:rsid w:val="006555E4"/>
    <w:rsid w:val="0065579A"/>
    <w:rsid w:val="00655B6A"/>
    <w:rsid w:val="006564D2"/>
    <w:rsid w:val="0065727C"/>
    <w:rsid w:val="006607DD"/>
    <w:rsid w:val="00661577"/>
    <w:rsid w:val="006622A3"/>
    <w:rsid w:val="006625DA"/>
    <w:rsid w:val="00662972"/>
    <w:rsid w:val="00662CCD"/>
    <w:rsid w:val="00664F5A"/>
    <w:rsid w:val="00664FD9"/>
    <w:rsid w:val="006650F2"/>
    <w:rsid w:val="006660B3"/>
    <w:rsid w:val="00667127"/>
    <w:rsid w:val="00667469"/>
    <w:rsid w:val="00671017"/>
    <w:rsid w:val="0067216E"/>
    <w:rsid w:val="00672356"/>
    <w:rsid w:val="00672393"/>
    <w:rsid w:val="0067258D"/>
    <w:rsid w:val="0067372D"/>
    <w:rsid w:val="00673DB9"/>
    <w:rsid w:val="00680C0E"/>
    <w:rsid w:val="006845EA"/>
    <w:rsid w:val="00685E72"/>
    <w:rsid w:val="00686304"/>
    <w:rsid w:val="00686554"/>
    <w:rsid w:val="00686EAE"/>
    <w:rsid w:val="006923EB"/>
    <w:rsid w:val="00692FAA"/>
    <w:rsid w:val="00693A50"/>
    <w:rsid w:val="0069519F"/>
    <w:rsid w:val="006A0053"/>
    <w:rsid w:val="006A0252"/>
    <w:rsid w:val="006A0750"/>
    <w:rsid w:val="006A0B96"/>
    <w:rsid w:val="006A16E3"/>
    <w:rsid w:val="006A27E2"/>
    <w:rsid w:val="006A2A69"/>
    <w:rsid w:val="006A31F4"/>
    <w:rsid w:val="006A410F"/>
    <w:rsid w:val="006A4405"/>
    <w:rsid w:val="006A4A4C"/>
    <w:rsid w:val="006A7F01"/>
    <w:rsid w:val="006B0A0F"/>
    <w:rsid w:val="006B17F5"/>
    <w:rsid w:val="006B3310"/>
    <w:rsid w:val="006B337F"/>
    <w:rsid w:val="006B4282"/>
    <w:rsid w:val="006B46B1"/>
    <w:rsid w:val="006B4AB0"/>
    <w:rsid w:val="006B7471"/>
    <w:rsid w:val="006C26A7"/>
    <w:rsid w:val="006C2A6A"/>
    <w:rsid w:val="006C5B8A"/>
    <w:rsid w:val="006C5E3B"/>
    <w:rsid w:val="006C62F6"/>
    <w:rsid w:val="006C68C1"/>
    <w:rsid w:val="006C73E6"/>
    <w:rsid w:val="006D1679"/>
    <w:rsid w:val="006D3E1C"/>
    <w:rsid w:val="006D420C"/>
    <w:rsid w:val="006D55BE"/>
    <w:rsid w:val="006D5944"/>
    <w:rsid w:val="006D78F6"/>
    <w:rsid w:val="006E2370"/>
    <w:rsid w:val="006E2F2B"/>
    <w:rsid w:val="006E4284"/>
    <w:rsid w:val="006E4F77"/>
    <w:rsid w:val="006E6ABB"/>
    <w:rsid w:val="006E7D31"/>
    <w:rsid w:val="006F0977"/>
    <w:rsid w:val="006F0B4D"/>
    <w:rsid w:val="006F2B22"/>
    <w:rsid w:val="006F2B54"/>
    <w:rsid w:val="006F3170"/>
    <w:rsid w:val="006F3763"/>
    <w:rsid w:val="006F4B65"/>
    <w:rsid w:val="006F4CF1"/>
    <w:rsid w:val="006F53D3"/>
    <w:rsid w:val="006F67A4"/>
    <w:rsid w:val="006F68CE"/>
    <w:rsid w:val="006F736E"/>
    <w:rsid w:val="006F7D24"/>
    <w:rsid w:val="00703489"/>
    <w:rsid w:val="0070734C"/>
    <w:rsid w:val="007100D9"/>
    <w:rsid w:val="00710AA6"/>
    <w:rsid w:val="00711A39"/>
    <w:rsid w:val="00713903"/>
    <w:rsid w:val="007203E1"/>
    <w:rsid w:val="00721233"/>
    <w:rsid w:val="0072428D"/>
    <w:rsid w:val="00724B83"/>
    <w:rsid w:val="00725344"/>
    <w:rsid w:val="00725720"/>
    <w:rsid w:val="00726BE3"/>
    <w:rsid w:val="00730163"/>
    <w:rsid w:val="0073176F"/>
    <w:rsid w:val="00732CC2"/>
    <w:rsid w:val="007330F0"/>
    <w:rsid w:val="0073363F"/>
    <w:rsid w:val="00733BB1"/>
    <w:rsid w:val="007348B2"/>
    <w:rsid w:val="00736BC0"/>
    <w:rsid w:val="00737A31"/>
    <w:rsid w:val="00740B87"/>
    <w:rsid w:val="0074104F"/>
    <w:rsid w:val="007411F5"/>
    <w:rsid w:val="00741C59"/>
    <w:rsid w:val="00743861"/>
    <w:rsid w:val="007446E9"/>
    <w:rsid w:val="007462BF"/>
    <w:rsid w:val="0074691D"/>
    <w:rsid w:val="00747F09"/>
    <w:rsid w:val="00751E72"/>
    <w:rsid w:val="007521D4"/>
    <w:rsid w:val="00755BF6"/>
    <w:rsid w:val="00757785"/>
    <w:rsid w:val="00760AC4"/>
    <w:rsid w:val="00761899"/>
    <w:rsid w:val="00762755"/>
    <w:rsid w:val="00763385"/>
    <w:rsid w:val="007651C8"/>
    <w:rsid w:val="00765D9C"/>
    <w:rsid w:val="00771DF9"/>
    <w:rsid w:val="00773F7C"/>
    <w:rsid w:val="007751D1"/>
    <w:rsid w:val="00777573"/>
    <w:rsid w:val="007775CE"/>
    <w:rsid w:val="007814D4"/>
    <w:rsid w:val="0078151B"/>
    <w:rsid w:val="00781722"/>
    <w:rsid w:val="007820CA"/>
    <w:rsid w:val="00782784"/>
    <w:rsid w:val="00782C72"/>
    <w:rsid w:val="00782D78"/>
    <w:rsid w:val="007844AC"/>
    <w:rsid w:val="00785654"/>
    <w:rsid w:val="007861A4"/>
    <w:rsid w:val="00791D63"/>
    <w:rsid w:val="00795D3F"/>
    <w:rsid w:val="00797B39"/>
    <w:rsid w:val="007A0ADA"/>
    <w:rsid w:val="007A0B73"/>
    <w:rsid w:val="007A23B2"/>
    <w:rsid w:val="007A27C9"/>
    <w:rsid w:val="007A2CAF"/>
    <w:rsid w:val="007A6010"/>
    <w:rsid w:val="007A6D2D"/>
    <w:rsid w:val="007A78FC"/>
    <w:rsid w:val="007B1246"/>
    <w:rsid w:val="007B3EAB"/>
    <w:rsid w:val="007B6524"/>
    <w:rsid w:val="007B655F"/>
    <w:rsid w:val="007B6DA9"/>
    <w:rsid w:val="007C164D"/>
    <w:rsid w:val="007C2C7A"/>
    <w:rsid w:val="007C39E5"/>
    <w:rsid w:val="007C3E94"/>
    <w:rsid w:val="007C3FD3"/>
    <w:rsid w:val="007C4D48"/>
    <w:rsid w:val="007C5E6C"/>
    <w:rsid w:val="007C6A66"/>
    <w:rsid w:val="007D1A74"/>
    <w:rsid w:val="007D3841"/>
    <w:rsid w:val="007D489C"/>
    <w:rsid w:val="007D5313"/>
    <w:rsid w:val="007D540C"/>
    <w:rsid w:val="007D5766"/>
    <w:rsid w:val="007D6133"/>
    <w:rsid w:val="007D6523"/>
    <w:rsid w:val="007D7654"/>
    <w:rsid w:val="007D7EAE"/>
    <w:rsid w:val="007E12B3"/>
    <w:rsid w:val="007E184D"/>
    <w:rsid w:val="007E1930"/>
    <w:rsid w:val="007E1B7C"/>
    <w:rsid w:val="007E1FAC"/>
    <w:rsid w:val="007E2104"/>
    <w:rsid w:val="007E2639"/>
    <w:rsid w:val="007E2968"/>
    <w:rsid w:val="007E635C"/>
    <w:rsid w:val="007E6776"/>
    <w:rsid w:val="007E6863"/>
    <w:rsid w:val="007E70BA"/>
    <w:rsid w:val="007E7B15"/>
    <w:rsid w:val="007F0721"/>
    <w:rsid w:val="007F0DE7"/>
    <w:rsid w:val="007F13D6"/>
    <w:rsid w:val="007F1AF6"/>
    <w:rsid w:val="007F2357"/>
    <w:rsid w:val="007F26D0"/>
    <w:rsid w:val="007F3EBC"/>
    <w:rsid w:val="007F504F"/>
    <w:rsid w:val="007F6838"/>
    <w:rsid w:val="007F6980"/>
    <w:rsid w:val="007F7ACE"/>
    <w:rsid w:val="008017EA"/>
    <w:rsid w:val="00801983"/>
    <w:rsid w:val="00801AEA"/>
    <w:rsid w:val="00801DC5"/>
    <w:rsid w:val="00802F69"/>
    <w:rsid w:val="00803AE1"/>
    <w:rsid w:val="00803B27"/>
    <w:rsid w:val="00804289"/>
    <w:rsid w:val="008052F6"/>
    <w:rsid w:val="00806145"/>
    <w:rsid w:val="0080735C"/>
    <w:rsid w:val="00810D30"/>
    <w:rsid w:val="00813584"/>
    <w:rsid w:val="00815F95"/>
    <w:rsid w:val="00816A77"/>
    <w:rsid w:val="00817509"/>
    <w:rsid w:val="00820B56"/>
    <w:rsid w:val="00821F2E"/>
    <w:rsid w:val="008260CF"/>
    <w:rsid w:val="008304D9"/>
    <w:rsid w:val="00832B06"/>
    <w:rsid w:val="00835DA4"/>
    <w:rsid w:val="00840D34"/>
    <w:rsid w:val="00841952"/>
    <w:rsid w:val="008426C1"/>
    <w:rsid w:val="00842F39"/>
    <w:rsid w:val="008437FA"/>
    <w:rsid w:val="008462CC"/>
    <w:rsid w:val="008515BF"/>
    <w:rsid w:val="00851CE2"/>
    <w:rsid w:val="008525C3"/>
    <w:rsid w:val="00853855"/>
    <w:rsid w:val="0085446F"/>
    <w:rsid w:val="00854AA8"/>
    <w:rsid w:val="00854EEC"/>
    <w:rsid w:val="00855926"/>
    <w:rsid w:val="00857984"/>
    <w:rsid w:val="00857E69"/>
    <w:rsid w:val="00860610"/>
    <w:rsid w:val="008625A5"/>
    <w:rsid w:val="008645CE"/>
    <w:rsid w:val="0086551C"/>
    <w:rsid w:val="0086671D"/>
    <w:rsid w:val="008671C3"/>
    <w:rsid w:val="00867E2F"/>
    <w:rsid w:val="00870BB6"/>
    <w:rsid w:val="008714C9"/>
    <w:rsid w:val="00871505"/>
    <w:rsid w:val="008724FF"/>
    <w:rsid w:val="00872752"/>
    <w:rsid w:val="00872FE4"/>
    <w:rsid w:val="0087331A"/>
    <w:rsid w:val="00873AA0"/>
    <w:rsid w:val="008740C8"/>
    <w:rsid w:val="00874F76"/>
    <w:rsid w:val="008807C0"/>
    <w:rsid w:val="00881865"/>
    <w:rsid w:val="008820BC"/>
    <w:rsid w:val="0088469E"/>
    <w:rsid w:val="0088536D"/>
    <w:rsid w:val="008853CC"/>
    <w:rsid w:val="0088758A"/>
    <w:rsid w:val="00890BFE"/>
    <w:rsid w:val="00894741"/>
    <w:rsid w:val="00896375"/>
    <w:rsid w:val="00897884"/>
    <w:rsid w:val="008A009E"/>
    <w:rsid w:val="008A0393"/>
    <w:rsid w:val="008A0517"/>
    <w:rsid w:val="008A0C94"/>
    <w:rsid w:val="008A201B"/>
    <w:rsid w:val="008A2551"/>
    <w:rsid w:val="008A2A17"/>
    <w:rsid w:val="008A43FE"/>
    <w:rsid w:val="008A69DA"/>
    <w:rsid w:val="008B016D"/>
    <w:rsid w:val="008B3C19"/>
    <w:rsid w:val="008B5755"/>
    <w:rsid w:val="008B6005"/>
    <w:rsid w:val="008B73D4"/>
    <w:rsid w:val="008B7497"/>
    <w:rsid w:val="008C1151"/>
    <w:rsid w:val="008C59B3"/>
    <w:rsid w:val="008C660F"/>
    <w:rsid w:val="008C6C59"/>
    <w:rsid w:val="008C7B93"/>
    <w:rsid w:val="008C7E4C"/>
    <w:rsid w:val="008D0875"/>
    <w:rsid w:val="008D0B97"/>
    <w:rsid w:val="008D1C6F"/>
    <w:rsid w:val="008D2ECA"/>
    <w:rsid w:val="008D4F35"/>
    <w:rsid w:val="008D51FD"/>
    <w:rsid w:val="008D5613"/>
    <w:rsid w:val="008E0576"/>
    <w:rsid w:val="008E11E4"/>
    <w:rsid w:val="008E1C6A"/>
    <w:rsid w:val="008E4F49"/>
    <w:rsid w:val="008E4FE0"/>
    <w:rsid w:val="008E5D25"/>
    <w:rsid w:val="008E72AD"/>
    <w:rsid w:val="008F062E"/>
    <w:rsid w:val="008F170D"/>
    <w:rsid w:val="008F1FC1"/>
    <w:rsid w:val="008F361F"/>
    <w:rsid w:val="008F3637"/>
    <w:rsid w:val="008F476A"/>
    <w:rsid w:val="008F6D6C"/>
    <w:rsid w:val="008F734A"/>
    <w:rsid w:val="008F7C4D"/>
    <w:rsid w:val="0090080E"/>
    <w:rsid w:val="00902104"/>
    <w:rsid w:val="0090259F"/>
    <w:rsid w:val="00903E3C"/>
    <w:rsid w:val="00904330"/>
    <w:rsid w:val="00905A99"/>
    <w:rsid w:val="009063E2"/>
    <w:rsid w:val="00906B36"/>
    <w:rsid w:val="00906DA4"/>
    <w:rsid w:val="009078AF"/>
    <w:rsid w:val="00910105"/>
    <w:rsid w:val="00911078"/>
    <w:rsid w:val="0091300A"/>
    <w:rsid w:val="009139B9"/>
    <w:rsid w:val="009146E0"/>
    <w:rsid w:val="00914FED"/>
    <w:rsid w:val="00915D58"/>
    <w:rsid w:val="00915EE9"/>
    <w:rsid w:val="00916835"/>
    <w:rsid w:val="00923CB7"/>
    <w:rsid w:val="00924362"/>
    <w:rsid w:val="00924E20"/>
    <w:rsid w:val="00924FCB"/>
    <w:rsid w:val="009273E9"/>
    <w:rsid w:val="00927C9E"/>
    <w:rsid w:val="00930A1B"/>
    <w:rsid w:val="00931AAD"/>
    <w:rsid w:val="0093293C"/>
    <w:rsid w:val="009332BD"/>
    <w:rsid w:val="00935897"/>
    <w:rsid w:val="00935D72"/>
    <w:rsid w:val="009373E2"/>
    <w:rsid w:val="00937CFE"/>
    <w:rsid w:val="00941221"/>
    <w:rsid w:val="009412CA"/>
    <w:rsid w:val="00941531"/>
    <w:rsid w:val="00943215"/>
    <w:rsid w:val="009437BF"/>
    <w:rsid w:val="009438B7"/>
    <w:rsid w:val="00944B62"/>
    <w:rsid w:val="00944F68"/>
    <w:rsid w:val="00945588"/>
    <w:rsid w:val="0094709A"/>
    <w:rsid w:val="009503C6"/>
    <w:rsid w:val="009506B0"/>
    <w:rsid w:val="009514E4"/>
    <w:rsid w:val="00951F62"/>
    <w:rsid w:val="00952817"/>
    <w:rsid w:val="009535BF"/>
    <w:rsid w:val="009538CD"/>
    <w:rsid w:val="009546D2"/>
    <w:rsid w:val="00955265"/>
    <w:rsid w:val="0095569F"/>
    <w:rsid w:val="0095591E"/>
    <w:rsid w:val="00957070"/>
    <w:rsid w:val="009638A1"/>
    <w:rsid w:val="00964CB8"/>
    <w:rsid w:val="009659BD"/>
    <w:rsid w:val="00967A65"/>
    <w:rsid w:val="00970AF9"/>
    <w:rsid w:val="00971A13"/>
    <w:rsid w:val="00971D0D"/>
    <w:rsid w:val="00972CB4"/>
    <w:rsid w:val="009749CA"/>
    <w:rsid w:val="00975620"/>
    <w:rsid w:val="009829FB"/>
    <w:rsid w:val="009833F0"/>
    <w:rsid w:val="00984C76"/>
    <w:rsid w:val="00985B04"/>
    <w:rsid w:val="00990734"/>
    <w:rsid w:val="0099109D"/>
    <w:rsid w:val="0099200A"/>
    <w:rsid w:val="00992966"/>
    <w:rsid w:val="009930B4"/>
    <w:rsid w:val="00993D01"/>
    <w:rsid w:val="00995289"/>
    <w:rsid w:val="009A0570"/>
    <w:rsid w:val="009A0911"/>
    <w:rsid w:val="009A0D29"/>
    <w:rsid w:val="009A1557"/>
    <w:rsid w:val="009A17B5"/>
    <w:rsid w:val="009A2AAC"/>
    <w:rsid w:val="009A42FE"/>
    <w:rsid w:val="009A57F2"/>
    <w:rsid w:val="009B47F0"/>
    <w:rsid w:val="009C13DF"/>
    <w:rsid w:val="009C16C7"/>
    <w:rsid w:val="009C2BAD"/>
    <w:rsid w:val="009C4BCF"/>
    <w:rsid w:val="009C4DC8"/>
    <w:rsid w:val="009C6205"/>
    <w:rsid w:val="009C6D65"/>
    <w:rsid w:val="009C703E"/>
    <w:rsid w:val="009D0B4C"/>
    <w:rsid w:val="009D11E7"/>
    <w:rsid w:val="009D198E"/>
    <w:rsid w:val="009D26FD"/>
    <w:rsid w:val="009D2BF7"/>
    <w:rsid w:val="009D3053"/>
    <w:rsid w:val="009D4725"/>
    <w:rsid w:val="009D4A0F"/>
    <w:rsid w:val="009D5487"/>
    <w:rsid w:val="009D54B6"/>
    <w:rsid w:val="009D59FC"/>
    <w:rsid w:val="009D75B0"/>
    <w:rsid w:val="009E1729"/>
    <w:rsid w:val="009E1739"/>
    <w:rsid w:val="009E29F4"/>
    <w:rsid w:val="009E3DAF"/>
    <w:rsid w:val="009E4357"/>
    <w:rsid w:val="009E664A"/>
    <w:rsid w:val="009E691F"/>
    <w:rsid w:val="009E6AD7"/>
    <w:rsid w:val="009E7390"/>
    <w:rsid w:val="009F02CE"/>
    <w:rsid w:val="009F0A0F"/>
    <w:rsid w:val="009F0C2C"/>
    <w:rsid w:val="009F255D"/>
    <w:rsid w:val="009F3208"/>
    <w:rsid w:val="009F5152"/>
    <w:rsid w:val="009F5748"/>
    <w:rsid w:val="009F5F4E"/>
    <w:rsid w:val="009F6276"/>
    <w:rsid w:val="009F683E"/>
    <w:rsid w:val="009F7847"/>
    <w:rsid w:val="009F7E12"/>
    <w:rsid w:val="00A00EDA"/>
    <w:rsid w:val="00A018BA"/>
    <w:rsid w:val="00A05E86"/>
    <w:rsid w:val="00A073DF"/>
    <w:rsid w:val="00A11649"/>
    <w:rsid w:val="00A11BF6"/>
    <w:rsid w:val="00A13C5F"/>
    <w:rsid w:val="00A15968"/>
    <w:rsid w:val="00A159EF"/>
    <w:rsid w:val="00A170D4"/>
    <w:rsid w:val="00A17E64"/>
    <w:rsid w:val="00A20063"/>
    <w:rsid w:val="00A200FE"/>
    <w:rsid w:val="00A21545"/>
    <w:rsid w:val="00A21C38"/>
    <w:rsid w:val="00A2270D"/>
    <w:rsid w:val="00A26E5F"/>
    <w:rsid w:val="00A26ECA"/>
    <w:rsid w:val="00A30057"/>
    <w:rsid w:val="00A303D7"/>
    <w:rsid w:val="00A33F8C"/>
    <w:rsid w:val="00A3497F"/>
    <w:rsid w:val="00A369F5"/>
    <w:rsid w:val="00A40BF3"/>
    <w:rsid w:val="00A41D21"/>
    <w:rsid w:val="00A43EA2"/>
    <w:rsid w:val="00A4411F"/>
    <w:rsid w:val="00A449F0"/>
    <w:rsid w:val="00A44AC1"/>
    <w:rsid w:val="00A45BF3"/>
    <w:rsid w:val="00A46A68"/>
    <w:rsid w:val="00A52D52"/>
    <w:rsid w:val="00A53A9D"/>
    <w:rsid w:val="00A57B55"/>
    <w:rsid w:val="00A614B3"/>
    <w:rsid w:val="00A64731"/>
    <w:rsid w:val="00A648C3"/>
    <w:rsid w:val="00A7141D"/>
    <w:rsid w:val="00A72CB4"/>
    <w:rsid w:val="00A7539A"/>
    <w:rsid w:val="00A76A70"/>
    <w:rsid w:val="00A77D4A"/>
    <w:rsid w:val="00A811B6"/>
    <w:rsid w:val="00A815FF"/>
    <w:rsid w:val="00A860A3"/>
    <w:rsid w:val="00A86A8E"/>
    <w:rsid w:val="00A86D19"/>
    <w:rsid w:val="00A90385"/>
    <w:rsid w:val="00A9046C"/>
    <w:rsid w:val="00A90B75"/>
    <w:rsid w:val="00A92630"/>
    <w:rsid w:val="00A92C7F"/>
    <w:rsid w:val="00A96C89"/>
    <w:rsid w:val="00A97D9A"/>
    <w:rsid w:val="00AA0040"/>
    <w:rsid w:val="00AA2F6A"/>
    <w:rsid w:val="00AA3B0F"/>
    <w:rsid w:val="00AA4D7E"/>
    <w:rsid w:val="00AA65B0"/>
    <w:rsid w:val="00AA77F0"/>
    <w:rsid w:val="00AB2129"/>
    <w:rsid w:val="00AB30C1"/>
    <w:rsid w:val="00AB4887"/>
    <w:rsid w:val="00AB78FE"/>
    <w:rsid w:val="00AB7BC1"/>
    <w:rsid w:val="00AB7E68"/>
    <w:rsid w:val="00AC07A2"/>
    <w:rsid w:val="00AC4696"/>
    <w:rsid w:val="00AC60F0"/>
    <w:rsid w:val="00AC7104"/>
    <w:rsid w:val="00AC71AE"/>
    <w:rsid w:val="00AC7D6E"/>
    <w:rsid w:val="00AC7FE7"/>
    <w:rsid w:val="00AD068E"/>
    <w:rsid w:val="00AD0C08"/>
    <w:rsid w:val="00AD1390"/>
    <w:rsid w:val="00AD279F"/>
    <w:rsid w:val="00AD2DED"/>
    <w:rsid w:val="00AD4A71"/>
    <w:rsid w:val="00AE49DE"/>
    <w:rsid w:val="00AE5123"/>
    <w:rsid w:val="00AE63EC"/>
    <w:rsid w:val="00AE6FB3"/>
    <w:rsid w:val="00AE7E8A"/>
    <w:rsid w:val="00AF237A"/>
    <w:rsid w:val="00AF4067"/>
    <w:rsid w:val="00AF4782"/>
    <w:rsid w:val="00AF5CB7"/>
    <w:rsid w:val="00AF6F62"/>
    <w:rsid w:val="00AF737A"/>
    <w:rsid w:val="00B0157B"/>
    <w:rsid w:val="00B01B1D"/>
    <w:rsid w:val="00B04D78"/>
    <w:rsid w:val="00B05EA5"/>
    <w:rsid w:val="00B06178"/>
    <w:rsid w:val="00B06828"/>
    <w:rsid w:val="00B07119"/>
    <w:rsid w:val="00B114D1"/>
    <w:rsid w:val="00B1244D"/>
    <w:rsid w:val="00B12A6A"/>
    <w:rsid w:val="00B130C3"/>
    <w:rsid w:val="00B1332F"/>
    <w:rsid w:val="00B15BFC"/>
    <w:rsid w:val="00B15D1B"/>
    <w:rsid w:val="00B16206"/>
    <w:rsid w:val="00B16BC7"/>
    <w:rsid w:val="00B17E87"/>
    <w:rsid w:val="00B21930"/>
    <w:rsid w:val="00B21CF3"/>
    <w:rsid w:val="00B252F1"/>
    <w:rsid w:val="00B259DE"/>
    <w:rsid w:val="00B2782B"/>
    <w:rsid w:val="00B27900"/>
    <w:rsid w:val="00B279E9"/>
    <w:rsid w:val="00B300AE"/>
    <w:rsid w:val="00B30690"/>
    <w:rsid w:val="00B3203C"/>
    <w:rsid w:val="00B33D33"/>
    <w:rsid w:val="00B36FB0"/>
    <w:rsid w:val="00B41C7A"/>
    <w:rsid w:val="00B4226A"/>
    <w:rsid w:val="00B472A4"/>
    <w:rsid w:val="00B50544"/>
    <w:rsid w:val="00B50D97"/>
    <w:rsid w:val="00B50E8F"/>
    <w:rsid w:val="00B5201C"/>
    <w:rsid w:val="00B52344"/>
    <w:rsid w:val="00B52A5F"/>
    <w:rsid w:val="00B53C64"/>
    <w:rsid w:val="00B545A3"/>
    <w:rsid w:val="00B54948"/>
    <w:rsid w:val="00B564D9"/>
    <w:rsid w:val="00B56636"/>
    <w:rsid w:val="00B5712B"/>
    <w:rsid w:val="00B60071"/>
    <w:rsid w:val="00B60EBE"/>
    <w:rsid w:val="00B6202E"/>
    <w:rsid w:val="00B635B7"/>
    <w:rsid w:val="00B6471A"/>
    <w:rsid w:val="00B67930"/>
    <w:rsid w:val="00B70350"/>
    <w:rsid w:val="00B711CD"/>
    <w:rsid w:val="00B71AC9"/>
    <w:rsid w:val="00B72271"/>
    <w:rsid w:val="00B74262"/>
    <w:rsid w:val="00B744B6"/>
    <w:rsid w:val="00B74505"/>
    <w:rsid w:val="00B75136"/>
    <w:rsid w:val="00B80F9B"/>
    <w:rsid w:val="00B811E6"/>
    <w:rsid w:val="00B814EE"/>
    <w:rsid w:val="00B83E28"/>
    <w:rsid w:val="00B85B3F"/>
    <w:rsid w:val="00B870B8"/>
    <w:rsid w:val="00B90069"/>
    <w:rsid w:val="00B91025"/>
    <w:rsid w:val="00B91747"/>
    <w:rsid w:val="00B92108"/>
    <w:rsid w:val="00B92E76"/>
    <w:rsid w:val="00B936AF"/>
    <w:rsid w:val="00B93C19"/>
    <w:rsid w:val="00B94633"/>
    <w:rsid w:val="00B94F64"/>
    <w:rsid w:val="00B96842"/>
    <w:rsid w:val="00B9756F"/>
    <w:rsid w:val="00BA1208"/>
    <w:rsid w:val="00BA135C"/>
    <w:rsid w:val="00BA3D56"/>
    <w:rsid w:val="00BA403A"/>
    <w:rsid w:val="00BA46FF"/>
    <w:rsid w:val="00BA4B50"/>
    <w:rsid w:val="00BA68AA"/>
    <w:rsid w:val="00BA6CD6"/>
    <w:rsid w:val="00BB1380"/>
    <w:rsid w:val="00BB1550"/>
    <w:rsid w:val="00BB4858"/>
    <w:rsid w:val="00BB589E"/>
    <w:rsid w:val="00BB7592"/>
    <w:rsid w:val="00BB76C4"/>
    <w:rsid w:val="00BC015C"/>
    <w:rsid w:val="00BC181A"/>
    <w:rsid w:val="00BC1916"/>
    <w:rsid w:val="00BC1B2E"/>
    <w:rsid w:val="00BC1D02"/>
    <w:rsid w:val="00BC1D67"/>
    <w:rsid w:val="00BC3B97"/>
    <w:rsid w:val="00BC4400"/>
    <w:rsid w:val="00BC5D66"/>
    <w:rsid w:val="00BC6EB2"/>
    <w:rsid w:val="00BC7106"/>
    <w:rsid w:val="00BC7FFB"/>
    <w:rsid w:val="00BD0068"/>
    <w:rsid w:val="00BD0B1A"/>
    <w:rsid w:val="00BD2E40"/>
    <w:rsid w:val="00BD3C2A"/>
    <w:rsid w:val="00BD5316"/>
    <w:rsid w:val="00BD5560"/>
    <w:rsid w:val="00BD59D8"/>
    <w:rsid w:val="00BD67D6"/>
    <w:rsid w:val="00BD6EA8"/>
    <w:rsid w:val="00BD6EF8"/>
    <w:rsid w:val="00BE4469"/>
    <w:rsid w:val="00BE4597"/>
    <w:rsid w:val="00BF0201"/>
    <w:rsid w:val="00BF1F55"/>
    <w:rsid w:val="00BF58EF"/>
    <w:rsid w:val="00BF62F9"/>
    <w:rsid w:val="00BF68A1"/>
    <w:rsid w:val="00BF6E6B"/>
    <w:rsid w:val="00BF7724"/>
    <w:rsid w:val="00C01318"/>
    <w:rsid w:val="00C0247B"/>
    <w:rsid w:val="00C02B2D"/>
    <w:rsid w:val="00C02BA0"/>
    <w:rsid w:val="00C03FC8"/>
    <w:rsid w:val="00C05820"/>
    <w:rsid w:val="00C11969"/>
    <w:rsid w:val="00C14304"/>
    <w:rsid w:val="00C15D86"/>
    <w:rsid w:val="00C2065E"/>
    <w:rsid w:val="00C212F6"/>
    <w:rsid w:val="00C22D71"/>
    <w:rsid w:val="00C24083"/>
    <w:rsid w:val="00C25359"/>
    <w:rsid w:val="00C25E00"/>
    <w:rsid w:val="00C26595"/>
    <w:rsid w:val="00C26EDB"/>
    <w:rsid w:val="00C27895"/>
    <w:rsid w:val="00C364B8"/>
    <w:rsid w:val="00C37580"/>
    <w:rsid w:val="00C376FE"/>
    <w:rsid w:val="00C37BD0"/>
    <w:rsid w:val="00C37C4B"/>
    <w:rsid w:val="00C37D42"/>
    <w:rsid w:val="00C40930"/>
    <w:rsid w:val="00C4126E"/>
    <w:rsid w:val="00C41508"/>
    <w:rsid w:val="00C4361E"/>
    <w:rsid w:val="00C43AF1"/>
    <w:rsid w:val="00C4499B"/>
    <w:rsid w:val="00C45B15"/>
    <w:rsid w:val="00C46E23"/>
    <w:rsid w:val="00C47AB1"/>
    <w:rsid w:val="00C515D2"/>
    <w:rsid w:val="00C5307E"/>
    <w:rsid w:val="00C531C2"/>
    <w:rsid w:val="00C534E3"/>
    <w:rsid w:val="00C54B1D"/>
    <w:rsid w:val="00C55FAA"/>
    <w:rsid w:val="00C56EEF"/>
    <w:rsid w:val="00C576B7"/>
    <w:rsid w:val="00C5779B"/>
    <w:rsid w:val="00C616EF"/>
    <w:rsid w:val="00C62EE5"/>
    <w:rsid w:val="00C6458B"/>
    <w:rsid w:val="00C66FFA"/>
    <w:rsid w:val="00C72BEB"/>
    <w:rsid w:val="00C7393D"/>
    <w:rsid w:val="00C74ADA"/>
    <w:rsid w:val="00C752F6"/>
    <w:rsid w:val="00C76318"/>
    <w:rsid w:val="00C7720D"/>
    <w:rsid w:val="00C77672"/>
    <w:rsid w:val="00C80905"/>
    <w:rsid w:val="00C827F9"/>
    <w:rsid w:val="00C82C5B"/>
    <w:rsid w:val="00C83197"/>
    <w:rsid w:val="00C8541A"/>
    <w:rsid w:val="00C874D3"/>
    <w:rsid w:val="00C87DFE"/>
    <w:rsid w:val="00C902BE"/>
    <w:rsid w:val="00C905B2"/>
    <w:rsid w:val="00C92566"/>
    <w:rsid w:val="00C96E19"/>
    <w:rsid w:val="00CA0F36"/>
    <w:rsid w:val="00CA17A0"/>
    <w:rsid w:val="00CA2213"/>
    <w:rsid w:val="00CA47D6"/>
    <w:rsid w:val="00CA5EBD"/>
    <w:rsid w:val="00CA6ABF"/>
    <w:rsid w:val="00CA70C8"/>
    <w:rsid w:val="00CA7A58"/>
    <w:rsid w:val="00CB0165"/>
    <w:rsid w:val="00CB06AB"/>
    <w:rsid w:val="00CB43CB"/>
    <w:rsid w:val="00CB7FB1"/>
    <w:rsid w:val="00CC053E"/>
    <w:rsid w:val="00CC289B"/>
    <w:rsid w:val="00CC31D8"/>
    <w:rsid w:val="00CC36A6"/>
    <w:rsid w:val="00CC3784"/>
    <w:rsid w:val="00CC37EB"/>
    <w:rsid w:val="00CC4782"/>
    <w:rsid w:val="00CD1A9F"/>
    <w:rsid w:val="00CD3FB3"/>
    <w:rsid w:val="00CD4505"/>
    <w:rsid w:val="00CD5432"/>
    <w:rsid w:val="00CD578A"/>
    <w:rsid w:val="00CD62DC"/>
    <w:rsid w:val="00CD6B36"/>
    <w:rsid w:val="00CD77E4"/>
    <w:rsid w:val="00CE01B2"/>
    <w:rsid w:val="00CE1591"/>
    <w:rsid w:val="00CE1956"/>
    <w:rsid w:val="00CE1D6B"/>
    <w:rsid w:val="00CE38CF"/>
    <w:rsid w:val="00CE46D7"/>
    <w:rsid w:val="00CE7305"/>
    <w:rsid w:val="00CE7EF2"/>
    <w:rsid w:val="00CF0173"/>
    <w:rsid w:val="00CF1379"/>
    <w:rsid w:val="00CF3B22"/>
    <w:rsid w:val="00CF481D"/>
    <w:rsid w:val="00CF5FB5"/>
    <w:rsid w:val="00CF7169"/>
    <w:rsid w:val="00D0217F"/>
    <w:rsid w:val="00D02505"/>
    <w:rsid w:val="00D0281F"/>
    <w:rsid w:val="00D02DED"/>
    <w:rsid w:val="00D06161"/>
    <w:rsid w:val="00D0744F"/>
    <w:rsid w:val="00D07C5F"/>
    <w:rsid w:val="00D10098"/>
    <w:rsid w:val="00D111A9"/>
    <w:rsid w:val="00D12008"/>
    <w:rsid w:val="00D12410"/>
    <w:rsid w:val="00D13989"/>
    <w:rsid w:val="00D14640"/>
    <w:rsid w:val="00D20790"/>
    <w:rsid w:val="00D20E55"/>
    <w:rsid w:val="00D21209"/>
    <w:rsid w:val="00D2301D"/>
    <w:rsid w:val="00D23792"/>
    <w:rsid w:val="00D247FF"/>
    <w:rsid w:val="00D24D8D"/>
    <w:rsid w:val="00D2575C"/>
    <w:rsid w:val="00D2616F"/>
    <w:rsid w:val="00D27DC9"/>
    <w:rsid w:val="00D30774"/>
    <w:rsid w:val="00D319F3"/>
    <w:rsid w:val="00D32881"/>
    <w:rsid w:val="00D3298F"/>
    <w:rsid w:val="00D330BF"/>
    <w:rsid w:val="00D337A4"/>
    <w:rsid w:val="00D34E6D"/>
    <w:rsid w:val="00D40A73"/>
    <w:rsid w:val="00D417D7"/>
    <w:rsid w:val="00D430C1"/>
    <w:rsid w:val="00D43330"/>
    <w:rsid w:val="00D434F9"/>
    <w:rsid w:val="00D44281"/>
    <w:rsid w:val="00D46D1F"/>
    <w:rsid w:val="00D47C9A"/>
    <w:rsid w:val="00D504D5"/>
    <w:rsid w:val="00D5323F"/>
    <w:rsid w:val="00D5729F"/>
    <w:rsid w:val="00D57B0A"/>
    <w:rsid w:val="00D61D30"/>
    <w:rsid w:val="00D62A31"/>
    <w:rsid w:val="00D6328A"/>
    <w:rsid w:val="00D64C0C"/>
    <w:rsid w:val="00D65938"/>
    <w:rsid w:val="00D67745"/>
    <w:rsid w:val="00D70471"/>
    <w:rsid w:val="00D71AAE"/>
    <w:rsid w:val="00D72D77"/>
    <w:rsid w:val="00D73DAC"/>
    <w:rsid w:val="00D75878"/>
    <w:rsid w:val="00D768BF"/>
    <w:rsid w:val="00D801EE"/>
    <w:rsid w:val="00D80BEC"/>
    <w:rsid w:val="00D80C0A"/>
    <w:rsid w:val="00D85543"/>
    <w:rsid w:val="00D87CB2"/>
    <w:rsid w:val="00D9081B"/>
    <w:rsid w:val="00D908E5"/>
    <w:rsid w:val="00D915B6"/>
    <w:rsid w:val="00D9162B"/>
    <w:rsid w:val="00D92508"/>
    <w:rsid w:val="00D927ED"/>
    <w:rsid w:val="00D944EC"/>
    <w:rsid w:val="00D967D6"/>
    <w:rsid w:val="00D969EF"/>
    <w:rsid w:val="00D97CF2"/>
    <w:rsid w:val="00DA05F4"/>
    <w:rsid w:val="00DA2AC6"/>
    <w:rsid w:val="00DA3F1D"/>
    <w:rsid w:val="00DA4844"/>
    <w:rsid w:val="00DA58B6"/>
    <w:rsid w:val="00DA6481"/>
    <w:rsid w:val="00DA6E0D"/>
    <w:rsid w:val="00DA7AE6"/>
    <w:rsid w:val="00DB045E"/>
    <w:rsid w:val="00DB0DF5"/>
    <w:rsid w:val="00DB1941"/>
    <w:rsid w:val="00DB215E"/>
    <w:rsid w:val="00DB4513"/>
    <w:rsid w:val="00DB538B"/>
    <w:rsid w:val="00DB5A80"/>
    <w:rsid w:val="00DB7517"/>
    <w:rsid w:val="00DB79C2"/>
    <w:rsid w:val="00DB7CF3"/>
    <w:rsid w:val="00DC0F38"/>
    <w:rsid w:val="00DC101D"/>
    <w:rsid w:val="00DC2905"/>
    <w:rsid w:val="00DC322C"/>
    <w:rsid w:val="00DC3716"/>
    <w:rsid w:val="00DC468F"/>
    <w:rsid w:val="00DC6295"/>
    <w:rsid w:val="00DC7893"/>
    <w:rsid w:val="00DD05FD"/>
    <w:rsid w:val="00DD0693"/>
    <w:rsid w:val="00DD0F0C"/>
    <w:rsid w:val="00DD2B13"/>
    <w:rsid w:val="00DD3119"/>
    <w:rsid w:val="00DD767E"/>
    <w:rsid w:val="00DD7C28"/>
    <w:rsid w:val="00DE0D95"/>
    <w:rsid w:val="00DE1B3F"/>
    <w:rsid w:val="00DE25CA"/>
    <w:rsid w:val="00DE3F21"/>
    <w:rsid w:val="00DE54B0"/>
    <w:rsid w:val="00DE68E5"/>
    <w:rsid w:val="00DE71AE"/>
    <w:rsid w:val="00DE7F68"/>
    <w:rsid w:val="00DF0685"/>
    <w:rsid w:val="00DF2DA5"/>
    <w:rsid w:val="00DF3BD6"/>
    <w:rsid w:val="00E01017"/>
    <w:rsid w:val="00E04004"/>
    <w:rsid w:val="00E04DE1"/>
    <w:rsid w:val="00E0515C"/>
    <w:rsid w:val="00E064B7"/>
    <w:rsid w:val="00E07BBB"/>
    <w:rsid w:val="00E111F7"/>
    <w:rsid w:val="00E1179B"/>
    <w:rsid w:val="00E1226C"/>
    <w:rsid w:val="00E14765"/>
    <w:rsid w:val="00E14C8A"/>
    <w:rsid w:val="00E14F52"/>
    <w:rsid w:val="00E15268"/>
    <w:rsid w:val="00E155B8"/>
    <w:rsid w:val="00E16339"/>
    <w:rsid w:val="00E16A4B"/>
    <w:rsid w:val="00E2065F"/>
    <w:rsid w:val="00E21A77"/>
    <w:rsid w:val="00E21D83"/>
    <w:rsid w:val="00E23370"/>
    <w:rsid w:val="00E242E0"/>
    <w:rsid w:val="00E25181"/>
    <w:rsid w:val="00E27794"/>
    <w:rsid w:val="00E30BBB"/>
    <w:rsid w:val="00E3220F"/>
    <w:rsid w:val="00E329C7"/>
    <w:rsid w:val="00E35284"/>
    <w:rsid w:val="00E35BED"/>
    <w:rsid w:val="00E35FE8"/>
    <w:rsid w:val="00E3606A"/>
    <w:rsid w:val="00E37A83"/>
    <w:rsid w:val="00E415F4"/>
    <w:rsid w:val="00E42DDB"/>
    <w:rsid w:val="00E44148"/>
    <w:rsid w:val="00E4470A"/>
    <w:rsid w:val="00E46889"/>
    <w:rsid w:val="00E50106"/>
    <w:rsid w:val="00E5034D"/>
    <w:rsid w:val="00E531AE"/>
    <w:rsid w:val="00E57557"/>
    <w:rsid w:val="00E57A48"/>
    <w:rsid w:val="00E60521"/>
    <w:rsid w:val="00E622B2"/>
    <w:rsid w:val="00E629A6"/>
    <w:rsid w:val="00E64AB1"/>
    <w:rsid w:val="00E665D8"/>
    <w:rsid w:val="00E7025B"/>
    <w:rsid w:val="00E70EBA"/>
    <w:rsid w:val="00E71492"/>
    <w:rsid w:val="00E714BF"/>
    <w:rsid w:val="00E7192A"/>
    <w:rsid w:val="00E72478"/>
    <w:rsid w:val="00E73A3B"/>
    <w:rsid w:val="00E75C34"/>
    <w:rsid w:val="00E75CFD"/>
    <w:rsid w:val="00E80477"/>
    <w:rsid w:val="00E82209"/>
    <w:rsid w:val="00E82801"/>
    <w:rsid w:val="00E82A73"/>
    <w:rsid w:val="00E83507"/>
    <w:rsid w:val="00E83A0C"/>
    <w:rsid w:val="00E84A0A"/>
    <w:rsid w:val="00E862AA"/>
    <w:rsid w:val="00E86541"/>
    <w:rsid w:val="00E86DDB"/>
    <w:rsid w:val="00E87C75"/>
    <w:rsid w:val="00E9016F"/>
    <w:rsid w:val="00E91B1D"/>
    <w:rsid w:val="00E92457"/>
    <w:rsid w:val="00E93764"/>
    <w:rsid w:val="00E94A8F"/>
    <w:rsid w:val="00E9518F"/>
    <w:rsid w:val="00E9589C"/>
    <w:rsid w:val="00E95E69"/>
    <w:rsid w:val="00E9623B"/>
    <w:rsid w:val="00E97487"/>
    <w:rsid w:val="00EA03C8"/>
    <w:rsid w:val="00EA067E"/>
    <w:rsid w:val="00EA0AAA"/>
    <w:rsid w:val="00EA16CE"/>
    <w:rsid w:val="00EA209F"/>
    <w:rsid w:val="00EA20C4"/>
    <w:rsid w:val="00EA2BCB"/>
    <w:rsid w:val="00EA34D5"/>
    <w:rsid w:val="00EA39B1"/>
    <w:rsid w:val="00EA4C84"/>
    <w:rsid w:val="00EA63EE"/>
    <w:rsid w:val="00EA7206"/>
    <w:rsid w:val="00EA7C89"/>
    <w:rsid w:val="00EB03B0"/>
    <w:rsid w:val="00EB072A"/>
    <w:rsid w:val="00EB1D57"/>
    <w:rsid w:val="00EB2309"/>
    <w:rsid w:val="00EB2B65"/>
    <w:rsid w:val="00EB36A7"/>
    <w:rsid w:val="00EB5226"/>
    <w:rsid w:val="00EB61E8"/>
    <w:rsid w:val="00EB69C6"/>
    <w:rsid w:val="00EB7AFC"/>
    <w:rsid w:val="00EC114C"/>
    <w:rsid w:val="00EC1A91"/>
    <w:rsid w:val="00EC2304"/>
    <w:rsid w:val="00EC2E5A"/>
    <w:rsid w:val="00EC3078"/>
    <w:rsid w:val="00EC5ED4"/>
    <w:rsid w:val="00EC6ECD"/>
    <w:rsid w:val="00EC7DBD"/>
    <w:rsid w:val="00ED11CC"/>
    <w:rsid w:val="00ED5F1B"/>
    <w:rsid w:val="00EE1526"/>
    <w:rsid w:val="00EE1C94"/>
    <w:rsid w:val="00EE2286"/>
    <w:rsid w:val="00EE277D"/>
    <w:rsid w:val="00EE334C"/>
    <w:rsid w:val="00EE3FB1"/>
    <w:rsid w:val="00EE5142"/>
    <w:rsid w:val="00EF0A23"/>
    <w:rsid w:val="00EF1A2F"/>
    <w:rsid w:val="00EF20C8"/>
    <w:rsid w:val="00EF25FA"/>
    <w:rsid w:val="00EF5861"/>
    <w:rsid w:val="00EF72EA"/>
    <w:rsid w:val="00F0182C"/>
    <w:rsid w:val="00F04C20"/>
    <w:rsid w:val="00F05CF1"/>
    <w:rsid w:val="00F1099F"/>
    <w:rsid w:val="00F109FC"/>
    <w:rsid w:val="00F123A0"/>
    <w:rsid w:val="00F134CD"/>
    <w:rsid w:val="00F1371F"/>
    <w:rsid w:val="00F13B5E"/>
    <w:rsid w:val="00F14AAD"/>
    <w:rsid w:val="00F15D31"/>
    <w:rsid w:val="00F16CFE"/>
    <w:rsid w:val="00F221AB"/>
    <w:rsid w:val="00F22556"/>
    <w:rsid w:val="00F23E74"/>
    <w:rsid w:val="00F24182"/>
    <w:rsid w:val="00F241AB"/>
    <w:rsid w:val="00F25117"/>
    <w:rsid w:val="00F25558"/>
    <w:rsid w:val="00F25C1C"/>
    <w:rsid w:val="00F2649E"/>
    <w:rsid w:val="00F27341"/>
    <w:rsid w:val="00F2735C"/>
    <w:rsid w:val="00F3238D"/>
    <w:rsid w:val="00F338B8"/>
    <w:rsid w:val="00F37CB4"/>
    <w:rsid w:val="00F408B4"/>
    <w:rsid w:val="00F43FDC"/>
    <w:rsid w:val="00F445A1"/>
    <w:rsid w:val="00F462AF"/>
    <w:rsid w:val="00F52375"/>
    <w:rsid w:val="00F54ABB"/>
    <w:rsid w:val="00F54BCF"/>
    <w:rsid w:val="00F55B11"/>
    <w:rsid w:val="00F56FAE"/>
    <w:rsid w:val="00F5791C"/>
    <w:rsid w:val="00F57ADC"/>
    <w:rsid w:val="00F60972"/>
    <w:rsid w:val="00F60983"/>
    <w:rsid w:val="00F637D6"/>
    <w:rsid w:val="00F652C2"/>
    <w:rsid w:val="00F6760D"/>
    <w:rsid w:val="00F67B68"/>
    <w:rsid w:val="00F67CEF"/>
    <w:rsid w:val="00F7155B"/>
    <w:rsid w:val="00F73E81"/>
    <w:rsid w:val="00F74C0C"/>
    <w:rsid w:val="00F75EEA"/>
    <w:rsid w:val="00F76418"/>
    <w:rsid w:val="00F817C8"/>
    <w:rsid w:val="00F82EF7"/>
    <w:rsid w:val="00F863F3"/>
    <w:rsid w:val="00F87783"/>
    <w:rsid w:val="00F913CA"/>
    <w:rsid w:val="00F916BD"/>
    <w:rsid w:val="00F93E9A"/>
    <w:rsid w:val="00F94B40"/>
    <w:rsid w:val="00F9541C"/>
    <w:rsid w:val="00F960C5"/>
    <w:rsid w:val="00F96103"/>
    <w:rsid w:val="00F968DA"/>
    <w:rsid w:val="00F970F3"/>
    <w:rsid w:val="00FA041D"/>
    <w:rsid w:val="00FA1508"/>
    <w:rsid w:val="00FA1B87"/>
    <w:rsid w:val="00FA40A1"/>
    <w:rsid w:val="00FA4391"/>
    <w:rsid w:val="00FA4574"/>
    <w:rsid w:val="00FA6BF1"/>
    <w:rsid w:val="00FA7437"/>
    <w:rsid w:val="00FA7D0F"/>
    <w:rsid w:val="00FA7F03"/>
    <w:rsid w:val="00FB3A1E"/>
    <w:rsid w:val="00FB4707"/>
    <w:rsid w:val="00FB5DDB"/>
    <w:rsid w:val="00FC0C5F"/>
    <w:rsid w:val="00FC24DF"/>
    <w:rsid w:val="00FC29A5"/>
    <w:rsid w:val="00FC2B9E"/>
    <w:rsid w:val="00FC2CB9"/>
    <w:rsid w:val="00FC400E"/>
    <w:rsid w:val="00FC5CBA"/>
    <w:rsid w:val="00FC6E90"/>
    <w:rsid w:val="00FC7557"/>
    <w:rsid w:val="00FD05A4"/>
    <w:rsid w:val="00FD0A85"/>
    <w:rsid w:val="00FD3225"/>
    <w:rsid w:val="00FD391B"/>
    <w:rsid w:val="00FD3C9B"/>
    <w:rsid w:val="00FD4023"/>
    <w:rsid w:val="00FD4DFD"/>
    <w:rsid w:val="00FD5115"/>
    <w:rsid w:val="00FD52B9"/>
    <w:rsid w:val="00FD7497"/>
    <w:rsid w:val="00FD7D1F"/>
    <w:rsid w:val="00FE0385"/>
    <w:rsid w:val="00FE0439"/>
    <w:rsid w:val="00FE08D0"/>
    <w:rsid w:val="00FE120C"/>
    <w:rsid w:val="00FE2872"/>
    <w:rsid w:val="00FE2E6A"/>
    <w:rsid w:val="00FE3CCA"/>
    <w:rsid w:val="00FE46A7"/>
    <w:rsid w:val="00FE5C5D"/>
    <w:rsid w:val="00FE5E4D"/>
    <w:rsid w:val="00FE6F59"/>
    <w:rsid w:val="00FE7225"/>
    <w:rsid w:val="00FF1024"/>
    <w:rsid w:val="00FF105B"/>
    <w:rsid w:val="00FF124A"/>
    <w:rsid w:val="00FF1C80"/>
    <w:rsid w:val="00FF408F"/>
    <w:rsid w:val="00FF4AED"/>
    <w:rsid w:val="00FF60F7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9CC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fr-CH" w:bidi="fr-C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2C"/>
    <w:pPr>
      <w:spacing w:before="60" w:after="60"/>
    </w:pPr>
    <w:rPr>
      <w:rFonts w:ascii="Arial" w:hAnsi="Arial"/>
      <w:sz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1F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8F1FC1"/>
    <w:pPr>
      <w:keepNext w:val="0"/>
      <w:keepLines w:val="0"/>
      <w:numPr>
        <w:ilvl w:val="2"/>
        <w:numId w:val="2"/>
      </w:numPr>
      <w:spacing w:before="60" w:after="60" w:line="240" w:lineRule="auto"/>
      <w:outlineLvl w:val="2"/>
    </w:pPr>
    <w:rPr>
      <w:rFonts w:ascii="EYInterstate Light" w:eastAsiaTheme="minorHAnsi" w:hAnsi="EYInterstate Light" w:cstheme="minorBidi"/>
      <w:b w:val="0"/>
      <w:bCs w:val="0"/>
      <w:color w:val="auto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176F"/>
  </w:style>
  <w:style w:type="paragraph" w:styleId="Pieddepage">
    <w:name w:val="footer"/>
    <w:basedOn w:val="Normal"/>
    <w:link w:val="PieddepageCar"/>
    <w:uiPriority w:val="99"/>
    <w:unhideWhenUsed/>
    <w:rsid w:val="00731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176F"/>
  </w:style>
  <w:style w:type="paragraph" w:styleId="Paragraphedeliste">
    <w:name w:val="List Paragraph"/>
    <w:basedOn w:val="Normal"/>
    <w:uiPriority w:val="34"/>
    <w:qFormat/>
    <w:rsid w:val="00E23370"/>
    <w:pPr>
      <w:ind w:left="720"/>
      <w:contextualSpacing/>
    </w:pPr>
  </w:style>
  <w:style w:type="paragraph" w:customStyle="1" w:styleId="Default">
    <w:name w:val="Default"/>
    <w:rsid w:val="00B36F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77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773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77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7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77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739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8F1FC1"/>
    <w:rPr>
      <w:rFonts w:ascii="EYInterstate Light" w:hAnsi="EYInterstate Light"/>
      <w:sz w:val="16"/>
      <w:szCs w:val="16"/>
      <w:lang w:val="fr-CH"/>
    </w:rPr>
  </w:style>
  <w:style w:type="numbering" w:customStyle="1" w:styleId="ListePP">
    <w:name w:val="Liste PP"/>
    <w:uiPriority w:val="99"/>
    <w:rsid w:val="008F1FC1"/>
    <w:pPr>
      <w:numPr>
        <w:numId w:val="1"/>
      </w:numPr>
    </w:pPr>
  </w:style>
  <w:style w:type="character" w:customStyle="1" w:styleId="Titre2Car">
    <w:name w:val="Titre 2 Car"/>
    <w:basedOn w:val="Policepardfaut"/>
    <w:link w:val="Titre2"/>
    <w:uiPriority w:val="9"/>
    <w:semiHidden/>
    <w:rsid w:val="008F1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ullet">
    <w:name w:val="Bullet"/>
    <w:basedOn w:val="Paragraphedeliste"/>
    <w:qFormat/>
    <w:rsid w:val="00FF105B"/>
    <w:pPr>
      <w:numPr>
        <w:numId w:val="3"/>
      </w:numPr>
      <w:spacing w:line="240" w:lineRule="auto"/>
      <w:contextualSpacing w:val="0"/>
    </w:pPr>
    <w:rPr>
      <w:rFonts w:cs="Arial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0BBC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0BBC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0BBC"/>
    <w:rPr>
      <w:vertAlign w:val="superscript"/>
    </w:rPr>
  </w:style>
  <w:style w:type="paragraph" w:customStyle="1" w:styleId="FINMAStandardAbsatz">
    <w:name w:val="FINMA Standard Absatz"/>
    <w:basedOn w:val="Normal"/>
    <w:qFormat/>
    <w:rsid w:val="00173722"/>
    <w:pPr>
      <w:spacing w:before="260" w:after="260" w:line="260" w:lineRule="atLeast"/>
      <w:jc w:val="both"/>
    </w:pPr>
    <w:rPr>
      <w:rFonts w:eastAsia="Times New Roman" w:cs="Times New Roman"/>
      <w:szCs w:val="20"/>
    </w:rPr>
  </w:style>
  <w:style w:type="paragraph" w:customStyle="1" w:styleId="FINMAGliederungEbene1">
    <w:name w:val="FINMA Gliederung Ebene 1"/>
    <w:basedOn w:val="Normal"/>
    <w:qFormat/>
    <w:rsid w:val="00173722"/>
    <w:pPr>
      <w:numPr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2">
    <w:name w:val="FINMA Gliederung Ebene 2"/>
    <w:basedOn w:val="Normal"/>
    <w:qFormat/>
    <w:rsid w:val="00173722"/>
    <w:pPr>
      <w:numPr>
        <w:ilvl w:val="1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3">
    <w:name w:val="FINMA Gliederung Ebene 3"/>
    <w:basedOn w:val="Normal"/>
    <w:qFormat/>
    <w:rsid w:val="00173722"/>
    <w:pPr>
      <w:numPr>
        <w:ilvl w:val="2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FINMAGliederungEbene4">
    <w:name w:val="FINMA Gliederung Ebene 4"/>
    <w:basedOn w:val="Normal"/>
    <w:rsid w:val="00173722"/>
    <w:pPr>
      <w:numPr>
        <w:ilvl w:val="3"/>
        <w:numId w:val="4"/>
      </w:numPr>
      <w:spacing w:before="0" w:after="80" w:line="260" w:lineRule="atLeast"/>
      <w:jc w:val="both"/>
    </w:pPr>
    <w:rPr>
      <w:rFonts w:eastAsia="Times New Roman" w:cs="Arial"/>
    </w:rPr>
  </w:style>
  <w:style w:type="paragraph" w:customStyle="1" w:styleId="EGABox1">
    <w:name w:val="EGA Box1"/>
    <w:basedOn w:val="Normal"/>
    <w:qFormat/>
    <w:rsid w:val="00DE68E5"/>
    <w:pPr>
      <w:keepLines/>
      <w:tabs>
        <w:tab w:val="left" w:pos="27571"/>
        <w:tab w:val="left" w:pos="27996"/>
      </w:tabs>
      <w:autoSpaceDE w:val="0"/>
      <w:autoSpaceDN w:val="0"/>
      <w:adjustRightInd w:val="0"/>
      <w:spacing w:after="140" w:line="240" w:lineRule="atLeast"/>
      <w:ind w:left="357" w:hanging="357"/>
    </w:pPr>
    <w:rPr>
      <w:rFonts w:ascii="Georgia" w:eastAsia="Arial Unicode MS" w:hAnsi="Georgia" w:cs="Arial"/>
      <w:szCs w:val="20"/>
    </w:rPr>
  </w:style>
  <w:style w:type="paragraph" w:customStyle="1" w:styleId="EGANumbered">
    <w:name w:val="EGA Numbered"/>
    <w:basedOn w:val="Paragraphedeliste"/>
    <w:qFormat/>
    <w:rsid w:val="00DE68E5"/>
    <w:pPr>
      <w:numPr>
        <w:numId w:val="7"/>
      </w:numPr>
      <w:autoSpaceDE w:val="0"/>
      <w:autoSpaceDN w:val="0"/>
      <w:adjustRightInd w:val="0"/>
      <w:spacing w:after="140" w:line="240" w:lineRule="atLeast"/>
      <w:contextualSpacing w:val="0"/>
    </w:pPr>
    <w:rPr>
      <w:rFonts w:ascii="Georgia" w:eastAsia="Arial Unicode MS" w:hAnsi="Georgia" w:cs="Arial"/>
      <w:color w:val="000000"/>
      <w:szCs w:val="20"/>
    </w:rPr>
  </w:style>
  <w:style w:type="paragraph" w:customStyle="1" w:styleId="TabellenTextBlocksatz">
    <w:name w:val="Tabellen Text Blocksatz"/>
    <w:basedOn w:val="Normal"/>
    <w:qFormat/>
    <w:rsid w:val="00C03FC8"/>
    <w:pPr>
      <w:widowControl w:val="0"/>
      <w:spacing w:before="40" w:after="40" w:line="240" w:lineRule="auto"/>
      <w:jc w:val="both"/>
    </w:pPr>
    <w:rPr>
      <w:rFonts w:ascii="Univers 45 Light" w:eastAsiaTheme="minorEastAsia" w:hAnsi="Univers 45 Light"/>
    </w:rPr>
  </w:style>
  <w:style w:type="paragraph" w:styleId="Rvision">
    <w:name w:val="Revision"/>
    <w:hidden/>
    <w:uiPriority w:val="99"/>
    <w:semiHidden/>
    <w:rsid w:val="00E714B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252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274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84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59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22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52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313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57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81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66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23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22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176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8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58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53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38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26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07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260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7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5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71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17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9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20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558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594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4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2205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38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52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249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789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561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7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2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5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8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01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0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9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4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262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943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990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5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3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853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82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141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945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92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71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37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2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517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14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74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73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37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619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437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53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65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166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3323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8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302">
          <w:marLeft w:val="1123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61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4066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89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7577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07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406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35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17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048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5404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19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386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71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962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9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200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140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05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24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728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74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12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762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8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434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21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933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31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18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291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70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6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28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948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032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2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72">
          <w:marLeft w:val="85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258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35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50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716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1140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18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177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9371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4889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0356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19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391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094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490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417">
          <w:marLeft w:val="28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62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895">
          <w:marLeft w:val="57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774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13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6505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Dok Document" ma:contentTypeID="0x0101003A499141982C43AFAF241BDE541C18D50000519DF5795C73439C3BCF439616D716" ma:contentTypeVersion="18" ma:contentTypeDescription="Create a new document." ma:contentTypeScope="" ma:versionID="5c381630b871acccce22cacbe09e4f12">
  <xsd:schema xmlns:xsd="http://www.w3.org/2001/XMLSchema" xmlns:xs="http://www.w3.org/2001/XMLSchema" xmlns:p="http://schemas.microsoft.com/office/2006/metadata/properties" xmlns:ns2="6a69bcf4-53cf-403b-9048-936b1531f1ad" targetNamespace="http://schemas.microsoft.com/office/2006/metadata/properties" ma:root="true" ma:fieldsID="61a41c9784fa14edb8dbfd47816df8c4" ns2:_="">
    <xsd:import namespace="6a69bcf4-53cf-403b-9048-936b1531f1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inmaDocumentDate" minOccurs="0"/>
                <xsd:element ref="ns2:FinmaCaseDescription" minOccurs="0"/>
                <xsd:element ref="ns2:f6ac7f7711e24d149a1ab98f6cfad432" minOccurs="0"/>
                <xsd:element ref="ns2:TaxCatchAll" minOccurs="0"/>
                <xsd:element ref="ns2:TaxCatchAllLabel" minOccurs="0"/>
                <xsd:element ref="ns2:FinmaCaseID" minOccurs="0"/>
                <xsd:element ref="ns2:g1c9cab47ab34847b4ac830bba5063b0" minOccurs="0"/>
                <xsd:element ref="ns2:h5452bf913d342ef967d06fb0970c0a5" minOccurs="0"/>
                <xsd:element ref="ns2:n1f5c6536ac648a38ad663cdf8bd44e6" minOccurs="0"/>
                <xsd:element ref="ns2:FinmaPasswordProtected" minOccurs="0"/>
                <xsd:element ref="ns2:FinmaValidationDate" minOccurs="0"/>
                <xsd:element ref="ns2:FinmaValidationResult" minOccurs="0"/>
                <xsd:element ref="ns2:FinmaObjectId" minOccurs="0"/>
                <xsd:element ref="ns2:FinmaObjectName" minOccurs="0"/>
                <xsd:element ref="ns2:Aktionsw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9bcf4-53cf-403b-9048-936b1531f1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nmaDocumentDate" ma:index="11" nillable="true" ma:displayName="Dokument Datum" ma:format="DateOnly" ma:internalName="FinmaDocumentDate">
      <xsd:simpleType>
        <xsd:restriction base="dms:DateTime"/>
      </xsd:simpleType>
    </xsd:element>
    <xsd:element name="FinmaCaseDescription" ma:index="12" nillable="true" ma:displayName="Geschäfts Bezeichnung" ma:default="Prüfpunkte (G01315675)" ma:internalName="FinmaCaseDescription">
      <xsd:simpleType>
        <xsd:restriction base="dms:Text">
          <xsd:maxLength value="255"/>
        </xsd:restriction>
      </xsd:simpleType>
    </xsd:element>
    <xsd:element name="f6ac7f7711e24d149a1ab98f6cfad432" ma:index="13" nillable="true" ma:taxonomy="true" ma:internalName="f6ac7f7711e24d149a1ab98f6cfad432" ma:taxonomyFieldName="FinmaCaseStatus" ma:displayName="Geschäfts Status" ma:default="1;#Aktiv|7439e81f-a110-4e88-a7af-acf8d4806223" ma:fieldId="{f6ac7f77-11e2-4d14-9a1a-b98f6cfad432}" ma:sspId="1614e331-078d-4830-aac2-889f77d1de05" ma:termSetId="fbd22871-fe11-4cfd-b99d-0f5fc7eae3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11d897c7-6512-47f2-a160-da422b0663e8}" ma:internalName="TaxCatchAll" ma:showField="CatchAllData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1d897c7-6512-47f2-a160-da422b0663e8}" ma:internalName="TaxCatchAllLabel" ma:readOnly="true" ma:showField="CatchAllDataLabel" ma:web="6a69bcf4-53cf-403b-9048-936b1531f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nmaCaseID" ma:index="17" nillable="true" ma:displayName="Geschäfts ID" ma:default="G01315675" ma:internalName="FinmaCaseID">
      <xsd:simpleType>
        <xsd:restriction base="dms:Text">
          <xsd:maxLength value="255"/>
        </xsd:restriction>
      </xsd:simpleType>
    </xsd:element>
    <xsd:element name="g1c9cab47ab34847b4ac830bba5063b0" ma:index="18" nillable="true" ma:taxonomy="true" ma:internalName="g1c9cab47ab34847b4ac830bba5063b0" ma:taxonomyFieldName="FinmaCatchphrases" ma:displayName="Schlagwort" ma:fieldId="{01c9cab4-7ab3-4847-b4ac-830bba5063b0}" ma:taxonomyMulti="true" ma:sspId="1614e331-078d-4830-aac2-889f77d1de05" ma:termSetId="35ed469d-bfb4-4e58-83fd-01918edae1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452bf913d342ef967d06fb0970c0a5" ma:index="20" nillable="true" ma:taxonomy="true" ma:internalName="h5452bf913d342ef967d06fb0970c0a5" ma:taxonomyFieldName="FinmaCategory" ma:displayName="Kategorie" ma:fieldId="{15452bf9-13d3-42ef-967d-06fb0970c0a5}" ma:sspId="1614e331-078d-4830-aac2-889f77d1de05" ma:termSetId="76a2fa96-3e9b-4d62-901d-d1895154867f" ma:anchorId="de8e377e-5092-4bcb-9739-6ef0d154a6b9" ma:open="false" ma:isKeyword="false">
      <xsd:complexType>
        <xsd:sequence>
          <xsd:element ref="pc:Terms" minOccurs="0" maxOccurs="1"/>
        </xsd:sequence>
      </xsd:complexType>
    </xsd:element>
    <xsd:element name="n1f5c6536ac648a38ad663cdf8bd44e6" ma:index="22" nillable="true" ma:taxonomy="true" ma:internalName="n1f5c6536ac648a38ad663cdf8bd44e6" ma:taxonomyFieldName="FinmaCrmEntityIDs" ma:displayName="CRM Verknüpfung IDs" ma:fieldId="{71f5c653-6ac6-48a3-8ad6-63cdf8bd44e6}" ma:taxonomyMulti="true" ma:sspId="1614e331-078d-4830-aac2-889f77d1de05" ma:termSetId="82dd8aca-48d0-4b35-8214-4412d12ff6a5" ma:anchorId="014b0467-8825-4d4f-8a01-d04ca28bebe8" ma:open="false" ma:isKeyword="false">
      <xsd:complexType>
        <xsd:sequence>
          <xsd:element ref="pc:Terms" minOccurs="0" maxOccurs="1"/>
        </xsd:sequence>
      </xsd:complexType>
    </xsd:element>
    <xsd:element name="FinmaPasswordProtected" ma:index="24" nillable="true" ma:displayName="Passwortgeschützt" ma:internalName="FinmaPasswordProtected">
      <xsd:simpleType>
        <xsd:restriction base="dms:Boolean"/>
      </xsd:simpleType>
    </xsd:element>
    <xsd:element name="FinmaValidationDate" ma:index="25" nillable="true" ma:displayName="Prüfzeitpunkt" ma:format="DateTime" ma:internalName="FinmaValidationDate">
      <xsd:simpleType>
        <xsd:restriction base="dms:DateTime"/>
      </xsd:simpleType>
    </xsd:element>
    <xsd:element name="FinmaValidationResult" ma:index="27" nillable="true" ma:displayName="ValidationResults" ma:internalName="FinmaValidationResult">
      <xsd:simpleType>
        <xsd:restriction base="dms:Note">
          <xsd:maxLength value="255"/>
        </xsd:restriction>
      </xsd:simpleType>
    </xsd:element>
    <xsd:element name="FinmaObjectId" ma:index="28" nillable="true" ma:displayName="Finma Objekt ID" ma:default="F00164912" ma:internalName="FinmaObjectId">
      <xsd:simpleType>
        <xsd:restriction base="dms:Text">
          <xsd:maxLength value="255"/>
        </xsd:restriction>
      </xsd:simpleType>
    </xsd:element>
    <xsd:element name="FinmaObjectName" ma:index="29" nillable="true" ma:displayName="Finma Objekt Bezeichnung" ma:default="Eidgenössische Finanzmarktaufsicht FINMA (F00164912)" ma:internalName="FinmaObjectName">
      <xsd:simpleType>
        <xsd:restriction base="dms:Text">
          <xsd:maxLength value="255"/>
        </xsd:restriction>
      </xsd:simpleType>
    </xsd:element>
    <xsd:element name="Aktionswert" ma:index="30" nillable="true" ma:displayName="Aktionswert" ma:hidden="true" ma:internalName="Aktionswert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onswert xmlns="6a69bcf4-53cf-403b-9048-936b1531f1ad" xsi:nil="true"/>
    <f6ac7f7711e24d149a1ab98f6cfad432 xmlns="6a69bcf4-53cf-403b-9048-936b1531f1a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7439e81f-a110-4e88-a7af-acf8d4806223</TermId>
        </TermInfo>
      </Terms>
    </f6ac7f7711e24d149a1ab98f6cfad432>
    <TaxCatchAll xmlns="6a69bcf4-53cf-403b-9048-936b1531f1ad">
      <Value>1</Value>
    </TaxCatchAll>
    <_dlc_DocIdUrl xmlns="6a69bcf4-53cf-403b-9048-936b1531f1ad">
      <Url>https://gdok.finma.ch/container/1446/_layouts/15/DocIdRedir.aspx?ID=G01315675-000152</Url>
      <Description>G01315675-000152</Description>
    </_dlc_DocIdUrl>
    <_dlc_DocId xmlns="6a69bcf4-53cf-403b-9048-936b1531f1ad">G01315675-000152</_dlc_DocId>
    <FinmaPasswordProtected xmlns="6a69bcf4-53cf-403b-9048-936b1531f1ad">false</FinmaPasswordProtected>
    <FinmaValidationDate xmlns="6a69bcf4-53cf-403b-9048-936b1531f1ad">2025-03-04T17:11:10+00:00</FinmaValidationDate>
    <FinmaDocumentDate xmlns="6a69bcf4-53cf-403b-9048-936b1531f1ad">2020-04-02T09:06:44+00:00</FinmaDocumentDate>
    <FinmaValidationResult xmlns="6a69bcf4-53cf-403b-9048-936b1531f1ad" xsi:nil="true"/>
    <FinmaObjectName xmlns="6a69bcf4-53cf-403b-9048-936b1531f1ad">Eidgenössische Finanzmarktaufsicht FINMA (F00164912)</FinmaObjectName>
    <h5452bf913d342ef967d06fb0970c0a5 xmlns="6a69bcf4-53cf-403b-9048-936b1531f1ad">
      <Terms xmlns="http://schemas.microsoft.com/office/infopath/2007/PartnerControls"/>
    </h5452bf913d342ef967d06fb0970c0a5>
    <g1c9cab47ab34847b4ac830bba5063b0 xmlns="6a69bcf4-53cf-403b-9048-936b1531f1ad">
      <Terms xmlns="http://schemas.microsoft.com/office/infopath/2007/PartnerControls"/>
    </g1c9cab47ab34847b4ac830bba5063b0>
    <FinmaCaseDescription xmlns="6a69bcf4-53cf-403b-9048-936b1531f1ad">Prüfpunkte (G01315675)</FinmaCaseDescription>
    <FinmaCaseID xmlns="6a69bcf4-53cf-403b-9048-936b1531f1ad">G01315675</FinmaCaseID>
    <n1f5c6536ac648a38ad663cdf8bd44e6 xmlns="6a69bcf4-53cf-403b-9048-936b1531f1ad">
      <Terms xmlns="http://schemas.microsoft.com/office/infopath/2007/PartnerControls"/>
    </n1f5c6536ac648a38ad663cdf8bd44e6>
    <FinmaObjectId xmlns="6a69bcf4-53cf-403b-9048-936b1531f1ad">F00164912</FinmaObject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F755-CF2A-4473-88CA-789FB9D7D3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B1C316-054C-4B90-BE4D-3C87C96E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9bcf4-53cf-403b-9048-936b1531f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F43B86-8D67-4A1A-A379-092C189FDB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DB412-40F5-4483-A7F0-B9B8A2706F51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a69bcf4-53cf-403b-9048-936b1531f1ad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B1BD49C-0C94-48DF-8E76-B6213D92ED35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7</ap:Pages>
  <ap:Words>1472</ap:Words>
  <ap:Characters>9274</ap:Characters>
  <ap:DocSecurity>0</ap:DocSecurity>
  <ap:Lines>77</ap:Lines>
  <ap:Paragraphs>21</ap:Paragraphs>
  <ap:ScaleCrop>false</ap:ScaleCrop>
  <ap:HeadingPairs>
    <vt:vector baseType="variant" size="6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LinksUpToDate>false</ap:LinksUpToDate>
  <ap:CharactersWithSpaces>10725</ap:CharactersWithSpaces>
  <ap:SharedDoc>false</ap:SharedDoc>
  <ap:HyperlinksChanged>false</ap:HyperlinksChanged>
  <ap:AppVersion>16.0000</ap:AppVersion>
  <ap:Company/>
  <ap:Manager/>
  <ap:HyperlinkBase/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dcterms:created xsi:type="dcterms:W3CDTF">2025-03-04T17:10:00.0000000Z</dcterms:created>
  <dcterms:modified xsi:type="dcterms:W3CDTF">2025-03-24T13:47:00.0000000Z</dcterms:modified>
  <dc:subject/>
  <category/>
  <keywords/>
  <dc:description/>
  <contentType/>
  <contentStatus/>
  <version/>
  <revision/>
  <dc:language/>
  <dc:identifier/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3" name="ContentTypeId">
    <vt:lpwstr>0x0101003A499141982C43AFAF241BDE541C18D50000519DF5795C73439C3BCF439616D716</vt:lpwstr>
  </op:property>
  <op:property fmtid="{D5CDD505-2E9C-101B-9397-08002B2CF9AE}" pid="4" name="_dlc_DocIdItemGuid">
    <vt:lpwstr>c1fdc1e4-3f1c-44df-bef7-1f90258aeab0</vt:lpwstr>
  </op:property>
  <op:property fmtid="{D5CDD505-2E9C-101B-9397-08002B2CF9AE}" pid="5" name="Ordnungsposition">
    <vt:lpwstr>18</vt:lpwstr>
  </op:property>
  <op:property fmtid="{D5CDD505-2E9C-101B-9397-08002B2CF9AE}" pid="6" name="Schlagwort">
    <vt:lpwstr/>
  </op:property>
  <op:property fmtid="{D5CDD505-2E9C-101B-9397-08002B2CF9AE}" pid="7" name="Schlagwort_SPPSTextValue">
    <vt:lpwstr/>
  </op:property>
  <op:property fmtid="{D5CDD505-2E9C-101B-9397-08002B2CF9AE}" pid="8" name="Kategorie_SPPSTextValue">
    <vt:lpwstr/>
  </op:property>
  <op:property fmtid="{D5CDD505-2E9C-101B-9397-08002B2CF9AE}" pid="9" name="Schlagwort KategorieTaxHTField0">
    <vt:lpwstr/>
  </op:property>
  <op:property fmtid="{D5CDD505-2E9C-101B-9397-08002B2CF9AE}" pid="10" name="FinmaCrmEntityIDs">
    <vt:lpwstr/>
  </op:property>
  <op:property fmtid="{D5CDD505-2E9C-101B-9397-08002B2CF9AE}" pid="11" name="FinmaCatchphrases">
    <vt:lpwstr/>
  </op:property>
  <op:property fmtid="{D5CDD505-2E9C-101B-9397-08002B2CF9AE}" pid="12" name="FinmaCaseStatus">
    <vt:lpwstr>1;#Aktiv|7439e81f-a110-4e88-a7af-acf8d4806223</vt:lpwstr>
  </op:property>
  <op:property fmtid="{D5CDD505-2E9C-101B-9397-08002B2CF9AE}" pid="13" name="FinmaCategory">
    <vt:lpwstr/>
  </op:property>
</op:Properties>
</file>