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kMod_000"/>
    <w:p w14:paraId="630D4A48" w14:textId="058ABF97" w:rsidR="00C61276" w:rsidRPr="007E20AC" w:rsidRDefault="00CA1BE5" w:rsidP="00B93868">
      <w:pPr>
        <w:spacing w:before="120" w:after="120" w:line="240" w:lineRule="auto"/>
      </w:pPr>
      <w:r>
        <w:rPr>
          <w:b/>
          <w:sz w:val="28"/>
        </w:rPr>
        <w:t>Points d’audit concernant</w:t>
      </w:r>
      <w:r>
        <w:rPr>
          <w:b/>
          <w:sz w:val="28"/>
        </w:rPr>
        <w:t xml:space="preserve"> les </w:t>
      </w:r>
      <w:r w:rsidRPr="00CA1BE5">
        <w:rPr>
          <w:b/>
          <w:sz w:val="28"/>
        </w:rPr>
        <w:t>règles de conduite à l'égard des clients</w:t>
      </w:r>
    </w:p>
    <w:p w14:paraId="338CA67A" w14:textId="77777777" w:rsidR="00CA1BE5" w:rsidRDefault="00CA1BE5" w:rsidP="00B93868">
      <w:pPr>
        <w:spacing w:before="120" w:after="120" w:line="240" w:lineRule="auto"/>
        <w:rPr>
          <w:b/>
        </w:rPr>
      </w:pPr>
    </w:p>
    <w:p w14:paraId="0FE78B65" w14:textId="7A2333F1" w:rsidR="00C61276" w:rsidRPr="00DB7CF3" w:rsidRDefault="00C61276" w:rsidP="00B93868">
      <w:pPr>
        <w:spacing w:before="120" w:after="120" w:line="240" w:lineRule="auto"/>
        <w:rPr>
          <w:rFonts w:cs="Arial"/>
          <w:b/>
        </w:rPr>
      </w:pPr>
      <w:r>
        <w:rPr>
          <w:b/>
        </w:rPr>
        <w:t>Vue d'ensemble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701"/>
      </w:tblGrid>
      <w:tr w:rsidR="00C61276" w:rsidRPr="00C028CE" w14:paraId="5905A02E" w14:textId="77777777" w:rsidTr="00EF0539">
        <w:tc>
          <w:tcPr>
            <w:tcW w:w="2694" w:type="dxa"/>
            <w:shd w:val="pct10" w:color="auto" w:fill="auto"/>
          </w:tcPr>
          <w:p w14:paraId="40DB4FFF" w14:textId="77777777" w:rsidR="00C61276" w:rsidRPr="00EB30C0" w:rsidRDefault="00C61276" w:rsidP="00B93868">
            <w:pPr>
              <w:tabs>
                <w:tab w:val="left" w:pos="1418"/>
              </w:tabs>
              <w:spacing w:before="120" w:after="120" w:line="240" w:lineRule="auto"/>
              <w:rPr>
                <w:rFonts w:cs="Arial"/>
                <w:b/>
                <w:szCs w:val="18"/>
              </w:rPr>
            </w:pPr>
            <w:r>
              <w:rPr>
                <w:b/>
              </w:rPr>
              <w:t>Sujet</w:t>
            </w:r>
          </w:p>
        </w:tc>
        <w:tc>
          <w:tcPr>
            <w:tcW w:w="11701" w:type="dxa"/>
            <w:shd w:val="pct10" w:color="auto" w:fill="auto"/>
          </w:tcPr>
          <w:p w14:paraId="2797F93B" w14:textId="77777777" w:rsidR="00CA1BE5" w:rsidRDefault="00C61276" w:rsidP="00CA1BE5">
            <w:pPr>
              <w:tabs>
                <w:tab w:val="left" w:pos="1859"/>
              </w:tabs>
              <w:spacing w:before="120" w:after="120" w:line="240" w:lineRule="auto"/>
              <w:rPr>
                <w:b/>
              </w:rPr>
            </w:pPr>
            <w:r>
              <w:rPr>
                <w:b/>
              </w:rPr>
              <w:t xml:space="preserve">Risques d'affaires / gestion des risques : risques liés aux opérations indifférentes / règles de conduite à l'égard des </w:t>
            </w:r>
            <w:r w:rsidR="00CA1BE5">
              <w:rPr>
                <w:b/>
              </w:rPr>
              <w:t>clients dans le cadre</w:t>
            </w:r>
          </w:p>
          <w:p w14:paraId="09BEE1FD" w14:textId="77777777" w:rsidR="00CA1BE5" w:rsidRDefault="00CA1BE5" w:rsidP="00CA1BE5">
            <w:pPr>
              <w:pStyle w:val="Listenabsatz"/>
              <w:numPr>
                <w:ilvl w:val="0"/>
                <w:numId w:val="13"/>
              </w:numPr>
              <w:tabs>
                <w:tab w:val="left" w:pos="1859"/>
              </w:tabs>
              <w:spacing w:before="120" w:after="120" w:line="240" w:lineRule="auto"/>
              <w:rPr>
                <w:rFonts w:cs="Arial"/>
                <w:b/>
                <w:szCs w:val="18"/>
              </w:rPr>
            </w:pPr>
            <w:r>
              <w:rPr>
                <w:rFonts w:cs="Arial"/>
                <w:b/>
                <w:szCs w:val="18"/>
              </w:rPr>
              <w:t>des activités "execution-only"</w:t>
            </w:r>
          </w:p>
          <w:p w14:paraId="4EE06216" w14:textId="77777777" w:rsidR="00CA1BE5" w:rsidRDefault="00CA1BE5" w:rsidP="00CA1BE5">
            <w:pPr>
              <w:pStyle w:val="Listenabsatz"/>
              <w:numPr>
                <w:ilvl w:val="0"/>
                <w:numId w:val="13"/>
              </w:numPr>
              <w:tabs>
                <w:tab w:val="left" w:pos="1859"/>
              </w:tabs>
              <w:spacing w:before="120" w:after="120" w:line="240" w:lineRule="auto"/>
              <w:rPr>
                <w:rFonts w:cs="Arial"/>
                <w:b/>
                <w:szCs w:val="18"/>
              </w:rPr>
            </w:pPr>
            <w:r>
              <w:rPr>
                <w:rFonts w:cs="Arial"/>
                <w:b/>
                <w:szCs w:val="18"/>
              </w:rPr>
              <w:t>des activités de conseil en placement</w:t>
            </w:r>
          </w:p>
          <w:p w14:paraId="71C01745" w14:textId="77777777" w:rsidR="00CA1BE5" w:rsidRDefault="00CA1BE5" w:rsidP="00CA1BE5">
            <w:pPr>
              <w:pStyle w:val="Listenabsatz"/>
              <w:numPr>
                <w:ilvl w:val="0"/>
                <w:numId w:val="13"/>
              </w:numPr>
              <w:tabs>
                <w:tab w:val="left" w:pos="1859"/>
              </w:tabs>
              <w:spacing w:before="120" w:after="120" w:line="240" w:lineRule="auto"/>
              <w:rPr>
                <w:rFonts w:cs="Arial"/>
                <w:b/>
                <w:szCs w:val="18"/>
              </w:rPr>
            </w:pPr>
            <w:r>
              <w:rPr>
                <w:rFonts w:cs="Arial"/>
                <w:b/>
                <w:szCs w:val="18"/>
              </w:rPr>
              <w:t>des mandats de gestion de fortune</w:t>
            </w:r>
          </w:p>
          <w:p w14:paraId="3898CD38" w14:textId="4F974D29" w:rsidR="00C61276" w:rsidRPr="00CA1BE5" w:rsidRDefault="00CA1BE5" w:rsidP="00CA1BE5">
            <w:pPr>
              <w:pStyle w:val="Listenabsatz"/>
              <w:numPr>
                <w:ilvl w:val="0"/>
                <w:numId w:val="13"/>
              </w:numPr>
              <w:tabs>
                <w:tab w:val="left" w:pos="1859"/>
              </w:tabs>
              <w:spacing w:before="120" w:after="120" w:line="240" w:lineRule="auto"/>
              <w:rPr>
                <w:rFonts w:cs="Arial"/>
                <w:b/>
                <w:szCs w:val="18"/>
              </w:rPr>
            </w:pPr>
            <w:r>
              <w:rPr>
                <w:rFonts w:cs="Arial"/>
                <w:b/>
                <w:szCs w:val="18"/>
              </w:rPr>
              <w:t>de la distribution de placements collectifs de capitaux</w:t>
            </w:r>
          </w:p>
        </w:tc>
      </w:tr>
      <w:tr w:rsidR="00C61276" w:rsidRPr="00EB30C0" w14:paraId="459F5945" w14:textId="77777777" w:rsidTr="00EF0539">
        <w:tc>
          <w:tcPr>
            <w:tcW w:w="2694" w:type="dxa"/>
            <w:shd w:val="pct10" w:color="auto" w:fill="auto"/>
          </w:tcPr>
          <w:p w14:paraId="47DEDF73" w14:textId="77777777" w:rsidR="00C61276" w:rsidRPr="00EB30C0" w:rsidRDefault="00C61276" w:rsidP="00B93868">
            <w:pPr>
              <w:tabs>
                <w:tab w:val="left" w:pos="1418"/>
              </w:tabs>
              <w:spacing w:before="120" w:after="120" w:line="240" w:lineRule="auto"/>
              <w:rPr>
                <w:rFonts w:cs="Arial"/>
                <w:b/>
                <w:szCs w:val="18"/>
              </w:rPr>
            </w:pPr>
            <w:r>
              <w:rPr>
                <w:b/>
              </w:rPr>
              <w:t>Etendue d'audit</w:t>
            </w:r>
          </w:p>
        </w:tc>
        <w:tc>
          <w:tcPr>
            <w:tcW w:w="11701" w:type="dxa"/>
            <w:shd w:val="pct10" w:color="auto" w:fill="auto"/>
          </w:tcPr>
          <w:p w14:paraId="4C2F1758" w14:textId="77777777" w:rsidR="00C61276" w:rsidRPr="00EB30C0" w:rsidRDefault="00C61276" w:rsidP="00B93868">
            <w:pPr>
              <w:tabs>
                <w:tab w:val="left" w:pos="1859"/>
              </w:tabs>
              <w:spacing w:before="120" w:after="120" w:line="240" w:lineRule="auto"/>
              <w:rPr>
                <w:rFonts w:cs="Arial"/>
                <w:szCs w:val="18"/>
              </w:rPr>
            </w:pPr>
            <w:r>
              <w:rPr>
                <w:highlight w:val="yellow"/>
              </w:rPr>
              <w:t>[Audit / Revue critique]</w:t>
            </w:r>
          </w:p>
        </w:tc>
      </w:tr>
      <w:tr w:rsidR="00C61276" w:rsidRPr="00573E72" w14:paraId="2499D02D" w14:textId="77777777" w:rsidTr="00EF0539">
        <w:tc>
          <w:tcPr>
            <w:tcW w:w="2694" w:type="dxa"/>
            <w:shd w:val="clear" w:color="auto" w:fill="auto"/>
          </w:tcPr>
          <w:p w14:paraId="0D307ECA" w14:textId="77777777" w:rsidR="00C61276" w:rsidRPr="00EB30C0" w:rsidRDefault="00C61276" w:rsidP="00B93868">
            <w:pPr>
              <w:tabs>
                <w:tab w:val="left" w:pos="1418"/>
              </w:tabs>
              <w:spacing w:before="120" w:after="120" w:line="240" w:lineRule="auto"/>
              <w:rPr>
                <w:rFonts w:cs="Arial"/>
                <w:b/>
              </w:rPr>
            </w:pPr>
            <w:r>
              <w:rPr>
                <w:b/>
              </w:rPr>
              <w:t>Bases légales</w:t>
            </w:r>
          </w:p>
          <w:p w14:paraId="187CD33E" w14:textId="77777777" w:rsidR="00C61276" w:rsidRPr="00EB30C0" w:rsidRDefault="00C61276" w:rsidP="00B93868">
            <w:pPr>
              <w:tabs>
                <w:tab w:val="left" w:pos="1418"/>
              </w:tabs>
              <w:spacing w:before="120" w:after="120" w:line="240" w:lineRule="auto"/>
              <w:rPr>
                <w:rFonts w:cs="Arial"/>
              </w:rPr>
            </w:pPr>
            <w:r>
              <w:t>(liste non exhaustive)</w:t>
            </w:r>
          </w:p>
        </w:tc>
        <w:tc>
          <w:tcPr>
            <w:tcW w:w="11701" w:type="dxa"/>
            <w:shd w:val="clear" w:color="auto" w:fill="auto"/>
          </w:tcPr>
          <w:p w14:paraId="07C0AC6C" w14:textId="77777777" w:rsidR="00C61276" w:rsidRPr="00EB30C0" w:rsidRDefault="00C61276" w:rsidP="00B93868">
            <w:pPr>
              <w:pStyle w:val="Listenabsatz"/>
              <w:numPr>
                <w:ilvl w:val="0"/>
                <w:numId w:val="8"/>
              </w:numPr>
              <w:tabs>
                <w:tab w:val="left" w:pos="740"/>
              </w:tabs>
              <w:spacing w:before="120" w:after="120" w:line="240" w:lineRule="auto"/>
              <w:rPr>
                <w:rFonts w:cs="Arial"/>
                <w:szCs w:val="20"/>
              </w:rPr>
            </w:pPr>
            <w:r>
              <w:t>Art. 11 de la loi fédérale sur les bourses et le commerce de valeurs mobilières (LBVM)</w:t>
            </w:r>
          </w:p>
          <w:p w14:paraId="05A355DF" w14:textId="77777777" w:rsidR="00C61276" w:rsidRPr="00EB30C0" w:rsidRDefault="00C61276" w:rsidP="00B93868">
            <w:pPr>
              <w:pStyle w:val="Listenabsatz"/>
              <w:numPr>
                <w:ilvl w:val="0"/>
                <w:numId w:val="8"/>
              </w:numPr>
              <w:tabs>
                <w:tab w:val="left" w:pos="740"/>
              </w:tabs>
              <w:spacing w:before="120" w:after="120" w:line="240" w:lineRule="auto"/>
              <w:rPr>
                <w:rFonts w:cs="Arial"/>
                <w:szCs w:val="20"/>
              </w:rPr>
            </w:pPr>
            <w:r>
              <w:t>Art. 5 al. 3 de la loi fédérale sur les placements collectifs de capitaux (LPCC)</w:t>
            </w:r>
          </w:p>
          <w:p w14:paraId="66220D0C" w14:textId="77777777" w:rsidR="00C61276" w:rsidRPr="00EB30C0" w:rsidRDefault="00C61276" w:rsidP="00B93868">
            <w:pPr>
              <w:pStyle w:val="Listenabsatz"/>
              <w:numPr>
                <w:ilvl w:val="0"/>
                <w:numId w:val="8"/>
              </w:numPr>
              <w:tabs>
                <w:tab w:val="left" w:pos="740"/>
              </w:tabs>
              <w:spacing w:before="120" w:after="120" w:line="240" w:lineRule="auto"/>
              <w:rPr>
                <w:rFonts w:cs="Arial"/>
                <w:szCs w:val="20"/>
              </w:rPr>
            </w:pPr>
            <w:r>
              <w:t>Art. 24 al. 1 et 3 LPCC</w:t>
            </w:r>
          </w:p>
          <w:p w14:paraId="435B78AD" w14:textId="77777777" w:rsidR="00C61276" w:rsidRPr="00EB30C0" w:rsidRDefault="00C61276" w:rsidP="00B93868">
            <w:pPr>
              <w:pStyle w:val="Listenabsatz"/>
              <w:numPr>
                <w:ilvl w:val="0"/>
                <w:numId w:val="8"/>
              </w:numPr>
              <w:tabs>
                <w:tab w:val="left" w:pos="740"/>
              </w:tabs>
              <w:spacing w:before="120" w:after="120" w:line="240" w:lineRule="auto"/>
              <w:rPr>
                <w:rFonts w:cs="Arial"/>
                <w:szCs w:val="20"/>
              </w:rPr>
            </w:pPr>
            <w:r>
              <w:t>Art. 34a de l'ordonnance sur les placements collectifs de capitaux (OPCC)</w:t>
            </w:r>
          </w:p>
          <w:p w14:paraId="27314D3B" w14:textId="77777777" w:rsidR="00C61276" w:rsidRPr="00EB30C0" w:rsidRDefault="00C61276" w:rsidP="00B93868">
            <w:pPr>
              <w:pStyle w:val="Listenabsatz"/>
              <w:numPr>
                <w:ilvl w:val="0"/>
                <w:numId w:val="8"/>
              </w:numPr>
              <w:tabs>
                <w:tab w:val="left" w:pos="740"/>
              </w:tabs>
              <w:spacing w:before="120" w:after="120" w:line="240" w:lineRule="auto"/>
              <w:rPr>
                <w:rFonts w:cs="Arial"/>
                <w:szCs w:val="20"/>
              </w:rPr>
            </w:pPr>
            <w:r>
              <w:t>Art. 12 de l'ordonnance sur les banques (OB)</w:t>
            </w:r>
          </w:p>
          <w:p w14:paraId="296C95BE" w14:textId="77777777" w:rsidR="00C61276" w:rsidRPr="00EB30C0" w:rsidRDefault="00C61276" w:rsidP="00B93868">
            <w:pPr>
              <w:pStyle w:val="Listenabsatz"/>
              <w:numPr>
                <w:ilvl w:val="0"/>
                <w:numId w:val="8"/>
              </w:numPr>
              <w:tabs>
                <w:tab w:val="left" w:pos="740"/>
              </w:tabs>
              <w:spacing w:before="120" w:after="120" w:line="240" w:lineRule="auto"/>
              <w:rPr>
                <w:rFonts w:cs="Arial"/>
                <w:szCs w:val="20"/>
              </w:rPr>
            </w:pPr>
            <w:r>
              <w:t xml:space="preserve">Circulaire </w:t>
            </w:r>
            <w:r w:rsidR="00BF3715">
              <w:t xml:space="preserve">FINMA </w:t>
            </w:r>
            <w:r>
              <w:t xml:space="preserve">2010/2 « Repo/SLB » </w:t>
            </w:r>
          </w:p>
          <w:p w14:paraId="45B97489" w14:textId="77777777" w:rsidR="00C61276" w:rsidRPr="00EB30C0" w:rsidRDefault="00C61276" w:rsidP="00B93868">
            <w:pPr>
              <w:pStyle w:val="Listenabsatz"/>
              <w:numPr>
                <w:ilvl w:val="0"/>
                <w:numId w:val="8"/>
              </w:numPr>
              <w:tabs>
                <w:tab w:val="left" w:pos="740"/>
              </w:tabs>
              <w:spacing w:before="120" w:after="120" w:line="240" w:lineRule="auto"/>
              <w:rPr>
                <w:rFonts w:cs="Arial"/>
                <w:szCs w:val="20"/>
              </w:rPr>
            </w:pPr>
            <w:r>
              <w:t xml:space="preserve">Circulaire </w:t>
            </w:r>
            <w:r w:rsidR="00BF3715">
              <w:t xml:space="preserve">FINMA </w:t>
            </w:r>
            <w:r>
              <w:t xml:space="preserve">2013/9 « Distribution de placements collectifs de capitaux » </w:t>
            </w:r>
          </w:p>
          <w:p w14:paraId="76B895CA" w14:textId="77777777" w:rsidR="00C61276" w:rsidRPr="00EB30C0" w:rsidRDefault="00C61276" w:rsidP="00B93868">
            <w:pPr>
              <w:pStyle w:val="Listenabsatz"/>
              <w:numPr>
                <w:ilvl w:val="0"/>
                <w:numId w:val="8"/>
              </w:numPr>
              <w:tabs>
                <w:tab w:val="left" w:pos="740"/>
              </w:tabs>
              <w:spacing w:before="120" w:after="120" w:line="240" w:lineRule="auto"/>
              <w:rPr>
                <w:rFonts w:cs="Arial"/>
                <w:szCs w:val="20"/>
              </w:rPr>
            </w:pPr>
            <w:r>
              <w:t>Normes d'autorégulation reconnues comme standards minimaux telles que décrites dans la circulaire 08/10 de la FINMA, comprenant :</w:t>
            </w:r>
          </w:p>
          <w:p w14:paraId="22576769" w14:textId="77777777" w:rsidR="00C61276" w:rsidRPr="00EB30C0" w:rsidRDefault="00C61276" w:rsidP="00B93868">
            <w:pPr>
              <w:pStyle w:val="Listenabsatz"/>
              <w:numPr>
                <w:ilvl w:val="0"/>
                <w:numId w:val="9"/>
              </w:numPr>
              <w:tabs>
                <w:tab w:val="left" w:pos="1024"/>
              </w:tabs>
              <w:spacing w:before="120" w:after="120" w:line="240" w:lineRule="auto"/>
              <w:rPr>
                <w:rFonts w:cs="Arial"/>
                <w:szCs w:val="20"/>
              </w:rPr>
            </w:pPr>
            <w:r>
              <w:t xml:space="preserve">les directives </w:t>
            </w:r>
            <w:r w:rsidR="006A78F1">
              <w:t>de l'Association suisse des banquiers</w:t>
            </w:r>
            <w:r>
              <w:t xml:space="preserve"> concernant le mandat de gestion de fortune, 6 novembre 2013</w:t>
            </w:r>
          </w:p>
          <w:p w14:paraId="0E26F8E5" w14:textId="77777777" w:rsidR="00C61276" w:rsidRPr="00EB30C0" w:rsidRDefault="00C61276" w:rsidP="00B93868">
            <w:pPr>
              <w:pStyle w:val="Listenabsatz"/>
              <w:numPr>
                <w:ilvl w:val="0"/>
                <w:numId w:val="9"/>
              </w:numPr>
              <w:tabs>
                <w:tab w:val="left" w:pos="1024"/>
              </w:tabs>
              <w:spacing w:before="120" w:after="120" w:line="240" w:lineRule="auto"/>
              <w:rPr>
                <w:rFonts w:cs="Arial"/>
                <w:szCs w:val="20"/>
              </w:rPr>
            </w:pPr>
            <w:r>
              <w:rPr>
                <w:color w:val="000000"/>
              </w:rPr>
              <w:t xml:space="preserve">les directives </w:t>
            </w:r>
            <w:r w:rsidR="006A78F1">
              <w:rPr>
                <w:color w:val="000000"/>
              </w:rPr>
              <w:t>de l'Association suisse des banquiers</w:t>
            </w:r>
            <w:r>
              <w:rPr>
                <w:color w:val="000000"/>
              </w:rPr>
              <w:t xml:space="preserve"> concernant l'information des investisseurs sur les produits structurés, septembre 2014</w:t>
            </w:r>
          </w:p>
          <w:p w14:paraId="08272331" w14:textId="77777777" w:rsidR="00C61276" w:rsidRPr="00EB30C0" w:rsidRDefault="00C61276" w:rsidP="00B93868">
            <w:pPr>
              <w:pStyle w:val="Listenabsatz"/>
              <w:numPr>
                <w:ilvl w:val="0"/>
                <w:numId w:val="9"/>
              </w:numPr>
              <w:tabs>
                <w:tab w:val="left" w:pos="1024"/>
              </w:tabs>
              <w:spacing w:before="120" w:after="120" w:line="240" w:lineRule="auto"/>
              <w:rPr>
                <w:rFonts w:cs="Arial"/>
                <w:szCs w:val="20"/>
              </w:rPr>
            </w:pPr>
            <w:r>
              <w:t xml:space="preserve">les règles de conduite de </w:t>
            </w:r>
            <w:r w:rsidR="006A78F1">
              <w:t xml:space="preserve">l'Association suisse des banquiers </w:t>
            </w:r>
            <w:r>
              <w:t>pour négociants en valeurs mobilières / applicables à l'exécution d'opérations sur titres, 22 octobre 2008 (« meilleure exécution »)</w:t>
            </w:r>
          </w:p>
          <w:p w14:paraId="607DB28A" w14:textId="77777777" w:rsidR="00C61276" w:rsidRPr="00EB30C0" w:rsidRDefault="00C61276" w:rsidP="00B93868">
            <w:pPr>
              <w:pStyle w:val="Listenabsatz"/>
              <w:numPr>
                <w:ilvl w:val="0"/>
                <w:numId w:val="9"/>
              </w:numPr>
              <w:tabs>
                <w:tab w:val="left" w:pos="1024"/>
              </w:tabs>
              <w:spacing w:before="120" w:after="120" w:line="240" w:lineRule="auto"/>
              <w:rPr>
                <w:rFonts w:cs="Arial"/>
                <w:szCs w:val="20"/>
              </w:rPr>
            </w:pPr>
            <w:r>
              <w:t xml:space="preserve">les directives de </w:t>
            </w:r>
            <w:r w:rsidR="006A78F1">
              <w:t xml:space="preserve">l'Association suisse des banquiers </w:t>
            </w:r>
            <w:r>
              <w:t>relatives à l'obligation d'inventaire selon l'art. 24, al. 3, LPCC</w:t>
            </w:r>
          </w:p>
          <w:p w14:paraId="51374A9F" w14:textId="77777777" w:rsidR="00C61276" w:rsidRPr="00EB30C0" w:rsidRDefault="00C61276" w:rsidP="00B93868">
            <w:pPr>
              <w:pStyle w:val="Listenabsatz"/>
              <w:numPr>
                <w:ilvl w:val="0"/>
                <w:numId w:val="9"/>
              </w:numPr>
              <w:tabs>
                <w:tab w:val="left" w:pos="1024"/>
              </w:tabs>
              <w:spacing w:before="120" w:after="120" w:line="240" w:lineRule="auto"/>
              <w:rPr>
                <w:rFonts w:cs="Arial"/>
                <w:szCs w:val="20"/>
              </w:rPr>
            </w:pPr>
            <w:r>
              <w:t>la directive de la SFAMA pour la distribution de placements collectifs de capitaux du 22 mai 2014 en relation avec la directive de la SFAMA sur la transparence du 22 mai 2014</w:t>
            </w:r>
          </w:p>
          <w:p w14:paraId="5136A494" w14:textId="77777777" w:rsidR="00C61276" w:rsidRPr="00EB30C0" w:rsidRDefault="00C61276" w:rsidP="00B93868">
            <w:pPr>
              <w:pStyle w:val="Listenabsatz"/>
              <w:numPr>
                <w:ilvl w:val="0"/>
                <w:numId w:val="9"/>
              </w:numPr>
              <w:tabs>
                <w:tab w:val="left" w:pos="1024"/>
              </w:tabs>
              <w:spacing w:before="120" w:after="120" w:line="240" w:lineRule="auto"/>
              <w:rPr>
                <w:rFonts w:cs="Arial"/>
                <w:szCs w:val="20"/>
              </w:rPr>
            </w:pPr>
            <w:r>
              <w:t>les règles de conduite SFAMA du 7 octobre 2014</w:t>
            </w:r>
          </w:p>
          <w:p w14:paraId="3854B468" w14:textId="77777777" w:rsidR="00363C7A" w:rsidRPr="0048295D" w:rsidRDefault="00C61276" w:rsidP="00727481">
            <w:pPr>
              <w:spacing w:before="120" w:after="120" w:line="240" w:lineRule="auto"/>
              <w:rPr>
                <w:i/>
              </w:rPr>
            </w:pPr>
            <w:r>
              <w:rPr>
                <w:i/>
              </w:rPr>
              <w:t xml:space="preserve">Ces règlementations sont </w:t>
            </w:r>
            <w:bookmarkStart w:id="1" w:name="_GoBack"/>
            <w:bookmarkEnd w:id="1"/>
            <w:r>
              <w:rPr>
                <w:i/>
              </w:rPr>
              <w:t xml:space="preserve">à observer </w:t>
            </w:r>
            <w:r w:rsidR="00740752">
              <w:rPr>
                <w:i/>
              </w:rPr>
              <w:t>de concert</w:t>
            </w:r>
            <w:r>
              <w:rPr>
                <w:i/>
              </w:rPr>
              <w:t xml:space="preserve"> avec les obligations légales générales pour </w:t>
            </w:r>
            <w:r w:rsidR="00740752">
              <w:rPr>
                <w:i/>
              </w:rPr>
              <w:t xml:space="preserve">une </w:t>
            </w:r>
            <w:r>
              <w:rPr>
                <w:i/>
              </w:rPr>
              <w:t>organisation ad</w:t>
            </w:r>
            <w:r w:rsidR="0048295D">
              <w:rPr>
                <w:i/>
              </w:rPr>
              <w:t>équate</w:t>
            </w:r>
            <w:r w:rsidR="0059087C">
              <w:rPr>
                <w:i/>
              </w:rPr>
              <w:t xml:space="preserve"> (« opérations »)</w:t>
            </w:r>
            <w:r w:rsidR="0048295D">
              <w:rPr>
                <w:i/>
              </w:rPr>
              <w:t xml:space="preserve">, </w:t>
            </w:r>
            <w:r>
              <w:rPr>
                <w:i/>
              </w:rPr>
              <w:t xml:space="preserve">les critères pour garantir une activité irréprochable et la circulaire FINMA </w:t>
            </w:r>
            <w:r w:rsidR="00BF3715">
              <w:rPr>
                <w:i/>
              </w:rPr>
              <w:t>2017/01 "Gouvernance d'entreprise"</w:t>
            </w:r>
            <w:r w:rsidR="009760D1" w:rsidRPr="006C1090">
              <w:rPr>
                <w:i/>
              </w:rPr>
              <w:t>.</w:t>
            </w:r>
          </w:p>
        </w:tc>
      </w:tr>
      <w:tr w:rsidR="00C61276" w:rsidRPr="00573E72" w14:paraId="02D92C62" w14:textId="77777777" w:rsidTr="00EF0539">
        <w:tc>
          <w:tcPr>
            <w:tcW w:w="2694" w:type="dxa"/>
            <w:shd w:val="clear" w:color="auto" w:fill="auto"/>
          </w:tcPr>
          <w:p w14:paraId="3BD41262" w14:textId="77777777" w:rsidR="00C61276" w:rsidRPr="00EB30C0" w:rsidRDefault="00C61276" w:rsidP="00B93868">
            <w:pPr>
              <w:tabs>
                <w:tab w:val="left" w:pos="1418"/>
              </w:tabs>
              <w:spacing w:before="120" w:after="120" w:line="240" w:lineRule="auto"/>
              <w:rPr>
                <w:rFonts w:cs="Arial"/>
                <w:color w:val="222222"/>
              </w:rPr>
            </w:pPr>
            <w:r>
              <w:rPr>
                <w:color w:val="222222"/>
              </w:rPr>
              <w:lastRenderedPageBreak/>
              <w:t>Suitability</w:t>
            </w:r>
          </w:p>
        </w:tc>
        <w:tc>
          <w:tcPr>
            <w:tcW w:w="11701" w:type="dxa"/>
            <w:shd w:val="clear" w:color="auto" w:fill="auto"/>
          </w:tcPr>
          <w:p w14:paraId="51D210BE" w14:textId="77777777" w:rsidR="00C61276" w:rsidRPr="00EB30C0" w:rsidRDefault="00C61276" w:rsidP="00B93868">
            <w:pPr>
              <w:tabs>
                <w:tab w:val="left" w:pos="33"/>
              </w:tabs>
              <w:spacing w:before="120" w:after="120" w:line="240" w:lineRule="auto"/>
              <w:rPr>
                <w:rFonts w:cs="Arial"/>
              </w:rPr>
            </w:pPr>
            <w:r>
              <w:t>Respect des règles de conduite pour la gestion de fortune individuelle, les services de conseil en placement, l'exécution de transactions et la distribution de placements collectifs de capitaux.</w:t>
            </w:r>
          </w:p>
        </w:tc>
      </w:tr>
      <w:tr w:rsidR="00C61276" w:rsidRPr="00573E72" w14:paraId="42AA72AC" w14:textId="77777777" w:rsidTr="00EF0539">
        <w:tc>
          <w:tcPr>
            <w:tcW w:w="2694" w:type="dxa"/>
            <w:shd w:val="clear" w:color="auto" w:fill="auto"/>
          </w:tcPr>
          <w:p w14:paraId="60885988" w14:textId="77777777" w:rsidR="00C61276" w:rsidRPr="00EB30C0" w:rsidRDefault="00C61276" w:rsidP="00B93868">
            <w:pPr>
              <w:tabs>
                <w:tab w:val="left" w:pos="1418"/>
              </w:tabs>
              <w:spacing w:before="120" w:after="120" w:line="240" w:lineRule="auto"/>
              <w:rPr>
                <w:rFonts w:cs="Arial"/>
                <w:b/>
              </w:rPr>
            </w:pPr>
            <w:r>
              <w:rPr>
                <w:color w:val="222222"/>
              </w:rPr>
              <w:t>Sources potentielles de risque associées au respect des règles de conduite</w:t>
            </w:r>
            <w:r>
              <w:rPr>
                <w:rFonts w:cs="Arial"/>
                <w:color w:val="222222"/>
              </w:rPr>
              <w:br/>
            </w:r>
            <w:r>
              <w:rPr>
                <w:color w:val="222222"/>
              </w:rPr>
              <w:t xml:space="preserve">(risques de </w:t>
            </w:r>
            <w:r>
              <w:rPr>
                <w:i/>
                <w:color w:val="222222"/>
              </w:rPr>
              <w:t>suitability</w:t>
            </w:r>
            <w:r>
              <w:rPr>
                <w:color w:val="222222"/>
              </w:rPr>
              <w:t>)</w:t>
            </w:r>
          </w:p>
        </w:tc>
        <w:tc>
          <w:tcPr>
            <w:tcW w:w="11701" w:type="dxa"/>
            <w:shd w:val="clear" w:color="auto" w:fill="auto"/>
          </w:tcPr>
          <w:p w14:paraId="69DF9D82" w14:textId="77777777" w:rsidR="00C61276" w:rsidRPr="00EB30C0" w:rsidRDefault="00C61276" w:rsidP="00102334">
            <w:pPr>
              <w:tabs>
                <w:tab w:val="left" w:pos="33"/>
              </w:tabs>
              <w:spacing w:before="120" w:after="120" w:line="240" w:lineRule="auto"/>
              <w:rPr>
                <w:rFonts w:cs="Arial"/>
              </w:rPr>
            </w:pPr>
            <w:r>
              <w:t xml:space="preserve">Par ex. objectifs de vente, rémunérations, rétrocessions, différences entre profil de risque du client et profil de risque du portefeuille, information et documentation sur les risques, risques de concentration, segmentation des clients, meilleure exécution, prêt et emprunt de titres, distribution d'instruments financiers, participation à des formations, systèmes </w:t>
            </w:r>
            <w:r w:rsidR="00102334">
              <w:t xml:space="preserve">de </w:t>
            </w:r>
            <w:r w:rsidR="00102334" w:rsidRPr="00175D65">
              <w:rPr>
                <w:i/>
              </w:rPr>
              <w:t>suitability</w:t>
            </w:r>
            <w:r>
              <w:t xml:space="preserve">, information sur le produit, réclamations des clients et leur traitement, modifications réglementaires affectant la </w:t>
            </w:r>
            <w:r>
              <w:rPr>
                <w:i/>
              </w:rPr>
              <w:t>suitability</w:t>
            </w:r>
            <w:r>
              <w:t>, etc.</w:t>
            </w:r>
          </w:p>
        </w:tc>
      </w:tr>
      <w:tr w:rsidR="00C61276" w:rsidRPr="00EB30C0" w14:paraId="26E33DEE" w14:textId="77777777" w:rsidTr="00EF0539">
        <w:trPr>
          <w:trHeight w:val="2160"/>
        </w:trPr>
        <w:tc>
          <w:tcPr>
            <w:tcW w:w="2694" w:type="dxa"/>
            <w:shd w:val="clear" w:color="auto" w:fill="auto"/>
          </w:tcPr>
          <w:p w14:paraId="1FFE0049" w14:textId="77777777" w:rsidR="00C61276" w:rsidRDefault="00C61276" w:rsidP="00B93868">
            <w:pPr>
              <w:tabs>
                <w:tab w:val="left" w:pos="1418"/>
              </w:tabs>
              <w:spacing w:before="120" w:after="120" w:line="240" w:lineRule="auto"/>
              <w:rPr>
                <w:rFonts w:cs="Arial"/>
                <w:b/>
              </w:rPr>
            </w:pPr>
            <w:r>
              <w:rPr>
                <w:b/>
              </w:rPr>
              <w:t>Visas :</w:t>
            </w:r>
          </w:p>
          <w:p w14:paraId="6E5DB527" w14:textId="77777777" w:rsidR="008727E7" w:rsidRDefault="008727E7" w:rsidP="00B93868">
            <w:pPr>
              <w:tabs>
                <w:tab w:val="left" w:pos="1418"/>
              </w:tabs>
              <w:spacing w:before="120" w:after="120" w:line="240" w:lineRule="auto"/>
              <w:rPr>
                <w:rFonts w:cs="Arial"/>
                <w:b/>
              </w:rPr>
            </w:pPr>
          </w:p>
          <w:p w14:paraId="1BFB81B2" w14:textId="77777777" w:rsidR="008727E7" w:rsidRDefault="008727E7" w:rsidP="00B93868">
            <w:pPr>
              <w:tabs>
                <w:tab w:val="left" w:pos="1418"/>
              </w:tabs>
              <w:spacing w:before="120" w:after="120" w:line="240" w:lineRule="auto"/>
              <w:rPr>
                <w:rFonts w:cs="Arial"/>
                <w:b/>
              </w:rPr>
            </w:pPr>
          </w:p>
          <w:p w14:paraId="1AAB4C21" w14:textId="77777777" w:rsidR="008727E7" w:rsidRDefault="008727E7" w:rsidP="00B93868">
            <w:pPr>
              <w:tabs>
                <w:tab w:val="left" w:pos="1418"/>
              </w:tabs>
              <w:spacing w:before="120" w:after="120" w:line="240" w:lineRule="auto"/>
              <w:rPr>
                <w:rFonts w:cs="Arial"/>
                <w:b/>
              </w:rPr>
            </w:pPr>
          </w:p>
          <w:p w14:paraId="389445E3" w14:textId="77777777" w:rsidR="008727E7" w:rsidRDefault="008727E7" w:rsidP="00B93868">
            <w:pPr>
              <w:tabs>
                <w:tab w:val="left" w:pos="1418"/>
              </w:tabs>
              <w:spacing w:before="120" w:after="120" w:line="240" w:lineRule="auto"/>
              <w:rPr>
                <w:rFonts w:cs="Arial"/>
                <w:b/>
              </w:rPr>
            </w:pPr>
          </w:p>
          <w:p w14:paraId="2B49DC46" w14:textId="77777777" w:rsidR="008727E7" w:rsidRPr="008727E7" w:rsidRDefault="008727E7" w:rsidP="00B93868">
            <w:pPr>
              <w:tabs>
                <w:tab w:val="left" w:pos="1418"/>
              </w:tabs>
              <w:spacing w:before="120" w:after="120" w:line="240" w:lineRule="auto"/>
              <w:rPr>
                <w:rFonts w:cs="Arial"/>
                <w:b/>
                <w:sz w:val="32"/>
                <w:szCs w:val="32"/>
              </w:rPr>
            </w:pPr>
          </w:p>
        </w:tc>
        <w:tc>
          <w:tcPr>
            <w:tcW w:w="11701" w:type="dxa"/>
            <w:shd w:val="clear" w:color="auto" w:fill="auto"/>
          </w:tcPr>
          <w:p w14:paraId="4B9435DB" w14:textId="77777777" w:rsidR="00C61276" w:rsidRPr="00EB30C0" w:rsidRDefault="00C61276" w:rsidP="00B93868">
            <w:pPr>
              <w:tabs>
                <w:tab w:val="left" w:pos="1859"/>
              </w:tabs>
              <w:spacing w:before="120" w:after="120" w:line="240" w:lineRule="auto"/>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3685"/>
              <w:gridCol w:w="3544"/>
              <w:gridCol w:w="2228"/>
            </w:tblGrid>
            <w:tr w:rsidR="00C61276" w:rsidRPr="00EB30C0" w14:paraId="556A1FA1" w14:textId="77777777" w:rsidTr="00EF0539">
              <w:tc>
                <w:tcPr>
                  <w:tcW w:w="2013" w:type="dxa"/>
                  <w:shd w:val="clear" w:color="auto" w:fill="D9D9D9"/>
                </w:tcPr>
                <w:p w14:paraId="0FE2F6E4" w14:textId="77777777" w:rsidR="00C61276" w:rsidRPr="00EB30C0" w:rsidRDefault="00C61276" w:rsidP="00B93868">
                  <w:pPr>
                    <w:tabs>
                      <w:tab w:val="left" w:pos="1859"/>
                    </w:tabs>
                    <w:spacing w:before="120" w:after="120" w:line="240" w:lineRule="auto"/>
                    <w:rPr>
                      <w:rFonts w:cs="Arial"/>
                      <w:b/>
                      <w:sz w:val="18"/>
                      <w:szCs w:val="18"/>
                    </w:rPr>
                  </w:pPr>
                  <w:r>
                    <w:rPr>
                      <w:b/>
                      <w:sz w:val="18"/>
                    </w:rPr>
                    <w:t>Visas :</w:t>
                  </w:r>
                </w:p>
              </w:tc>
              <w:tc>
                <w:tcPr>
                  <w:tcW w:w="3685" w:type="dxa"/>
                  <w:shd w:val="clear" w:color="auto" w:fill="D9D9D9"/>
                </w:tcPr>
                <w:p w14:paraId="112644A0" w14:textId="77777777" w:rsidR="00C61276" w:rsidRPr="00EB30C0" w:rsidRDefault="00C61276" w:rsidP="00B93868">
                  <w:pPr>
                    <w:tabs>
                      <w:tab w:val="left" w:pos="1859"/>
                    </w:tabs>
                    <w:spacing w:before="120" w:after="120" w:line="240" w:lineRule="auto"/>
                    <w:jc w:val="center"/>
                    <w:rPr>
                      <w:rFonts w:cs="Arial"/>
                      <w:b/>
                      <w:sz w:val="18"/>
                      <w:szCs w:val="18"/>
                    </w:rPr>
                  </w:pPr>
                  <w:r>
                    <w:rPr>
                      <w:b/>
                      <w:sz w:val="18"/>
                    </w:rPr>
                    <w:t>Nom</w:t>
                  </w:r>
                </w:p>
              </w:tc>
              <w:tc>
                <w:tcPr>
                  <w:tcW w:w="3544" w:type="dxa"/>
                  <w:shd w:val="clear" w:color="auto" w:fill="D9D9D9"/>
                </w:tcPr>
                <w:p w14:paraId="04235FA8" w14:textId="77777777" w:rsidR="00C61276" w:rsidRPr="00EB30C0" w:rsidRDefault="00C61276" w:rsidP="00B93868">
                  <w:pPr>
                    <w:tabs>
                      <w:tab w:val="left" w:pos="1859"/>
                    </w:tabs>
                    <w:spacing w:before="120" w:after="120" w:line="240" w:lineRule="auto"/>
                    <w:jc w:val="center"/>
                    <w:rPr>
                      <w:rFonts w:cs="Arial"/>
                      <w:b/>
                      <w:sz w:val="18"/>
                      <w:szCs w:val="18"/>
                    </w:rPr>
                  </w:pPr>
                  <w:r>
                    <w:rPr>
                      <w:b/>
                      <w:sz w:val="18"/>
                    </w:rPr>
                    <w:t>Fonction</w:t>
                  </w:r>
                </w:p>
              </w:tc>
              <w:tc>
                <w:tcPr>
                  <w:tcW w:w="2228" w:type="dxa"/>
                  <w:shd w:val="clear" w:color="auto" w:fill="D9D9D9"/>
                </w:tcPr>
                <w:p w14:paraId="5C1965FA" w14:textId="77777777" w:rsidR="00C61276" w:rsidRPr="00EB30C0" w:rsidRDefault="00C61276" w:rsidP="00B93868">
                  <w:pPr>
                    <w:tabs>
                      <w:tab w:val="left" w:pos="1859"/>
                    </w:tabs>
                    <w:spacing w:before="120" w:after="120" w:line="240" w:lineRule="auto"/>
                    <w:jc w:val="center"/>
                    <w:rPr>
                      <w:rFonts w:cs="Arial"/>
                      <w:b/>
                      <w:sz w:val="18"/>
                      <w:szCs w:val="18"/>
                    </w:rPr>
                  </w:pPr>
                  <w:r>
                    <w:rPr>
                      <w:b/>
                      <w:sz w:val="18"/>
                    </w:rPr>
                    <w:t>Date</w:t>
                  </w:r>
                </w:p>
              </w:tc>
            </w:tr>
            <w:tr w:rsidR="00C61276" w:rsidRPr="00EB30C0" w14:paraId="735E3080" w14:textId="77777777" w:rsidTr="00EF0539">
              <w:tc>
                <w:tcPr>
                  <w:tcW w:w="2013" w:type="dxa"/>
                  <w:shd w:val="clear" w:color="auto" w:fill="auto"/>
                </w:tcPr>
                <w:p w14:paraId="634C4E56" w14:textId="77777777" w:rsidR="00C61276" w:rsidRPr="00EB30C0" w:rsidRDefault="00C61276" w:rsidP="00B93868">
                  <w:pPr>
                    <w:tabs>
                      <w:tab w:val="left" w:pos="1859"/>
                    </w:tabs>
                    <w:spacing w:before="120" w:after="120" w:line="240" w:lineRule="auto"/>
                    <w:rPr>
                      <w:rFonts w:cs="Arial"/>
                      <w:sz w:val="18"/>
                      <w:szCs w:val="18"/>
                    </w:rPr>
                  </w:pPr>
                  <w:r>
                    <w:rPr>
                      <w:sz w:val="18"/>
                    </w:rPr>
                    <w:t xml:space="preserve">Préparateur : </w:t>
                  </w:r>
                </w:p>
              </w:tc>
              <w:tc>
                <w:tcPr>
                  <w:tcW w:w="3685" w:type="dxa"/>
                  <w:shd w:val="clear" w:color="auto" w:fill="auto"/>
                </w:tcPr>
                <w:p w14:paraId="016613D6" w14:textId="77777777" w:rsidR="00C61276" w:rsidRPr="00EB30C0" w:rsidRDefault="00C61276" w:rsidP="00B93868">
                  <w:pPr>
                    <w:tabs>
                      <w:tab w:val="left" w:pos="1859"/>
                    </w:tabs>
                    <w:spacing w:before="120" w:after="120" w:line="240" w:lineRule="auto"/>
                    <w:jc w:val="center"/>
                    <w:rPr>
                      <w:rFonts w:cs="Arial"/>
                      <w:sz w:val="18"/>
                      <w:szCs w:val="18"/>
                    </w:rPr>
                  </w:pPr>
                  <w:r>
                    <w:rPr>
                      <w:sz w:val="18"/>
                      <w:highlight w:val="yellow"/>
                    </w:rPr>
                    <w:t>[Nom]</w:t>
                  </w:r>
                </w:p>
              </w:tc>
              <w:tc>
                <w:tcPr>
                  <w:tcW w:w="3544" w:type="dxa"/>
                  <w:shd w:val="clear" w:color="auto" w:fill="auto"/>
                </w:tcPr>
                <w:p w14:paraId="44139D02" w14:textId="77777777" w:rsidR="00C61276" w:rsidRPr="00EB30C0" w:rsidRDefault="00C61276" w:rsidP="00AC14A2">
                  <w:pPr>
                    <w:tabs>
                      <w:tab w:val="left" w:pos="1859"/>
                    </w:tabs>
                    <w:spacing w:before="120" w:after="120" w:line="240" w:lineRule="auto"/>
                    <w:jc w:val="center"/>
                    <w:rPr>
                      <w:rFonts w:cs="Arial"/>
                      <w:sz w:val="18"/>
                      <w:szCs w:val="18"/>
                    </w:rPr>
                  </w:pPr>
                  <w:r>
                    <w:rPr>
                      <w:sz w:val="18"/>
                      <w:highlight w:val="yellow"/>
                    </w:rPr>
                    <w:t xml:space="preserve">[Assistant / Senior / Manager </w:t>
                  </w:r>
                  <w:r>
                    <w:rPr>
                      <w:rFonts w:cs="Arial"/>
                      <w:sz w:val="18"/>
                      <w:szCs w:val="18"/>
                      <w:highlight w:val="yellow"/>
                    </w:rPr>
                    <w:br/>
                  </w:r>
                  <w:r>
                    <w:rPr>
                      <w:sz w:val="18"/>
                      <w:highlight w:val="yellow"/>
                    </w:rPr>
                    <w:t xml:space="preserve">Senior Manager / </w:t>
                  </w:r>
                  <w:r w:rsidR="00AC14A2">
                    <w:rPr>
                      <w:sz w:val="18"/>
                      <w:highlight w:val="yellow"/>
                    </w:rPr>
                    <w:t>Partner</w:t>
                  </w:r>
                  <w:r>
                    <w:rPr>
                      <w:sz w:val="18"/>
                      <w:highlight w:val="yellow"/>
                    </w:rPr>
                    <w:t>]</w:t>
                  </w:r>
                </w:p>
              </w:tc>
              <w:tc>
                <w:tcPr>
                  <w:tcW w:w="2228" w:type="dxa"/>
                  <w:shd w:val="clear" w:color="auto" w:fill="auto"/>
                </w:tcPr>
                <w:p w14:paraId="3F7B2C45" w14:textId="77777777" w:rsidR="00C61276" w:rsidRPr="00EB30C0" w:rsidRDefault="00C61276" w:rsidP="00B93868">
                  <w:pPr>
                    <w:tabs>
                      <w:tab w:val="left" w:pos="1859"/>
                    </w:tabs>
                    <w:spacing w:before="120" w:after="120" w:line="240" w:lineRule="auto"/>
                    <w:jc w:val="center"/>
                    <w:rPr>
                      <w:rFonts w:cs="Arial"/>
                      <w:sz w:val="18"/>
                      <w:szCs w:val="18"/>
                    </w:rPr>
                  </w:pPr>
                  <w:r>
                    <w:rPr>
                      <w:sz w:val="18"/>
                      <w:highlight w:val="yellow"/>
                    </w:rPr>
                    <w:t>[DD MM YYYY]</w:t>
                  </w:r>
                </w:p>
              </w:tc>
            </w:tr>
            <w:tr w:rsidR="00C61276" w:rsidRPr="00EB30C0" w14:paraId="4A417D97" w14:textId="77777777" w:rsidTr="00EF0539">
              <w:tc>
                <w:tcPr>
                  <w:tcW w:w="2013" w:type="dxa"/>
                  <w:shd w:val="clear" w:color="auto" w:fill="auto"/>
                </w:tcPr>
                <w:p w14:paraId="7F778BBE" w14:textId="77777777" w:rsidR="00C61276" w:rsidRPr="00EB30C0" w:rsidRDefault="00C61276" w:rsidP="00B93868">
                  <w:pPr>
                    <w:tabs>
                      <w:tab w:val="left" w:pos="1859"/>
                    </w:tabs>
                    <w:spacing w:before="120" w:after="120" w:line="240" w:lineRule="auto"/>
                    <w:rPr>
                      <w:rFonts w:cs="Arial"/>
                      <w:sz w:val="18"/>
                      <w:szCs w:val="18"/>
                    </w:rPr>
                  </w:pPr>
                  <w:r>
                    <w:rPr>
                      <w:sz w:val="18"/>
                    </w:rPr>
                    <w:t>Reviewer :</w:t>
                  </w:r>
                </w:p>
              </w:tc>
              <w:tc>
                <w:tcPr>
                  <w:tcW w:w="3685" w:type="dxa"/>
                  <w:shd w:val="clear" w:color="auto" w:fill="auto"/>
                </w:tcPr>
                <w:p w14:paraId="2838F1EF" w14:textId="77777777" w:rsidR="00C61276" w:rsidRPr="00EB30C0" w:rsidRDefault="00C61276" w:rsidP="00B93868">
                  <w:pPr>
                    <w:tabs>
                      <w:tab w:val="left" w:pos="1859"/>
                    </w:tabs>
                    <w:spacing w:before="120" w:after="120" w:line="240" w:lineRule="auto"/>
                    <w:jc w:val="center"/>
                    <w:rPr>
                      <w:rFonts w:cs="Arial"/>
                      <w:sz w:val="18"/>
                      <w:szCs w:val="18"/>
                      <w:highlight w:val="yellow"/>
                    </w:rPr>
                  </w:pPr>
                  <w:r>
                    <w:rPr>
                      <w:sz w:val="18"/>
                      <w:highlight w:val="yellow"/>
                    </w:rPr>
                    <w:t>[Nom]</w:t>
                  </w:r>
                </w:p>
              </w:tc>
              <w:tc>
                <w:tcPr>
                  <w:tcW w:w="3544" w:type="dxa"/>
                  <w:shd w:val="clear" w:color="auto" w:fill="auto"/>
                </w:tcPr>
                <w:p w14:paraId="2BA625AF" w14:textId="77777777" w:rsidR="00C61276" w:rsidRPr="00EB30C0" w:rsidRDefault="00C61276" w:rsidP="00AC14A2">
                  <w:pPr>
                    <w:tabs>
                      <w:tab w:val="left" w:pos="1859"/>
                    </w:tabs>
                    <w:spacing w:before="120" w:after="120" w:line="240" w:lineRule="auto"/>
                    <w:jc w:val="center"/>
                    <w:rPr>
                      <w:rFonts w:cs="Arial"/>
                      <w:sz w:val="18"/>
                      <w:szCs w:val="18"/>
                      <w:highlight w:val="yellow"/>
                    </w:rPr>
                  </w:pPr>
                  <w:r>
                    <w:rPr>
                      <w:sz w:val="18"/>
                      <w:highlight w:val="yellow"/>
                    </w:rPr>
                    <w:t xml:space="preserve">[Senior / Manager </w:t>
                  </w:r>
                  <w:r>
                    <w:rPr>
                      <w:rFonts w:cs="Arial"/>
                      <w:sz w:val="18"/>
                      <w:szCs w:val="18"/>
                      <w:highlight w:val="yellow"/>
                    </w:rPr>
                    <w:br/>
                  </w:r>
                  <w:r>
                    <w:rPr>
                      <w:sz w:val="18"/>
                      <w:highlight w:val="yellow"/>
                    </w:rPr>
                    <w:t xml:space="preserve">Senior Manager / </w:t>
                  </w:r>
                  <w:r w:rsidR="00AC14A2">
                    <w:rPr>
                      <w:sz w:val="18"/>
                      <w:highlight w:val="yellow"/>
                    </w:rPr>
                    <w:t>Partner</w:t>
                  </w:r>
                  <w:r>
                    <w:rPr>
                      <w:sz w:val="18"/>
                      <w:highlight w:val="yellow"/>
                    </w:rPr>
                    <w:t>]</w:t>
                  </w:r>
                </w:p>
              </w:tc>
              <w:tc>
                <w:tcPr>
                  <w:tcW w:w="2228" w:type="dxa"/>
                  <w:shd w:val="clear" w:color="auto" w:fill="auto"/>
                </w:tcPr>
                <w:p w14:paraId="20006578" w14:textId="77777777" w:rsidR="00C61276" w:rsidRPr="00EB30C0" w:rsidRDefault="00C61276" w:rsidP="00B93868">
                  <w:pPr>
                    <w:tabs>
                      <w:tab w:val="left" w:pos="1859"/>
                    </w:tabs>
                    <w:spacing w:before="120" w:after="120" w:line="240" w:lineRule="auto"/>
                    <w:jc w:val="center"/>
                    <w:rPr>
                      <w:rFonts w:cs="Arial"/>
                      <w:sz w:val="18"/>
                      <w:szCs w:val="18"/>
                      <w:highlight w:val="yellow"/>
                    </w:rPr>
                  </w:pPr>
                  <w:r>
                    <w:rPr>
                      <w:sz w:val="18"/>
                      <w:highlight w:val="yellow"/>
                    </w:rPr>
                    <w:t>[DD MM YYYY]</w:t>
                  </w:r>
                </w:p>
              </w:tc>
            </w:tr>
          </w:tbl>
          <w:p w14:paraId="4D7BF142" w14:textId="77777777" w:rsidR="00C61276" w:rsidRPr="00EB30C0" w:rsidRDefault="00C61276" w:rsidP="00B93868">
            <w:pPr>
              <w:tabs>
                <w:tab w:val="left" w:pos="1859"/>
              </w:tabs>
              <w:spacing w:before="120" w:after="120" w:line="240" w:lineRule="auto"/>
              <w:rPr>
                <w:rFonts w:cs="Arial"/>
                <w:sz w:val="18"/>
                <w:szCs w:val="18"/>
              </w:rPr>
            </w:pPr>
          </w:p>
        </w:tc>
      </w:tr>
    </w:tbl>
    <w:p w14:paraId="76CB9BD7" w14:textId="77777777" w:rsidR="00C61276" w:rsidRPr="0045532C" w:rsidRDefault="00C61276" w:rsidP="00B93868">
      <w:pPr>
        <w:spacing w:before="120" w:after="120" w:line="240" w:lineRule="auto"/>
        <w:rPr>
          <w:rFonts w:cs="Arial"/>
        </w:rPr>
      </w:pPr>
    </w:p>
    <w:p w14:paraId="79CD0C84" w14:textId="77777777" w:rsidR="00CE337B" w:rsidRDefault="00CE337B" w:rsidP="00B93868">
      <w:pPr>
        <w:spacing w:before="120" w:after="120" w:line="240" w:lineRule="auto"/>
        <w:rPr>
          <w:b/>
        </w:rPr>
      </w:pPr>
      <w:r>
        <w:rPr>
          <w:b/>
        </w:rPr>
        <w:t xml:space="preserve">Le présent document est un programme d’audit standard à appliquer aux domaines d’audit précités lors d’interventions conformément à la stratégie d’audit (Cm 28 ss de la Circ.-FINMA 13/3). Dans la colonne « Règles de comportement pour » ci-après, il est indiqué si un point d’audit particulier doit être traité pour le domaine d’audit correspondant. </w:t>
      </w:r>
    </w:p>
    <w:p w14:paraId="6A0E16E1" w14:textId="350A1277" w:rsidR="00C61276" w:rsidRPr="00003E26" w:rsidRDefault="00CE337B" w:rsidP="00CE337B">
      <w:pPr>
        <w:spacing w:before="120" w:after="120" w:line="240" w:lineRule="auto"/>
        <w:rPr>
          <w:rFonts w:cs="Arial"/>
          <w:b/>
        </w:rPr>
      </w:pPr>
      <w:r>
        <w:rPr>
          <w:b/>
        </w:rPr>
        <w:t>Il est de la responsabilité de l’équipe d’audit d’adapter le programme d’audit standard à la situation propre à chaque établissement audité (taille, modèle d’affaires, organisation, processus, exposition aux risques, etc.). Si tous les travaux d’audit indiqués ne sont pas effectués, une justification probante doit être fournie dans les papiers de travail.</w:t>
      </w:r>
      <w:r>
        <w:t xml:space="preserve"> </w:t>
      </w:r>
      <w:r w:rsidR="00C61276">
        <w:br w:type="page"/>
      </w:r>
      <w:r w:rsidR="00C61276">
        <w:rPr>
          <w:b/>
        </w:rPr>
        <w:lastRenderedPageBreak/>
        <w:t>Conclusion globale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482"/>
      </w:tblGrid>
      <w:tr w:rsidR="00C61276" w:rsidRPr="00EB30C0" w14:paraId="4F05C62F" w14:textId="77777777" w:rsidTr="00EF0539">
        <w:trPr>
          <w:trHeight w:val="552"/>
          <w:tblHeader/>
        </w:trPr>
        <w:tc>
          <w:tcPr>
            <w:tcW w:w="2835" w:type="dxa"/>
            <w:shd w:val="pct15" w:color="auto" w:fill="auto"/>
          </w:tcPr>
          <w:p w14:paraId="3990A6CE" w14:textId="77777777" w:rsidR="00C61276" w:rsidRPr="00EB30C0" w:rsidRDefault="00C61276" w:rsidP="00B93868">
            <w:pPr>
              <w:tabs>
                <w:tab w:val="left" w:pos="1418"/>
              </w:tabs>
              <w:spacing w:before="120" w:after="120" w:line="240" w:lineRule="auto"/>
              <w:rPr>
                <w:rFonts w:cs="Arial"/>
                <w:b/>
                <w:sz w:val="16"/>
                <w:szCs w:val="16"/>
              </w:rPr>
            </w:pPr>
            <w:r>
              <w:rPr>
                <w:b/>
                <w:sz w:val="16"/>
              </w:rPr>
              <w:t>Thème</w:t>
            </w:r>
          </w:p>
        </w:tc>
        <w:tc>
          <w:tcPr>
            <w:tcW w:w="11482" w:type="dxa"/>
            <w:shd w:val="pct15" w:color="auto" w:fill="auto"/>
          </w:tcPr>
          <w:p w14:paraId="7D5C0A58" w14:textId="77777777" w:rsidR="00C61276" w:rsidRPr="00EB30C0" w:rsidRDefault="00C61276" w:rsidP="00B93868">
            <w:pPr>
              <w:tabs>
                <w:tab w:val="left" w:pos="1859"/>
              </w:tabs>
              <w:spacing w:before="120" w:after="120" w:line="240" w:lineRule="auto"/>
              <w:rPr>
                <w:rFonts w:cs="Arial"/>
                <w:b/>
                <w:sz w:val="16"/>
                <w:szCs w:val="16"/>
              </w:rPr>
            </w:pPr>
            <w:r>
              <w:rPr>
                <w:b/>
                <w:sz w:val="16"/>
              </w:rPr>
              <w:t>Information / Description :</w:t>
            </w:r>
          </w:p>
        </w:tc>
      </w:tr>
      <w:tr w:rsidR="00C61276" w:rsidRPr="00573E72" w14:paraId="3F400ABD" w14:textId="77777777" w:rsidTr="00EF0539">
        <w:trPr>
          <w:trHeight w:val="3257"/>
        </w:trPr>
        <w:tc>
          <w:tcPr>
            <w:tcW w:w="2835" w:type="dxa"/>
            <w:tcBorders>
              <w:bottom w:val="nil"/>
            </w:tcBorders>
            <w:shd w:val="clear" w:color="auto" w:fill="auto"/>
          </w:tcPr>
          <w:p w14:paraId="2B90C86D" w14:textId="77777777" w:rsidR="00C61276" w:rsidRDefault="00C61276" w:rsidP="00B93868">
            <w:pPr>
              <w:tabs>
                <w:tab w:val="left" w:pos="1418"/>
              </w:tabs>
              <w:spacing w:before="120" w:after="120" w:line="240" w:lineRule="auto"/>
              <w:rPr>
                <w:rFonts w:cs="Arial"/>
                <w:sz w:val="16"/>
                <w:szCs w:val="16"/>
              </w:rPr>
            </w:pPr>
            <w:r>
              <w:rPr>
                <w:sz w:val="16"/>
              </w:rPr>
              <w:t>Conclusion globale</w:t>
            </w:r>
          </w:p>
          <w:p w14:paraId="6C65BEC8" w14:textId="77777777" w:rsidR="00F954F7" w:rsidRDefault="00F954F7" w:rsidP="00B93868">
            <w:pPr>
              <w:tabs>
                <w:tab w:val="left" w:pos="1418"/>
              </w:tabs>
              <w:spacing w:before="120" w:after="120" w:line="240" w:lineRule="auto"/>
              <w:rPr>
                <w:rFonts w:cs="Arial"/>
                <w:sz w:val="16"/>
                <w:szCs w:val="16"/>
              </w:rPr>
            </w:pPr>
          </w:p>
          <w:p w14:paraId="1654FFE9" w14:textId="77777777" w:rsidR="00F954F7" w:rsidRDefault="00F954F7" w:rsidP="00B93868">
            <w:pPr>
              <w:tabs>
                <w:tab w:val="left" w:pos="1418"/>
              </w:tabs>
              <w:spacing w:before="120" w:after="120" w:line="240" w:lineRule="auto"/>
              <w:rPr>
                <w:rFonts w:cs="Arial"/>
                <w:sz w:val="16"/>
                <w:szCs w:val="16"/>
              </w:rPr>
            </w:pPr>
          </w:p>
          <w:p w14:paraId="55EA4DDB" w14:textId="77777777" w:rsidR="00F954F7" w:rsidRDefault="00F954F7" w:rsidP="00B93868">
            <w:pPr>
              <w:tabs>
                <w:tab w:val="left" w:pos="1418"/>
              </w:tabs>
              <w:spacing w:before="120" w:after="120" w:line="240" w:lineRule="auto"/>
              <w:rPr>
                <w:rFonts w:cs="Arial"/>
                <w:sz w:val="16"/>
                <w:szCs w:val="16"/>
              </w:rPr>
            </w:pPr>
          </w:p>
          <w:p w14:paraId="18B9BDF3" w14:textId="77777777" w:rsidR="00F954F7" w:rsidRDefault="00F954F7" w:rsidP="00B93868">
            <w:pPr>
              <w:tabs>
                <w:tab w:val="left" w:pos="1418"/>
              </w:tabs>
              <w:spacing w:before="120" w:after="120" w:line="240" w:lineRule="auto"/>
              <w:rPr>
                <w:rFonts w:cs="Arial"/>
                <w:sz w:val="16"/>
                <w:szCs w:val="16"/>
              </w:rPr>
            </w:pPr>
          </w:p>
          <w:p w14:paraId="28B8E2A1" w14:textId="77777777" w:rsidR="00F954F7" w:rsidRDefault="00F954F7" w:rsidP="00B93868">
            <w:pPr>
              <w:tabs>
                <w:tab w:val="left" w:pos="1418"/>
              </w:tabs>
              <w:spacing w:before="120" w:after="120" w:line="240" w:lineRule="auto"/>
              <w:rPr>
                <w:rFonts w:cs="Arial"/>
                <w:sz w:val="16"/>
                <w:szCs w:val="16"/>
              </w:rPr>
            </w:pPr>
          </w:p>
          <w:p w14:paraId="57DAFBAD" w14:textId="77777777" w:rsidR="00F954F7" w:rsidRDefault="00F954F7" w:rsidP="00B93868">
            <w:pPr>
              <w:tabs>
                <w:tab w:val="left" w:pos="1418"/>
              </w:tabs>
              <w:spacing w:before="120" w:after="120" w:line="240" w:lineRule="auto"/>
              <w:rPr>
                <w:rFonts w:cs="Arial"/>
                <w:sz w:val="16"/>
                <w:szCs w:val="16"/>
              </w:rPr>
            </w:pPr>
          </w:p>
          <w:p w14:paraId="06F5F6BD" w14:textId="77777777" w:rsidR="00F954F7" w:rsidRDefault="00F954F7" w:rsidP="00B93868">
            <w:pPr>
              <w:tabs>
                <w:tab w:val="left" w:pos="1418"/>
              </w:tabs>
              <w:spacing w:before="120" w:after="120" w:line="240" w:lineRule="auto"/>
              <w:rPr>
                <w:rFonts w:cs="Arial"/>
                <w:sz w:val="16"/>
                <w:szCs w:val="16"/>
              </w:rPr>
            </w:pPr>
          </w:p>
          <w:p w14:paraId="250770CD" w14:textId="77777777" w:rsidR="00F954F7" w:rsidRDefault="00F954F7" w:rsidP="00B93868">
            <w:pPr>
              <w:tabs>
                <w:tab w:val="left" w:pos="1418"/>
              </w:tabs>
              <w:spacing w:before="120" w:after="120" w:line="240" w:lineRule="auto"/>
              <w:rPr>
                <w:rFonts w:cs="Arial"/>
                <w:sz w:val="16"/>
                <w:szCs w:val="16"/>
              </w:rPr>
            </w:pPr>
          </w:p>
          <w:p w14:paraId="297F2E88" w14:textId="77777777" w:rsidR="00F954F7" w:rsidRDefault="00F954F7" w:rsidP="00B93868">
            <w:pPr>
              <w:tabs>
                <w:tab w:val="left" w:pos="1418"/>
              </w:tabs>
              <w:spacing w:before="120" w:after="120" w:line="240" w:lineRule="auto"/>
              <w:rPr>
                <w:rFonts w:cs="Arial"/>
                <w:sz w:val="16"/>
                <w:szCs w:val="16"/>
              </w:rPr>
            </w:pPr>
          </w:p>
          <w:p w14:paraId="0F28EAE1" w14:textId="77777777" w:rsidR="00F954F7" w:rsidRDefault="00F954F7" w:rsidP="00B93868">
            <w:pPr>
              <w:tabs>
                <w:tab w:val="left" w:pos="1418"/>
              </w:tabs>
              <w:spacing w:before="120" w:after="120" w:line="240" w:lineRule="auto"/>
              <w:rPr>
                <w:rFonts w:cs="Arial"/>
                <w:sz w:val="16"/>
                <w:szCs w:val="16"/>
              </w:rPr>
            </w:pPr>
          </w:p>
          <w:p w14:paraId="2FC77A8D" w14:textId="77777777" w:rsidR="00F954F7" w:rsidRPr="00EB30C0" w:rsidRDefault="00F954F7" w:rsidP="00B93868">
            <w:pPr>
              <w:tabs>
                <w:tab w:val="left" w:pos="1418"/>
              </w:tabs>
              <w:spacing w:before="120" w:after="120" w:line="240" w:lineRule="auto"/>
              <w:rPr>
                <w:rFonts w:cs="Arial"/>
                <w:sz w:val="16"/>
                <w:szCs w:val="16"/>
              </w:rPr>
            </w:pPr>
          </w:p>
        </w:tc>
        <w:tc>
          <w:tcPr>
            <w:tcW w:w="11482" w:type="dxa"/>
            <w:tcBorders>
              <w:bottom w:val="nil"/>
            </w:tcBorders>
            <w:shd w:val="clear" w:color="auto" w:fill="auto"/>
          </w:tcPr>
          <w:p w14:paraId="12B551A3" w14:textId="77777777" w:rsidR="00C61276" w:rsidRPr="00232820" w:rsidRDefault="00C61276" w:rsidP="00F954F7">
            <w:pPr>
              <w:spacing w:line="240" w:lineRule="auto"/>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0"/>
              <w:gridCol w:w="5514"/>
            </w:tblGrid>
            <w:tr w:rsidR="00C61276" w:rsidRPr="00232820" w14:paraId="654B5948" w14:textId="77777777" w:rsidTr="00EF0539">
              <w:tc>
                <w:tcPr>
                  <w:tcW w:w="5620" w:type="dxa"/>
                  <w:shd w:val="clear" w:color="auto" w:fill="D9D9D9"/>
                  <w:tcMar>
                    <w:left w:w="0" w:type="dxa"/>
                  </w:tcMar>
                </w:tcPr>
                <w:p w14:paraId="51098898" w14:textId="77777777" w:rsidR="00C61276" w:rsidRPr="00232820" w:rsidRDefault="00C61276" w:rsidP="00B93868">
                  <w:pPr>
                    <w:tabs>
                      <w:tab w:val="left" w:pos="1859"/>
                    </w:tabs>
                    <w:spacing w:before="120" w:after="120" w:line="240" w:lineRule="auto"/>
                    <w:ind w:left="34"/>
                    <w:rPr>
                      <w:rFonts w:cs="Arial"/>
                      <w:b/>
                      <w:sz w:val="16"/>
                      <w:szCs w:val="16"/>
                    </w:rPr>
                  </w:pPr>
                  <w:r>
                    <w:rPr>
                      <w:b/>
                      <w:sz w:val="16"/>
                    </w:rPr>
                    <w:t>Confirmation dans le rapport d'audit :</w:t>
                  </w:r>
                </w:p>
              </w:tc>
              <w:tc>
                <w:tcPr>
                  <w:tcW w:w="5514" w:type="dxa"/>
                  <w:shd w:val="clear" w:color="auto" w:fill="D9D9D9"/>
                </w:tcPr>
                <w:p w14:paraId="75CA19C4" w14:textId="77777777" w:rsidR="00C61276" w:rsidRPr="00232820" w:rsidRDefault="00C61276" w:rsidP="00B93868">
                  <w:pPr>
                    <w:tabs>
                      <w:tab w:val="left" w:pos="1859"/>
                    </w:tabs>
                    <w:spacing w:before="120" w:after="120" w:line="240" w:lineRule="auto"/>
                    <w:rPr>
                      <w:rFonts w:cs="Arial"/>
                      <w:b/>
                      <w:sz w:val="16"/>
                      <w:szCs w:val="16"/>
                    </w:rPr>
                  </w:pPr>
                  <w:r>
                    <w:rPr>
                      <w:b/>
                      <w:sz w:val="16"/>
                    </w:rPr>
                    <w:t>Conclusion :</w:t>
                  </w:r>
                </w:p>
              </w:tc>
            </w:tr>
            <w:tr w:rsidR="00C61276" w:rsidRPr="00573E72" w14:paraId="59ACC21F" w14:textId="77777777" w:rsidTr="00EF0539">
              <w:tc>
                <w:tcPr>
                  <w:tcW w:w="5620" w:type="dxa"/>
                  <w:shd w:val="clear" w:color="auto" w:fill="auto"/>
                  <w:tcMar>
                    <w:left w:w="0" w:type="dxa"/>
                  </w:tcMar>
                </w:tcPr>
                <w:p w14:paraId="16ACFA59" w14:textId="77777777" w:rsidR="00C61276" w:rsidRPr="00232820" w:rsidRDefault="00C61276" w:rsidP="00B93868">
                  <w:pPr>
                    <w:spacing w:before="120" w:after="120" w:line="240" w:lineRule="auto"/>
                    <w:ind w:left="113"/>
                    <w:rPr>
                      <w:rFonts w:cs="Arial"/>
                      <w:sz w:val="16"/>
                      <w:szCs w:val="16"/>
                    </w:rPr>
                  </w:pPr>
                  <w:r>
                    <w:rPr>
                      <w:sz w:val="16"/>
                    </w:rPr>
                    <w:t xml:space="preserve">Confirmation que l'organisation opérationnelle en matière de gestion, contrôle et </w:t>
                  </w:r>
                  <w:r>
                    <w:rPr>
                      <w:i/>
                      <w:sz w:val="16"/>
                    </w:rPr>
                    <w:t>reporting</w:t>
                  </w:r>
                  <w:r>
                    <w:rPr>
                      <w:sz w:val="16"/>
                    </w:rPr>
                    <w:t xml:space="preserve"> des risques de </w:t>
                  </w:r>
                  <w:r>
                    <w:rPr>
                      <w:i/>
                      <w:sz w:val="16"/>
                    </w:rPr>
                    <w:t>suitability</w:t>
                  </w:r>
                  <w:r>
                    <w:rPr>
                      <w:sz w:val="16"/>
                    </w:rPr>
                    <w:t>, dans les domaines □ gestion de fortune individuelle, □ conseil en placement, □ exécution de transactions et □ distribution de placements collectifs était adéquate et appropriée.</w:t>
                  </w:r>
                  <w:r>
                    <w:rPr>
                      <w:rStyle w:val="Funotenzeichen"/>
                    </w:rPr>
                    <w:footnoteReference w:id="2"/>
                  </w:r>
                  <w:r>
                    <w:t xml:space="preserve"> </w:t>
                  </w:r>
                </w:p>
              </w:tc>
              <w:tc>
                <w:tcPr>
                  <w:tcW w:w="5514" w:type="dxa"/>
                  <w:shd w:val="clear" w:color="auto" w:fill="auto"/>
                </w:tcPr>
                <w:p w14:paraId="050CDDFC" w14:textId="77777777" w:rsidR="00C61276" w:rsidRPr="00232820" w:rsidRDefault="00C61276" w:rsidP="00B93868">
                  <w:pPr>
                    <w:tabs>
                      <w:tab w:val="left" w:pos="1859"/>
                    </w:tabs>
                    <w:spacing w:before="120" w:after="120" w:line="240" w:lineRule="auto"/>
                    <w:rPr>
                      <w:rFonts w:cs="Arial"/>
                      <w:b/>
                      <w:sz w:val="16"/>
                      <w:szCs w:val="16"/>
                      <w:highlight w:val="yellow"/>
                    </w:rPr>
                  </w:pPr>
                  <w:r>
                    <w:rPr>
                      <w:b/>
                      <w:sz w:val="16"/>
                      <w:highlight w:val="yellow"/>
                    </w:rPr>
                    <w:t>Oui</w:t>
                  </w:r>
                  <w:r>
                    <w:rPr>
                      <w:sz w:val="16"/>
                      <w:highlight w:val="yellow"/>
                    </w:rPr>
                    <w:t xml:space="preserve"> (Audit / Revue critique) / </w:t>
                  </w:r>
                  <w:r>
                    <w:rPr>
                      <w:b/>
                      <w:sz w:val="16"/>
                      <w:highlight w:val="yellow"/>
                    </w:rPr>
                    <w:t>non</w:t>
                  </w:r>
                </w:p>
              </w:tc>
            </w:tr>
            <w:tr w:rsidR="00C61276" w:rsidRPr="00573E72" w14:paraId="75DC7164" w14:textId="77777777" w:rsidTr="00EF0539">
              <w:tc>
                <w:tcPr>
                  <w:tcW w:w="5620" w:type="dxa"/>
                  <w:shd w:val="clear" w:color="auto" w:fill="auto"/>
                  <w:tcMar>
                    <w:left w:w="0" w:type="dxa"/>
                  </w:tcMar>
                </w:tcPr>
                <w:p w14:paraId="539FF43B" w14:textId="77777777" w:rsidR="00C61276" w:rsidRPr="002E765E" w:rsidRDefault="00C61276" w:rsidP="00AC14A2">
                  <w:pPr>
                    <w:spacing w:before="120" w:after="120" w:line="240" w:lineRule="auto"/>
                    <w:ind w:left="113"/>
                    <w:rPr>
                      <w:rFonts w:cs="Arial"/>
                      <w:sz w:val="16"/>
                      <w:szCs w:val="16"/>
                    </w:rPr>
                  </w:pPr>
                  <w:r>
                    <w:rPr>
                      <w:sz w:val="16"/>
                    </w:rPr>
                    <w:t xml:space="preserve">Confirmation que les processus internes en matière de respect des règles de conduite relatives </w:t>
                  </w:r>
                  <w:r>
                    <w:t xml:space="preserve">□ </w:t>
                  </w:r>
                  <w:r w:rsidR="00AC14A2">
                    <w:rPr>
                      <w:sz w:val="16"/>
                    </w:rPr>
                    <w:t xml:space="preserve">à la </w:t>
                  </w:r>
                  <w:r>
                    <w:rPr>
                      <w:sz w:val="16"/>
                    </w:rPr>
                    <w:t>gestion de fortune individuelle,</w:t>
                  </w:r>
                  <w:r>
                    <w:t xml:space="preserve"> □ </w:t>
                  </w:r>
                  <w:r>
                    <w:rPr>
                      <w:sz w:val="16"/>
                    </w:rPr>
                    <w:t>au conseil en placement,</w:t>
                  </w:r>
                  <w:r>
                    <w:t xml:space="preserve"> □</w:t>
                  </w:r>
                  <w:r>
                    <w:rPr>
                      <w:sz w:val="16"/>
                    </w:rPr>
                    <w:t xml:space="preserve"> à l'exécution de transactions et </w:t>
                  </w:r>
                  <w:r>
                    <w:t xml:space="preserve">□ </w:t>
                  </w:r>
                  <w:r w:rsidR="00AC14A2">
                    <w:rPr>
                      <w:sz w:val="16"/>
                    </w:rPr>
                    <w:t xml:space="preserve">à </w:t>
                  </w:r>
                  <w:r>
                    <w:rPr>
                      <w:sz w:val="16"/>
                    </w:rPr>
                    <w:t>la distribution de placements collectifs étaient appropriés et que, en cas d’étendue d'audit « audit », ont été respectés.</w:t>
                  </w:r>
                  <w:r>
                    <w:rPr>
                      <w:rStyle w:val="Funotenzeichen"/>
                    </w:rPr>
                    <w:footnoteReference w:id="3"/>
                  </w:r>
                </w:p>
              </w:tc>
              <w:tc>
                <w:tcPr>
                  <w:tcW w:w="5514" w:type="dxa"/>
                  <w:shd w:val="clear" w:color="auto" w:fill="auto"/>
                </w:tcPr>
                <w:p w14:paraId="3A695486" w14:textId="77777777" w:rsidR="00C61276" w:rsidRPr="00232820" w:rsidRDefault="00C61276" w:rsidP="00B93868">
                  <w:pPr>
                    <w:tabs>
                      <w:tab w:val="left" w:pos="1859"/>
                    </w:tabs>
                    <w:spacing w:before="120" w:after="120" w:line="240" w:lineRule="auto"/>
                    <w:rPr>
                      <w:rFonts w:cs="Arial"/>
                      <w:sz w:val="16"/>
                      <w:szCs w:val="16"/>
                    </w:rPr>
                  </w:pPr>
                  <w:r>
                    <w:rPr>
                      <w:b/>
                      <w:sz w:val="16"/>
                      <w:highlight w:val="yellow"/>
                    </w:rPr>
                    <w:t>Oui</w:t>
                  </w:r>
                  <w:r>
                    <w:rPr>
                      <w:sz w:val="16"/>
                      <w:highlight w:val="yellow"/>
                    </w:rPr>
                    <w:t xml:space="preserve"> (Audit / Revue critique) / </w:t>
                  </w:r>
                  <w:r>
                    <w:rPr>
                      <w:b/>
                      <w:sz w:val="16"/>
                      <w:highlight w:val="yellow"/>
                    </w:rPr>
                    <w:t>non</w:t>
                  </w:r>
                </w:p>
              </w:tc>
            </w:tr>
            <w:tr w:rsidR="00C61276" w:rsidRPr="00573E72" w14:paraId="4B1C8D07" w14:textId="77777777" w:rsidTr="00EF0539">
              <w:tc>
                <w:tcPr>
                  <w:tcW w:w="5620" w:type="dxa"/>
                  <w:shd w:val="clear" w:color="auto" w:fill="auto"/>
                  <w:tcMar>
                    <w:left w:w="0" w:type="dxa"/>
                  </w:tcMar>
                </w:tcPr>
                <w:p w14:paraId="24F70BEE" w14:textId="77777777" w:rsidR="00C61276" w:rsidRPr="003D2268" w:rsidRDefault="00C61276" w:rsidP="001226CC">
                  <w:pPr>
                    <w:spacing w:before="120" w:after="120" w:line="240" w:lineRule="auto"/>
                    <w:ind w:left="113"/>
                    <w:rPr>
                      <w:rFonts w:cs="Arial"/>
                      <w:sz w:val="16"/>
                      <w:szCs w:val="16"/>
                      <w:highlight w:val="yellow"/>
                    </w:rPr>
                  </w:pPr>
                  <w:r>
                    <w:rPr>
                      <w:sz w:val="16"/>
                    </w:rPr>
                    <w:t xml:space="preserve">Confirmation que les mesures portant sur la </w:t>
                  </w:r>
                  <w:r w:rsidRPr="006C1090">
                    <w:rPr>
                      <w:sz w:val="16"/>
                    </w:rPr>
                    <w:t xml:space="preserve">formation </w:t>
                  </w:r>
                  <w:r w:rsidR="001226CC" w:rsidRPr="006C1090">
                    <w:rPr>
                      <w:sz w:val="16"/>
                    </w:rPr>
                    <w:t>et le perfectionnement</w:t>
                  </w:r>
                  <w:r w:rsidR="00192F5C" w:rsidRPr="006C1090">
                    <w:rPr>
                      <w:i/>
                      <w:sz w:val="16"/>
                    </w:rPr>
                    <w:t xml:space="preserve"> </w:t>
                  </w:r>
                  <w:r w:rsidRPr="006C1090">
                    <w:rPr>
                      <w:sz w:val="16"/>
                    </w:rPr>
                    <w:t>en matière de □ gestion de fortune individuelle, □</w:t>
                  </w:r>
                  <w:r>
                    <w:rPr>
                      <w:sz w:val="16"/>
                    </w:rPr>
                    <w:t xml:space="preserve"> conseil en placement, □ exécution de transactions et □ distribution de placements collectifs étaient appropriées.</w:t>
                  </w:r>
                  <w:r>
                    <w:rPr>
                      <w:rStyle w:val="Funotenzeichen"/>
                    </w:rPr>
                    <w:t xml:space="preserve"> </w:t>
                  </w:r>
                  <w:r>
                    <w:rPr>
                      <w:rStyle w:val="Funotenzeichen"/>
                    </w:rPr>
                    <w:footnoteReference w:id="4"/>
                  </w:r>
                </w:p>
              </w:tc>
              <w:tc>
                <w:tcPr>
                  <w:tcW w:w="5514" w:type="dxa"/>
                  <w:shd w:val="clear" w:color="auto" w:fill="auto"/>
                </w:tcPr>
                <w:p w14:paraId="34917404" w14:textId="77777777" w:rsidR="00C61276" w:rsidRPr="00232820" w:rsidRDefault="00C61276" w:rsidP="00B93868">
                  <w:pPr>
                    <w:tabs>
                      <w:tab w:val="left" w:pos="1859"/>
                    </w:tabs>
                    <w:spacing w:before="120" w:after="120" w:line="240" w:lineRule="auto"/>
                    <w:rPr>
                      <w:rFonts w:cs="Arial"/>
                      <w:b/>
                      <w:sz w:val="16"/>
                      <w:szCs w:val="16"/>
                      <w:highlight w:val="yellow"/>
                    </w:rPr>
                  </w:pPr>
                  <w:r>
                    <w:rPr>
                      <w:b/>
                      <w:sz w:val="16"/>
                      <w:highlight w:val="yellow"/>
                    </w:rPr>
                    <w:t>Oui</w:t>
                  </w:r>
                  <w:r>
                    <w:rPr>
                      <w:sz w:val="16"/>
                      <w:highlight w:val="yellow"/>
                    </w:rPr>
                    <w:t xml:space="preserve"> (Audit / Revue critique) / </w:t>
                  </w:r>
                  <w:r>
                    <w:rPr>
                      <w:b/>
                      <w:sz w:val="16"/>
                      <w:highlight w:val="yellow"/>
                    </w:rPr>
                    <w:t>non</w:t>
                  </w:r>
                </w:p>
              </w:tc>
            </w:tr>
          </w:tbl>
          <w:p w14:paraId="215B1BA3" w14:textId="77777777" w:rsidR="00C61276" w:rsidRPr="00232820" w:rsidRDefault="00C61276" w:rsidP="00B93868">
            <w:pPr>
              <w:tabs>
                <w:tab w:val="left" w:pos="1859"/>
              </w:tabs>
              <w:spacing w:before="120" w:after="120" w:line="240" w:lineRule="auto"/>
              <w:rPr>
                <w:rFonts w:cs="Arial"/>
                <w:sz w:val="16"/>
                <w:szCs w:val="16"/>
              </w:rPr>
            </w:pPr>
          </w:p>
        </w:tc>
      </w:tr>
      <w:tr w:rsidR="00C61276" w:rsidRPr="00EB30C0" w14:paraId="072F4B42" w14:textId="77777777" w:rsidTr="00EF0539">
        <w:trPr>
          <w:trHeight w:val="561"/>
        </w:trPr>
        <w:tc>
          <w:tcPr>
            <w:tcW w:w="2835" w:type="dxa"/>
            <w:shd w:val="clear" w:color="auto" w:fill="auto"/>
          </w:tcPr>
          <w:p w14:paraId="16E8DC4A" w14:textId="77777777" w:rsidR="00C61276" w:rsidRPr="00EB30C0" w:rsidRDefault="00C61276" w:rsidP="00B93868">
            <w:pPr>
              <w:tabs>
                <w:tab w:val="left" w:pos="1418"/>
              </w:tabs>
              <w:spacing w:before="120" w:after="120" w:line="240" w:lineRule="auto"/>
              <w:rPr>
                <w:rFonts w:cs="Arial"/>
                <w:sz w:val="16"/>
                <w:szCs w:val="16"/>
              </w:rPr>
            </w:pPr>
            <w:r>
              <w:rPr>
                <w:sz w:val="16"/>
              </w:rPr>
              <w:t>Résumé des résultats de l'audit / irrégularités et recommandations</w:t>
            </w:r>
            <w:r>
              <w:rPr>
                <w:rFonts w:cs="Arial"/>
                <w:sz w:val="16"/>
                <w:szCs w:val="16"/>
              </w:rPr>
              <w:br/>
            </w:r>
            <w:r>
              <w:rPr>
                <w:sz w:val="12"/>
              </w:rPr>
              <w:t>(voir détails ci-dessous)</w:t>
            </w:r>
          </w:p>
        </w:tc>
        <w:tc>
          <w:tcPr>
            <w:tcW w:w="11482" w:type="dxa"/>
            <w:shd w:val="clear" w:color="auto" w:fill="auto"/>
          </w:tcPr>
          <w:p w14:paraId="7E57BE5F" w14:textId="77777777" w:rsidR="00C61276" w:rsidRPr="00EB30C0" w:rsidRDefault="00C61276" w:rsidP="00B93868">
            <w:pPr>
              <w:tabs>
                <w:tab w:val="left" w:pos="1859"/>
              </w:tabs>
              <w:spacing w:before="120" w:after="120" w:line="240" w:lineRule="auto"/>
              <w:rPr>
                <w:rFonts w:cs="Arial"/>
                <w:sz w:val="16"/>
                <w:szCs w:val="16"/>
                <w:highlight w:val="yellow"/>
              </w:rPr>
            </w:pPr>
            <w:r>
              <w:rPr>
                <w:sz w:val="16"/>
                <w:highlight w:val="yellow"/>
              </w:rPr>
              <w:t>[Résumé des résultats de l'audit / irrégularités et recommandations]</w:t>
            </w:r>
          </w:p>
        </w:tc>
      </w:tr>
      <w:tr w:rsidR="00C61276" w:rsidRPr="00EB30C0" w14:paraId="5D4FA22E" w14:textId="77777777" w:rsidTr="00EF0539">
        <w:trPr>
          <w:trHeight w:val="561"/>
        </w:trPr>
        <w:tc>
          <w:tcPr>
            <w:tcW w:w="2835" w:type="dxa"/>
            <w:shd w:val="clear" w:color="auto" w:fill="auto"/>
          </w:tcPr>
          <w:p w14:paraId="3C66E97C" w14:textId="77777777" w:rsidR="00C61276" w:rsidRPr="00EB30C0" w:rsidRDefault="00C61276" w:rsidP="00B93868">
            <w:pPr>
              <w:tabs>
                <w:tab w:val="left" w:pos="1418"/>
              </w:tabs>
              <w:spacing w:before="120" w:after="120" w:line="240" w:lineRule="auto"/>
              <w:rPr>
                <w:rFonts w:cs="Arial"/>
                <w:sz w:val="16"/>
                <w:szCs w:val="16"/>
              </w:rPr>
            </w:pPr>
            <w:r>
              <w:rPr>
                <w:sz w:val="16"/>
              </w:rPr>
              <w:t>Domaines d'audit, résultats et travaux de la révision interne utilisés par la société d'audit (y compris la propre évaluation de la société d'audit)</w:t>
            </w:r>
          </w:p>
        </w:tc>
        <w:tc>
          <w:tcPr>
            <w:tcW w:w="11482" w:type="dxa"/>
            <w:shd w:val="clear" w:color="auto" w:fill="auto"/>
          </w:tcPr>
          <w:p w14:paraId="531810F6" w14:textId="77777777" w:rsidR="00C61276" w:rsidRPr="00EB30C0" w:rsidRDefault="00C61276" w:rsidP="00B93868">
            <w:pPr>
              <w:spacing w:before="120" w:after="120" w:line="240" w:lineRule="auto"/>
              <w:rPr>
                <w:rFonts w:cs="Arial"/>
                <w:sz w:val="16"/>
                <w:szCs w:val="16"/>
                <w:highlight w:val="yellow"/>
              </w:rPr>
            </w:pPr>
            <w:r>
              <w:rPr>
                <w:sz w:val="16"/>
                <w:highlight w:val="yellow"/>
              </w:rPr>
              <w:t>[Description]</w:t>
            </w:r>
          </w:p>
        </w:tc>
      </w:tr>
    </w:tbl>
    <w:p w14:paraId="530D9F5E" w14:textId="77777777" w:rsidR="00C61276" w:rsidRPr="00F954F7" w:rsidRDefault="00C61276" w:rsidP="00B93868">
      <w:pPr>
        <w:spacing w:before="120" w:after="120" w:line="240" w:lineRule="auto"/>
        <w:rPr>
          <w:rFonts w:cs="Arial"/>
        </w:rPr>
      </w:pPr>
      <w:r>
        <w:br w:type="page"/>
      </w:r>
      <w:r>
        <w:rPr>
          <w:b/>
        </w:rPr>
        <w:lastRenderedPageBreak/>
        <w:t xml:space="preserve">Programme de travail pour les banques – </w:t>
      </w:r>
      <w:r>
        <w:rPr>
          <w:b/>
          <w:i/>
        </w:rPr>
        <w:t>suitability</w:t>
      </w:r>
    </w:p>
    <w:tbl>
      <w:tblPr>
        <w:tblW w:w="151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596"/>
        <w:gridCol w:w="596"/>
        <w:gridCol w:w="673"/>
        <w:gridCol w:w="567"/>
        <w:gridCol w:w="1531"/>
        <w:gridCol w:w="3856"/>
        <w:gridCol w:w="3656"/>
        <w:gridCol w:w="2410"/>
        <w:gridCol w:w="709"/>
      </w:tblGrid>
      <w:tr w:rsidR="00C61276" w:rsidRPr="00EB30C0" w14:paraId="6A4638C9" w14:textId="77777777" w:rsidTr="00452A65">
        <w:trPr>
          <w:trHeight w:val="233"/>
          <w:tblHeader/>
        </w:trPr>
        <w:tc>
          <w:tcPr>
            <w:tcW w:w="2461" w:type="dxa"/>
            <w:gridSpan w:val="4"/>
            <w:tcBorders>
              <w:bottom w:val="single" w:sz="4" w:space="0" w:color="auto"/>
            </w:tcBorders>
            <w:shd w:val="pct20" w:color="auto" w:fill="auto"/>
          </w:tcPr>
          <w:p w14:paraId="4CA7BF20" w14:textId="77777777" w:rsidR="00C61276" w:rsidRPr="00EB30C0" w:rsidRDefault="00C61276" w:rsidP="00B93868">
            <w:pPr>
              <w:spacing w:before="120" w:after="120" w:line="240" w:lineRule="auto"/>
              <w:rPr>
                <w:rFonts w:cs="Arial"/>
                <w:b/>
                <w:sz w:val="16"/>
                <w:szCs w:val="16"/>
              </w:rPr>
            </w:pPr>
            <w:r>
              <w:rPr>
                <w:b/>
                <w:sz w:val="16"/>
              </w:rPr>
              <w:t>Règles de conduite pour</w:t>
            </w:r>
          </w:p>
        </w:tc>
        <w:tc>
          <w:tcPr>
            <w:tcW w:w="567" w:type="dxa"/>
            <w:vMerge w:val="restart"/>
            <w:tcBorders>
              <w:bottom w:val="single" w:sz="4" w:space="0" w:color="auto"/>
            </w:tcBorders>
            <w:shd w:val="pct20" w:color="auto" w:fill="auto"/>
          </w:tcPr>
          <w:p w14:paraId="5A5C10A1" w14:textId="77777777" w:rsidR="00C61276" w:rsidRPr="00EB30C0" w:rsidRDefault="00C61276" w:rsidP="00B93868">
            <w:pPr>
              <w:spacing w:before="120" w:after="120" w:line="240" w:lineRule="auto"/>
              <w:rPr>
                <w:rFonts w:cs="Arial"/>
                <w:b/>
                <w:sz w:val="16"/>
                <w:szCs w:val="16"/>
              </w:rPr>
            </w:pPr>
            <w:r>
              <w:rPr>
                <w:b/>
                <w:sz w:val="16"/>
              </w:rPr>
              <w:t>N°</w:t>
            </w:r>
          </w:p>
        </w:tc>
        <w:tc>
          <w:tcPr>
            <w:tcW w:w="1531" w:type="dxa"/>
            <w:vMerge w:val="restart"/>
            <w:tcBorders>
              <w:bottom w:val="single" w:sz="4" w:space="0" w:color="auto"/>
            </w:tcBorders>
            <w:shd w:val="pct20" w:color="auto" w:fill="auto"/>
          </w:tcPr>
          <w:p w14:paraId="18F6E0CF" w14:textId="77777777" w:rsidR="00C61276" w:rsidRPr="00EB30C0" w:rsidRDefault="00C61276" w:rsidP="00B93868">
            <w:pPr>
              <w:spacing w:before="120" w:after="120" w:line="240" w:lineRule="auto"/>
              <w:rPr>
                <w:rFonts w:cs="Arial"/>
                <w:b/>
                <w:sz w:val="16"/>
                <w:szCs w:val="16"/>
              </w:rPr>
            </w:pPr>
            <w:r>
              <w:rPr>
                <w:b/>
                <w:sz w:val="16"/>
              </w:rPr>
              <w:t>Thème</w:t>
            </w:r>
          </w:p>
        </w:tc>
        <w:tc>
          <w:tcPr>
            <w:tcW w:w="3856" w:type="dxa"/>
            <w:vMerge w:val="restart"/>
            <w:tcBorders>
              <w:bottom w:val="single" w:sz="4" w:space="0" w:color="auto"/>
            </w:tcBorders>
            <w:shd w:val="pct20" w:color="auto" w:fill="auto"/>
          </w:tcPr>
          <w:p w14:paraId="521B2364" w14:textId="2A465FC6" w:rsidR="00C61276" w:rsidRPr="00EB30C0" w:rsidRDefault="00C61276" w:rsidP="00CE337B">
            <w:pPr>
              <w:spacing w:before="120" w:after="120" w:line="240" w:lineRule="auto"/>
              <w:rPr>
                <w:rFonts w:cs="Arial"/>
                <w:b/>
                <w:sz w:val="16"/>
                <w:szCs w:val="16"/>
              </w:rPr>
            </w:pPr>
            <w:r>
              <w:rPr>
                <w:b/>
                <w:sz w:val="16"/>
              </w:rPr>
              <w:t xml:space="preserve">Procédures pour l'étendue d'audit </w:t>
            </w:r>
            <w:r>
              <w:rPr>
                <w:rFonts w:cs="Arial"/>
                <w:b/>
                <w:sz w:val="16"/>
                <w:szCs w:val="16"/>
              </w:rPr>
              <w:br/>
            </w:r>
            <w:r>
              <w:rPr>
                <w:b/>
                <w:sz w:val="16"/>
              </w:rPr>
              <w:t>« revue critique »</w:t>
            </w:r>
          </w:p>
        </w:tc>
        <w:tc>
          <w:tcPr>
            <w:tcW w:w="3656" w:type="dxa"/>
            <w:vMerge w:val="restart"/>
            <w:tcBorders>
              <w:bottom w:val="single" w:sz="4" w:space="0" w:color="auto"/>
            </w:tcBorders>
            <w:shd w:val="pct20" w:color="auto" w:fill="auto"/>
          </w:tcPr>
          <w:p w14:paraId="76298406" w14:textId="77675997" w:rsidR="00C61276" w:rsidRPr="0048295D" w:rsidRDefault="00C61276" w:rsidP="00CE337B">
            <w:pPr>
              <w:spacing w:before="120" w:after="120" w:line="240" w:lineRule="auto"/>
              <w:rPr>
                <w:rFonts w:cs="Arial"/>
                <w:b/>
                <w:sz w:val="16"/>
                <w:szCs w:val="16"/>
              </w:rPr>
            </w:pPr>
            <w:r w:rsidRPr="0048295D">
              <w:rPr>
                <w:b/>
                <w:sz w:val="16"/>
                <w:szCs w:val="16"/>
              </w:rPr>
              <w:t xml:space="preserve">Procédures </w:t>
            </w:r>
            <w:r w:rsidRPr="0048295D">
              <w:rPr>
                <w:b/>
                <w:sz w:val="16"/>
                <w:szCs w:val="16"/>
                <w:u w:val="single"/>
              </w:rPr>
              <w:t>supplémentaires</w:t>
            </w:r>
            <w:r w:rsidRPr="0048295D">
              <w:rPr>
                <w:b/>
                <w:sz w:val="16"/>
                <w:szCs w:val="16"/>
              </w:rPr>
              <w:t xml:space="preserve"> pour l'étendue d'audit « audit »</w:t>
            </w:r>
          </w:p>
        </w:tc>
        <w:tc>
          <w:tcPr>
            <w:tcW w:w="2410" w:type="dxa"/>
            <w:vMerge w:val="restart"/>
            <w:shd w:val="pct20" w:color="auto" w:fill="auto"/>
          </w:tcPr>
          <w:p w14:paraId="31BACC12" w14:textId="77777777" w:rsidR="00C61276" w:rsidRPr="00EB30C0" w:rsidRDefault="00C61276" w:rsidP="00B93868">
            <w:pPr>
              <w:spacing w:before="120" w:after="120" w:line="240" w:lineRule="auto"/>
              <w:rPr>
                <w:rFonts w:cs="Arial"/>
                <w:b/>
                <w:sz w:val="16"/>
                <w:szCs w:val="16"/>
              </w:rPr>
            </w:pPr>
            <w:r>
              <w:rPr>
                <w:b/>
                <w:sz w:val="16"/>
              </w:rPr>
              <w:t>Procédures mises en œuvre / Constatations</w:t>
            </w:r>
          </w:p>
          <w:p w14:paraId="6633ABF9" w14:textId="77777777" w:rsidR="00C61276" w:rsidRPr="00EB30C0" w:rsidRDefault="00C61276" w:rsidP="00B93868">
            <w:pPr>
              <w:spacing w:before="120" w:after="120" w:line="240" w:lineRule="auto"/>
              <w:rPr>
                <w:rFonts w:cs="Arial"/>
                <w:b/>
                <w:sz w:val="16"/>
                <w:szCs w:val="16"/>
              </w:rPr>
            </w:pPr>
            <w:r>
              <w:rPr>
                <w:b/>
                <w:sz w:val="16"/>
              </w:rPr>
              <w:t>(y compris statistiques sur des échantillons de tailles et de fichiers ayant soulevé l'objection d'auditeurs, ainsi que les recommandations qu'ils ont faites).</w:t>
            </w:r>
          </w:p>
        </w:tc>
        <w:tc>
          <w:tcPr>
            <w:tcW w:w="709" w:type="dxa"/>
            <w:vMerge w:val="restart"/>
            <w:shd w:val="pct20" w:color="auto" w:fill="auto"/>
          </w:tcPr>
          <w:p w14:paraId="67595CB3" w14:textId="77777777" w:rsidR="00C61276" w:rsidRPr="00EB30C0" w:rsidRDefault="00C61276" w:rsidP="00B93868">
            <w:pPr>
              <w:spacing w:before="120" w:after="120" w:line="240" w:lineRule="auto"/>
              <w:rPr>
                <w:rFonts w:cs="Arial"/>
                <w:b/>
                <w:sz w:val="16"/>
                <w:szCs w:val="16"/>
              </w:rPr>
            </w:pPr>
            <w:r>
              <w:rPr>
                <w:b/>
                <w:sz w:val="16"/>
              </w:rPr>
              <w:t>Réf. doc. de travail</w:t>
            </w:r>
          </w:p>
        </w:tc>
      </w:tr>
      <w:tr w:rsidR="00C61276" w:rsidRPr="00573E72" w14:paraId="41BD7BC6" w14:textId="77777777" w:rsidTr="00452A65">
        <w:trPr>
          <w:cantSplit/>
          <w:trHeight w:val="1484"/>
          <w:tblHeader/>
        </w:trPr>
        <w:tc>
          <w:tcPr>
            <w:tcW w:w="596" w:type="dxa"/>
            <w:tcBorders>
              <w:bottom w:val="single" w:sz="4" w:space="0" w:color="auto"/>
            </w:tcBorders>
            <w:shd w:val="pct20" w:color="auto" w:fill="auto"/>
            <w:textDirection w:val="btLr"/>
          </w:tcPr>
          <w:p w14:paraId="22FD573B" w14:textId="77777777" w:rsidR="00C61276" w:rsidRPr="00EB30C0" w:rsidRDefault="00C61276" w:rsidP="00B93868">
            <w:pPr>
              <w:spacing w:before="120" w:after="120" w:line="240" w:lineRule="auto"/>
              <w:ind w:left="113" w:right="113"/>
              <w:rPr>
                <w:rFonts w:cs="Arial"/>
                <w:sz w:val="14"/>
                <w:szCs w:val="14"/>
              </w:rPr>
            </w:pPr>
            <w:r>
              <w:rPr>
                <w:sz w:val="14"/>
              </w:rPr>
              <w:t>Gestion de fortune individuelle</w:t>
            </w:r>
          </w:p>
        </w:tc>
        <w:tc>
          <w:tcPr>
            <w:tcW w:w="596" w:type="dxa"/>
            <w:tcBorders>
              <w:bottom w:val="single" w:sz="4" w:space="0" w:color="auto"/>
            </w:tcBorders>
            <w:shd w:val="pct20" w:color="auto" w:fill="auto"/>
            <w:textDirection w:val="btLr"/>
          </w:tcPr>
          <w:p w14:paraId="6C082E99" w14:textId="77777777" w:rsidR="00C61276" w:rsidRPr="00EB30C0" w:rsidRDefault="00C61276" w:rsidP="00B93868">
            <w:pPr>
              <w:spacing w:before="120" w:after="120" w:line="240" w:lineRule="auto"/>
              <w:ind w:left="113" w:right="113"/>
              <w:rPr>
                <w:rFonts w:cs="Arial"/>
                <w:sz w:val="14"/>
                <w:szCs w:val="14"/>
              </w:rPr>
            </w:pPr>
            <w:r>
              <w:rPr>
                <w:sz w:val="14"/>
              </w:rPr>
              <w:t>Conseil en placement</w:t>
            </w:r>
          </w:p>
        </w:tc>
        <w:tc>
          <w:tcPr>
            <w:tcW w:w="596" w:type="dxa"/>
            <w:tcBorders>
              <w:bottom w:val="single" w:sz="4" w:space="0" w:color="auto"/>
            </w:tcBorders>
            <w:shd w:val="pct20" w:color="auto" w:fill="auto"/>
            <w:textDirection w:val="btLr"/>
          </w:tcPr>
          <w:p w14:paraId="10F09E51" w14:textId="77777777" w:rsidR="00C61276" w:rsidRPr="00EB30C0" w:rsidRDefault="00C61276" w:rsidP="00452A65">
            <w:pPr>
              <w:spacing w:line="240" w:lineRule="auto"/>
              <w:ind w:left="113"/>
              <w:rPr>
                <w:rFonts w:cs="Arial"/>
                <w:sz w:val="14"/>
                <w:szCs w:val="14"/>
              </w:rPr>
            </w:pPr>
            <w:r>
              <w:rPr>
                <w:sz w:val="14"/>
              </w:rPr>
              <w:t>Exécution de transactions</w:t>
            </w:r>
            <w:r w:rsidR="00BB01C9">
              <w:rPr>
                <w:sz w:val="14"/>
              </w:rPr>
              <w:t xml:space="preserve"> (activité</w:t>
            </w:r>
            <w:r w:rsidR="00452A65">
              <w:rPr>
                <w:sz w:val="14"/>
              </w:rPr>
              <w:t>s</w:t>
            </w:r>
            <w:r w:rsidR="00BB01C9">
              <w:rPr>
                <w:sz w:val="14"/>
              </w:rPr>
              <w:t xml:space="preserve"> de simple exécution)</w:t>
            </w:r>
          </w:p>
        </w:tc>
        <w:tc>
          <w:tcPr>
            <w:tcW w:w="673" w:type="dxa"/>
            <w:tcBorders>
              <w:bottom w:val="single" w:sz="4" w:space="0" w:color="auto"/>
            </w:tcBorders>
            <w:shd w:val="pct20" w:color="auto" w:fill="auto"/>
            <w:textDirection w:val="btLr"/>
            <w:vAlign w:val="bottom"/>
          </w:tcPr>
          <w:p w14:paraId="79F65147" w14:textId="77777777" w:rsidR="00C61276" w:rsidRPr="00EB30C0" w:rsidRDefault="00C61276" w:rsidP="00B93868">
            <w:pPr>
              <w:spacing w:before="120" w:after="120" w:line="240" w:lineRule="auto"/>
              <w:ind w:left="113" w:right="113"/>
              <w:rPr>
                <w:rFonts w:cs="Arial"/>
                <w:sz w:val="14"/>
                <w:szCs w:val="14"/>
              </w:rPr>
            </w:pPr>
            <w:r>
              <w:rPr>
                <w:sz w:val="14"/>
              </w:rPr>
              <w:t xml:space="preserve">Distribution de placements collectifs </w:t>
            </w:r>
          </w:p>
        </w:tc>
        <w:tc>
          <w:tcPr>
            <w:tcW w:w="567" w:type="dxa"/>
            <w:vMerge/>
            <w:tcBorders>
              <w:bottom w:val="single" w:sz="4" w:space="0" w:color="auto"/>
            </w:tcBorders>
            <w:shd w:val="pct20" w:color="auto" w:fill="auto"/>
          </w:tcPr>
          <w:p w14:paraId="79991869" w14:textId="77777777" w:rsidR="00C61276" w:rsidRPr="00EB30C0" w:rsidRDefault="00C61276" w:rsidP="00B93868">
            <w:pPr>
              <w:spacing w:before="120" w:after="120" w:line="240" w:lineRule="auto"/>
              <w:rPr>
                <w:rFonts w:cs="Arial"/>
                <w:b/>
                <w:sz w:val="16"/>
                <w:szCs w:val="16"/>
              </w:rPr>
            </w:pPr>
          </w:p>
        </w:tc>
        <w:tc>
          <w:tcPr>
            <w:tcW w:w="1531" w:type="dxa"/>
            <w:vMerge/>
            <w:tcBorders>
              <w:bottom w:val="single" w:sz="4" w:space="0" w:color="auto"/>
            </w:tcBorders>
            <w:shd w:val="pct20" w:color="auto" w:fill="auto"/>
          </w:tcPr>
          <w:p w14:paraId="014A6BA9" w14:textId="77777777" w:rsidR="00C61276" w:rsidRPr="00EB30C0" w:rsidRDefault="00C61276" w:rsidP="00B93868">
            <w:pPr>
              <w:spacing w:before="120" w:after="120" w:line="240" w:lineRule="auto"/>
              <w:rPr>
                <w:rFonts w:cs="Arial"/>
                <w:b/>
                <w:sz w:val="16"/>
                <w:szCs w:val="16"/>
              </w:rPr>
            </w:pPr>
          </w:p>
        </w:tc>
        <w:tc>
          <w:tcPr>
            <w:tcW w:w="3856" w:type="dxa"/>
            <w:vMerge/>
            <w:tcBorders>
              <w:bottom w:val="single" w:sz="4" w:space="0" w:color="auto"/>
            </w:tcBorders>
            <w:shd w:val="pct20" w:color="auto" w:fill="auto"/>
          </w:tcPr>
          <w:p w14:paraId="1F10DB15" w14:textId="77777777" w:rsidR="00C61276" w:rsidRPr="00EB30C0" w:rsidRDefault="00C61276" w:rsidP="00B93868">
            <w:pPr>
              <w:spacing w:before="120" w:after="120" w:line="240" w:lineRule="auto"/>
              <w:rPr>
                <w:rFonts w:cs="Arial"/>
                <w:b/>
                <w:sz w:val="16"/>
                <w:szCs w:val="16"/>
              </w:rPr>
            </w:pPr>
          </w:p>
        </w:tc>
        <w:tc>
          <w:tcPr>
            <w:tcW w:w="3656" w:type="dxa"/>
            <w:vMerge/>
            <w:tcBorders>
              <w:bottom w:val="single" w:sz="4" w:space="0" w:color="auto"/>
            </w:tcBorders>
            <w:shd w:val="pct20" w:color="auto" w:fill="auto"/>
          </w:tcPr>
          <w:p w14:paraId="64B1804E" w14:textId="77777777" w:rsidR="00C61276" w:rsidRPr="00EB30C0" w:rsidRDefault="00C61276" w:rsidP="00B93868">
            <w:pPr>
              <w:spacing w:before="120" w:after="120" w:line="240" w:lineRule="auto"/>
              <w:rPr>
                <w:rFonts w:cs="Arial"/>
                <w:b/>
                <w:sz w:val="16"/>
                <w:szCs w:val="16"/>
                <w:u w:val="single"/>
              </w:rPr>
            </w:pPr>
          </w:p>
        </w:tc>
        <w:tc>
          <w:tcPr>
            <w:tcW w:w="2410" w:type="dxa"/>
            <w:vMerge/>
            <w:tcBorders>
              <w:bottom w:val="single" w:sz="4" w:space="0" w:color="auto"/>
            </w:tcBorders>
            <w:shd w:val="pct20" w:color="auto" w:fill="auto"/>
          </w:tcPr>
          <w:p w14:paraId="08942737" w14:textId="77777777" w:rsidR="00C61276" w:rsidRPr="00EB30C0" w:rsidRDefault="00C61276" w:rsidP="00B93868">
            <w:pPr>
              <w:spacing w:before="120" w:after="120" w:line="240" w:lineRule="auto"/>
              <w:rPr>
                <w:rFonts w:cs="Arial"/>
                <w:b/>
                <w:sz w:val="16"/>
                <w:szCs w:val="16"/>
              </w:rPr>
            </w:pPr>
          </w:p>
        </w:tc>
        <w:tc>
          <w:tcPr>
            <w:tcW w:w="709" w:type="dxa"/>
            <w:vMerge/>
            <w:tcBorders>
              <w:bottom w:val="single" w:sz="4" w:space="0" w:color="auto"/>
            </w:tcBorders>
            <w:shd w:val="pct20" w:color="auto" w:fill="auto"/>
          </w:tcPr>
          <w:p w14:paraId="36B10FF2" w14:textId="77777777" w:rsidR="00C61276" w:rsidRPr="00EB30C0" w:rsidRDefault="00C61276" w:rsidP="00B93868">
            <w:pPr>
              <w:spacing w:before="120" w:after="120" w:line="240" w:lineRule="auto"/>
              <w:rPr>
                <w:rFonts w:cs="Arial"/>
                <w:b/>
                <w:sz w:val="16"/>
                <w:szCs w:val="16"/>
              </w:rPr>
            </w:pPr>
          </w:p>
        </w:tc>
      </w:tr>
      <w:tr w:rsidR="00C61276" w:rsidRPr="00573E72" w14:paraId="620993F2" w14:textId="77777777" w:rsidTr="00EF0539">
        <w:tc>
          <w:tcPr>
            <w:tcW w:w="15190" w:type="dxa"/>
            <w:gridSpan w:val="10"/>
            <w:tcBorders>
              <w:bottom w:val="single" w:sz="4" w:space="0" w:color="auto"/>
            </w:tcBorders>
            <w:shd w:val="clear" w:color="auto" w:fill="D9D9D9"/>
          </w:tcPr>
          <w:p w14:paraId="1D423200" w14:textId="77777777" w:rsidR="00C61276" w:rsidRPr="0048295D" w:rsidRDefault="00C61276" w:rsidP="00B93868">
            <w:pPr>
              <w:spacing w:before="120" w:after="120" w:line="240" w:lineRule="auto"/>
              <w:rPr>
                <w:rFonts w:cs="Arial"/>
                <w:i/>
                <w:sz w:val="16"/>
                <w:szCs w:val="16"/>
                <w:lang w:val="en-US"/>
              </w:rPr>
            </w:pPr>
            <w:r w:rsidRPr="0048295D">
              <w:rPr>
                <w:i/>
                <w:sz w:val="16"/>
                <w:lang w:val="en-US"/>
              </w:rPr>
              <w:t xml:space="preserve">Confirmation that the operational organization related to the management, controlling and reporting of suitability risks in </w:t>
            </w:r>
            <w:r w:rsidRPr="0048295D">
              <w:rPr>
                <w:lang w:val="en-US"/>
              </w:rPr>
              <w:t>□</w:t>
            </w:r>
            <w:r w:rsidRPr="0048295D">
              <w:rPr>
                <w:i/>
                <w:sz w:val="16"/>
                <w:lang w:val="en-US"/>
              </w:rPr>
              <w:t xml:space="preserve"> individual portfolio management, </w:t>
            </w:r>
            <w:r w:rsidRPr="0048295D">
              <w:rPr>
                <w:lang w:val="en-US"/>
              </w:rPr>
              <w:t xml:space="preserve">□ </w:t>
            </w:r>
            <w:r w:rsidRPr="0048295D">
              <w:rPr>
                <w:i/>
                <w:sz w:val="16"/>
                <w:lang w:val="en-US"/>
              </w:rPr>
              <w:t xml:space="preserve">investment advisory services, </w:t>
            </w:r>
            <w:r w:rsidRPr="0048295D">
              <w:rPr>
                <w:lang w:val="en-US"/>
              </w:rPr>
              <w:t xml:space="preserve">□ </w:t>
            </w:r>
            <w:r w:rsidRPr="0048295D">
              <w:rPr>
                <w:i/>
                <w:sz w:val="16"/>
                <w:lang w:val="en-US"/>
              </w:rPr>
              <w:t xml:space="preserve">execution of transactions and </w:t>
            </w:r>
            <w:r w:rsidRPr="0048295D">
              <w:rPr>
                <w:lang w:val="en-US"/>
              </w:rPr>
              <w:t xml:space="preserve">□ </w:t>
            </w:r>
            <w:r w:rsidRPr="0048295D">
              <w:rPr>
                <w:i/>
                <w:sz w:val="16"/>
                <w:lang w:val="en-US"/>
              </w:rPr>
              <w:t>distribution of collective investment schemes was adequate and appropriate.</w:t>
            </w:r>
          </w:p>
          <w:p w14:paraId="0F84E007" w14:textId="77777777" w:rsidR="00C61276" w:rsidRPr="0048295D" w:rsidRDefault="00C61276" w:rsidP="00B93868">
            <w:pPr>
              <w:spacing w:before="120" w:after="120" w:line="240" w:lineRule="auto"/>
              <w:rPr>
                <w:rFonts w:cs="Arial"/>
                <w:i/>
                <w:sz w:val="16"/>
                <w:szCs w:val="16"/>
                <w:lang w:val="de-CH"/>
              </w:rPr>
            </w:pPr>
            <w:r w:rsidRPr="0048295D">
              <w:rPr>
                <w:i/>
                <w:sz w:val="16"/>
                <w:lang w:val="de-CH"/>
              </w:rPr>
              <w:t xml:space="preserve">Bestätigung, dass die Betriebsorganisation zur Bewirtschaftung, Kontrolle und Rapportierung der Suitability-Risiken in den Bereichen </w:t>
            </w:r>
            <w:r w:rsidRPr="0048295D">
              <w:rPr>
                <w:lang w:val="de-CH"/>
              </w:rPr>
              <w:t xml:space="preserve">□ </w:t>
            </w:r>
            <w:r w:rsidRPr="0048295D">
              <w:rPr>
                <w:i/>
                <w:sz w:val="16"/>
                <w:lang w:val="de-CH"/>
              </w:rPr>
              <w:t xml:space="preserve">individuelle Vermögensverwaltung, </w:t>
            </w:r>
            <w:r w:rsidRPr="0048295D">
              <w:rPr>
                <w:lang w:val="de-CH"/>
              </w:rPr>
              <w:t xml:space="preserve">□ </w:t>
            </w:r>
            <w:r w:rsidRPr="0048295D">
              <w:rPr>
                <w:i/>
                <w:sz w:val="16"/>
                <w:lang w:val="de-CH"/>
              </w:rPr>
              <w:t xml:space="preserve">Anlageberatung, </w:t>
            </w:r>
            <w:r w:rsidRPr="0048295D">
              <w:rPr>
                <w:lang w:val="de-CH"/>
              </w:rPr>
              <w:t xml:space="preserve">□ </w:t>
            </w:r>
            <w:r w:rsidRPr="0048295D">
              <w:rPr>
                <w:i/>
                <w:sz w:val="16"/>
                <w:lang w:val="de-CH"/>
              </w:rPr>
              <w:t xml:space="preserve">Transaktionsausführung und </w:t>
            </w:r>
            <w:r w:rsidRPr="0048295D">
              <w:rPr>
                <w:lang w:val="de-CH"/>
              </w:rPr>
              <w:t xml:space="preserve">□ </w:t>
            </w:r>
            <w:r w:rsidRPr="0048295D">
              <w:rPr>
                <w:i/>
                <w:sz w:val="16"/>
                <w:lang w:val="de-CH"/>
              </w:rPr>
              <w:t>Vertrieb kollektiver Kapitalanlagen angemessen war.</w:t>
            </w:r>
          </w:p>
          <w:p w14:paraId="77931E98" w14:textId="77777777" w:rsidR="00C61276" w:rsidRPr="00EB30C0" w:rsidRDefault="00C61276" w:rsidP="00B93868">
            <w:pPr>
              <w:spacing w:before="120" w:after="120" w:line="240" w:lineRule="auto"/>
              <w:rPr>
                <w:rFonts w:cs="Arial"/>
                <w:b/>
                <w:sz w:val="16"/>
                <w:szCs w:val="16"/>
              </w:rPr>
            </w:pPr>
            <w:r w:rsidRPr="00C028CE">
              <w:rPr>
                <w:i/>
                <w:sz w:val="16"/>
                <w:szCs w:val="16"/>
              </w:rPr>
              <w:t xml:space="preserve">Confirmation que l'organisation opérationnelle en matière de gestion, contrôle et </w:t>
            </w:r>
            <w:r w:rsidRPr="00175D65">
              <w:rPr>
                <w:i/>
                <w:sz w:val="16"/>
                <w:szCs w:val="16"/>
              </w:rPr>
              <w:t>reporting des risques de suitability</w:t>
            </w:r>
            <w:r w:rsidRPr="00C028CE">
              <w:rPr>
                <w:i/>
                <w:sz w:val="16"/>
                <w:szCs w:val="16"/>
              </w:rPr>
              <w:t>, dans les domaines de □ gestion de fortune individuelle,</w:t>
            </w:r>
            <w:r>
              <w:rPr>
                <w:i/>
              </w:rPr>
              <w:t xml:space="preserve"> □ </w:t>
            </w:r>
            <w:r w:rsidRPr="00C028CE">
              <w:rPr>
                <w:i/>
                <w:sz w:val="16"/>
                <w:szCs w:val="16"/>
              </w:rPr>
              <w:t>conseil en placement</w:t>
            </w:r>
            <w:r w:rsidRPr="0036054A">
              <w:rPr>
                <w:i/>
                <w:sz w:val="16"/>
                <w:szCs w:val="16"/>
              </w:rPr>
              <w:t>,</w:t>
            </w:r>
            <w:r>
              <w:rPr>
                <w:i/>
                <w:sz w:val="16"/>
              </w:rPr>
              <w:t xml:space="preserve"> </w:t>
            </w:r>
            <w:r>
              <w:rPr>
                <w:i/>
              </w:rPr>
              <w:t xml:space="preserve">□ </w:t>
            </w:r>
            <w:r>
              <w:rPr>
                <w:i/>
                <w:sz w:val="16"/>
              </w:rPr>
              <w:t>exécution de transactions</w:t>
            </w:r>
            <w:r>
              <w:rPr>
                <w:i/>
              </w:rPr>
              <w:t xml:space="preserve"> </w:t>
            </w:r>
            <w:r w:rsidRPr="00C028CE">
              <w:rPr>
                <w:i/>
                <w:sz w:val="16"/>
                <w:szCs w:val="16"/>
              </w:rPr>
              <w:t>et</w:t>
            </w:r>
            <w:r>
              <w:rPr>
                <w:i/>
              </w:rPr>
              <w:t xml:space="preserve"> □ </w:t>
            </w:r>
            <w:r w:rsidRPr="00C028CE">
              <w:rPr>
                <w:i/>
                <w:sz w:val="16"/>
                <w:szCs w:val="16"/>
              </w:rPr>
              <w:t>distribution de placements collectifs était adéquate et appropriée.</w:t>
            </w:r>
          </w:p>
        </w:tc>
      </w:tr>
      <w:tr w:rsidR="00C61276" w:rsidRPr="00573E72" w14:paraId="70F5CA88" w14:textId="77777777" w:rsidTr="00B93868">
        <w:tc>
          <w:tcPr>
            <w:tcW w:w="596" w:type="dxa"/>
          </w:tcPr>
          <w:p w14:paraId="247D85F4" w14:textId="77777777" w:rsidR="00C61276" w:rsidRPr="00EB30C0" w:rsidRDefault="00C61276" w:rsidP="00B93868">
            <w:pPr>
              <w:spacing w:before="120" w:after="120" w:line="240" w:lineRule="auto"/>
              <w:rPr>
                <w:rFonts w:cs="Arial"/>
                <w:b/>
                <w:sz w:val="16"/>
                <w:szCs w:val="16"/>
              </w:rPr>
            </w:pPr>
            <w:r>
              <w:rPr>
                <w:b/>
                <w:sz w:val="16"/>
              </w:rPr>
              <w:t>X</w:t>
            </w:r>
          </w:p>
        </w:tc>
        <w:tc>
          <w:tcPr>
            <w:tcW w:w="596" w:type="dxa"/>
          </w:tcPr>
          <w:p w14:paraId="7E88AFB6" w14:textId="77777777" w:rsidR="00C61276" w:rsidRPr="00EB30C0" w:rsidRDefault="00C61276" w:rsidP="00B93868">
            <w:pPr>
              <w:spacing w:before="120" w:after="120" w:line="240" w:lineRule="auto"/>
              <w:rPr>
                <w:rFonts w:cs="Arial"/>
                <w:b/>
                <w:sz w:val="16"/>
                <w:szCs w:val="16"/>
              </w:rPr>
            </w:pPr>
            <w:r>
              <w:rPr>
                <w:b/>
                <w:sz w:val="16"/>
              </w:rPr>
              <w:t>X</w:t>
            </w:r>
          </w:p>
        </w:tc>
        <w:tc>
          <w:tcPr>
            <w:tcW w:w="596" w:type="dxa"/>
          </w:tcPr>
          <w:p w14:paraId="5CC9E3A8" w14:textId="77777777" w:rsidR="00C61276" w:rsidRPr="00EB30C0" w:rsidRDefault="00C61276" w:rsidP="00B93868">
            <w:pPr>
              <w:spacing w:before="120" w:after="120" w:line="240" w:lineRule="auto"/>
              <w:rPr>
                <w:rFonts w:cs="Arial"/>
                <w:b/>
                <w:sz w:val="16"/>
                <w:szCs w:val="16"/>
              </w:rPr>
            </w:pPr>
            <w:r>
              <w:rPr>
                <w:b/>
                <w:sz w:val="16"/>
              </w:rPr>
              <w:t>X</w:t>
            </w:r>
          </w:p>
        </w:tc>
        <w:tc>
          <w:tcPr>
            <w:tcW w:w="673" w:type="dxa"/>
          </w:tcPr>
          <w:p w14:paraId="482F9EB0" w14:textId="77777777" w:rsidR="00C61276" w:rsidRPr="00EB30C0" w:rsidRDefault="00C61276" w:rsidP="00B93868">
            <w:pPr>
              <w:spacing w:before="120" w:after="120" w:line="240" w:lineRule="auto"/>
              <w:rPr>
                <w:rFonts w:cs="Arial"/>
                <w:b/>
                <w:sz w:val="16"/>
                <w:szCs w:val="16"/>
              </w:rPr>
            </w:pPr>
            <w:r>
              <w:rPr>
                <w:b/>
                <w:sz w:val="16"/>
              </w:rPr>
              <w:t>X</w:t>
            </w:r>
          </w:p>
        </w:tc>
        <w:tc>
          <w:tcPr>
            <w:tcW w:w="567" w:type="dxa"/>
            <w:vMerge w:val="restart"/>
            <w:shd w:val="clear" w:color="auto" w:fill="auto"/>
          </w:tcPr>
          <w:p w14:paraId="65E7AD09" w14:textId="77777777" w:rsidR="00C61276" w:rsidRPr="00EB30C0" w:rsidRDefault="00C61276" w:rsidP="00B93868">
            <w:pPr>
              <w:spacing w:before="120" w:after="120" w:line="240" w:lineRule="auto"/>
              <w:rPr>
                <w:rFonts w:cs="Arial"/>
                <w:b/>
                <w:sz w:val="16"/>
                <w:szCs w:val="16"/>
              </w:rPr>
            </w:pPr>
          </w:p>
        </w:tc>
        <w:tc>
          <w:tcPr>
            <w:tcW w:w="1531" w:type="dxa"/>
            <w:vMerge w:val="restart"/>
            <w:shd w:val="clear" w:color="auto" w:fill="auto"/>
          </w:tcPr>
          <w:p w14:paraId="03E63014" w14:textId="77777777" w:rsidR="00C61276" w:rsidRPr="00EB30C0" w:rsidRDefault="00C61276" w:rsidP="00A55FCD">
            <w:pPr>
              <w:spacing w:before="120" w:after="120" w:line="240" w:lineRule="auto"/>
              <w:rPr>
                <w:rFonts w:cs="Arial"/>
                <w:b/>
                <w:sz w:val="16"/>
                <w:szCs w:val="16"/>
              </w:rPr>
            </w:pPr>
            <w:r>
              <w:rPr>
                <w:b/>
                <w:sz w:val="16"/>
              </w:rPr>
              <w:t>Processus pour gérer</w:t>
            </w:r>
            <w:r w:rsidR="0036054A">
              <w:rPr>
                <w:b/>
                <w:sz w:val="16"/>
              </w:rPr>
              <w:t xml:space="preserve"> </w:t>
            </w:r>
            <w:r>
              <w:rPr>
                <w:b/>
                <w:sz w:val="16"/>
              </w:rPr>
              <w:t xml:space="preserve">les risques de </w:t>
            </w:r>
            <w:r>
              <w:rPr>
                <w:b/>
                <w:i/>
                <w:sz w:val="16"/>
              </w:rPr>
              <w:t>suitability</w:t>
            </w:r>
            <w:r>
              <w:rPr>
                <w:b/>
                <w:sz w:val="16"/>
              </w:rPr>
              <w:t xml:space="preserve"> en général</w:t>
            </w:r>
          </w:p>
        </w:tc>
        <w:tc>
          <w:tcPr>
            <w:tcW w:w="3856" w:type="dxa"/>
            <w:tcBorders>
              <w:bottom w:val="single" w:sz="4" w:space="0" w:color="auto"/>
            </w:tcBorders>
            <w:shd w:val="clear" w:color="auto" w:fill="auto"/>
          </w:tcPr>
          <w:p w14:paraId="30CF21C5" w14:textId="77777777" w:rsidR="00C61276" w:rsidRPr="006C1090" w:rsidRDefault="00C61276" w:rsidP="00B93868">
            <w:pPr>
              <w:autoSpaceDE w:val="0"/>
              <w:autoSpaceDN w:val="0"/>
              <w:adjustRightInd w:val="0"/>
              <w:spacing w:before="120" w:after="120" w:line="240" w:lineRule="auto"/>
              <w:jc w:val="both"/>
              <w:rPr>
                <w:rFonts w:cs="Arial"/>
                <w:i/>
                <w:sz w:val="16"/>
                <w:szCs w:val="16"/>
              </w:rPr>
            </w:pPr>
            <w:r>
              <w:rPr>
                <w:i/>
                <w:sz w:val="16"/>
              </w:rPr>
              <w:t xml:space="preserve">Evaluer l'adéquation des méthodes utilisées pour identifier, mesurer, gérer et </w:t>
            </w:r>
            <w:r w:rsidRPr="006C1090">
              <w:rPr>
                <w:i/>
                <w:sz w:val="16"/>
              </w:rPr>
              <w:t xml:space="preserve">surveiller les risques de </w:t>
            </w:r>
            <w:r w:rsidRPr="00175D65">
              <w:rPr>
                <w:i/>
                <w:sz w:val="16"/>
              </w:rPr>
              <w:t>suitability</w:t>
            </w:r>
            <w:r w:rsidRPr="006C1090">
              <w:rPr>
                <w:i/>
                <w:sz w:val="16"/>
              </w:rPr>
              <w:t>, compte tenu de la taille et de la pertinence des domaines gestion de fortune</w:t>
            </w:r>
            <w:r w:rsidR="006A78F1" w:rsidRPr="006C1090">
              <w:rPr>
                <w:i/>
                <w:sz w:val="16"/>
              </w:rPr>
              <w:t xml:space="preserve"> individuelle</w:t>
            </w:r>
            <w:r w:rsidRPr="006C1090">
              <w:rPr>
                <w:i/>
                <w:sz w:val="16"/>
              </w:rPr>
              <w:t>, conseil en placement, exécution de transactions et distribution de placements collectifs, notamment :</w:t>
            </w:r>
          </w:p>
          <w:p w14:paraId="154F4661" w14:textId="77777777" w:rsidR="00A55FCD" w:rsidRPr="00A55FCD" w:rsidRDefault="006A78F1" w:rsidP="00B93868">
            <w:pPr>
              <w:spacing w:before="120" w:after="120" w:line="240" w:lineRule="auto"/>
              <w:rPr>
                <w:sz w:val="16"/>
              </w:rPr>
            </w:pPr>
            <w:r w:rsidRPr="006C1090">
              <w:rPr>
                <w:sz w:val="16"/>
              </w:rPr>
              <w:t>Obtenir et é</w:t>
            </w:r>
            <w:r w:rsidR="00192F5C" w:rsidRPr="006C1090">
              <w:rPr>
                <w:sz w:val="16"/>
              </w:rPr>
              <w:t xml:space="preserve">valuer l’adéquation en terme de gestion des risques </w:t>
            </w:r>
            <w:r w:rsidR="00192F5C" w:rsidRPr="006C1090">
              <w:rPr>
                <w:i/>
                <w:sz w:val="16"/>
              </w:rPr>
              <w:t>suitability</w:t>
            </w:r>
            <w:r w:rsidR="00192F5C" w:rsidRPr="006C1090">
              <w:rPr>
                <w:sz w:val="16"/>
              </w:rPr>
              <w:t xml:space="preserve"> d</w:t>
            </w:r>
            <w:r w:rsidR="00C61276" w:rsidRPr="006C1090">
              <w:rPr>
                <w:sz w:val="16"/>
              </w:rPr>
              <w:t>es règlements internes, directives, manuels et descriptions de poste.</w:t>
            </w:r>
          </w:p>
        </w:tc>
        <w:tc>
          <w:tcPr>
            <w:tcW w:w="3656" w:type="dxa"/>
            <w:tcBorders>
              <w:bottom w:val="single" w:sz="4" w:space="0" w:color="auto"/>
            </w:tcBorders>
            <w:shd w:val="clear" w:color="auto" w:fill="auto"/>
          </w:tcPr>
          <w:p w14:paraId="1D4BB97A" w14:textId="77777777" w:rsidR="00C61276" w:rsidRPr="00EB30C0" w:rsidRDefault="00C61276" w:rsidP="00B93868">
            <w:pPr>
              <w:autoSpaceDE w:val="0"/>
              <w:autoSpaceDN w:val="0"/>
              <w:adjustRightInd w:val="0"/>
              <w:spacing w:before="120" w:after="120" w:line="240" w:lineRule="auto"/>
              <w:rPr>
                <w:rFonts w:cs="Arial"/>
                <w:sz w:val="16"/>
                <w:szCs w:val="16"/>
              </w:rPr>
            </w:pPr>
          </w:p>
          <w:p w14:paraId="7D1746AC" w14:textId="77777777" w:rsidR="00C61276" w:rsidRPr="00EB30C0" w:rsidRDefault="00C61276" w:rsidP="00B93868">
            <w:pPr>
              <w:spacing w:before="120" w:after="120" w:line="240" w:lineRule="auto"/>
              <w:rPr>
                <w:rFonts w:cs="Arial"/>
                <w:b/>
                <w:sz w:val="16"/>
                <w:szCs w:val="16"/>
                <w:u w:val="single"/>
              </w:rPr>
            </w:pPr>
          </w:p>
        </w:tc>
        <w:tc>
          <w:tcPr>
            <w:tcW w:w="2410" w:type="dxa"/>
            <w:tcBorders>
              <w:bottom w:val="single" w:sz="4" w:space="0" w:color="auto"/>
            </w:tcBorders>
            <w:shd w:val="clear" w:color="auto" w:fill="auto"/>
          </w:tcPr>
          <w:p w14:paraId="00FF2E06" w14:textId="77777777" w:rsidR="00C61276" w:rsidRPr="00EB30C0" w:rsidRDefault="00C61276" w:rsidP="00B93868">
            <w:pPr>
              <w:spacing w:before="120" w:after="120" w:line="240" w:lineRule="auto"/>
              <w:rPr>
                <w:rFonts w:cs="Arial"/>
                <w:b/>
                <w:sz w:val="16"/>
                <w:szCs w:val="16"/>
              </w:rPr>
            </w:pPr>
          </w:p>
        </w:tc>
        <w:tc>
          <w:tcPr>
            <w:tcW w:w="709" w:type="dxa"/>
            <w:tcBorders>
              <w:bottom w:val="single" w:sz="4" w:space="0" w:color="auto"/>
            </w:tcBorders>
            <w:shd w:val="clear" w:color="auto" w:fill="auto"/>
          </w:tcPr>
          <w:p w14:paraId="58954145" w14:textId="77777777" w:rsidR="00C61276" w:rsidRPr="00EB30C0" w:rsidRDefault="00C61276" w:rsidP="00B93868">
            <w:pPr>
              <w:spacing w:before="120" w:after="120" w:line="240" w:lineRule="auto"/>
              <w:rPr>
                <w:rFonts w:cs="Arial"/>
                <w:b/>
                <w:sz w:val="16"/>
                <w:szCs w:val="16"/>
              </w:rPr>
            </w:pPr>
          </w:p>
        </w:tc>
      </w:tr>
      <w:tr w:rsidR="00C61276" w:rsidRPr="00573E72" w14:paraId="1ED807BF" w14:textId="77777777" w:rsidTr="00B93868">
        <w:tc>
          <w:tcPr>
            <w:tcW w:w="596" w:type="dxa"/>
            <w:tcBorders>
              <w:bottom w:val="single" w:sz="4" w:space="0" w:color="auto"/>
            </w:tcBorders>
          </w:tcPr>
          <w:p w14:paraId="2067C03D" w14:textId="77777777" w:rsidR="00C61276" w:rsidRPr="00EB30C0" w:rsidRDefault="00C61276" w:rsidP="00B93868">
            <w:pPr>
              <w:spacing w:before="120" w:after="120" w:line="240" w:lineRule="auto"/>
              <w:rPr>
                <w:rFonts w:cs="Arial"/>
                <w:b/>
                <w:sz w:val="16"/>
                <w:szCs w:val="16"/>
              </w:rPr>
            </w:pPr>
            <w:r>
              <w:rPr>
                <w:b/>
                <w:sz w:val="16"/>
              </w:rPr>
              <w:t>X</w:t>
            </w:r>
          </w:p>
        </w:tc>
        <w:tc>
          <w:tcPr>
            <w:tcW w:w="596" w:type="dxa"/>
            <w:tcBorders>
              <w:bottom w:val="single" w:sz="4" w:space="0" w:color="auto"/>
            </w:tcBorders>
          </w:tcPr>
          <w:p w14:paraId="4746AF50" w14:textId="77777777" w:rsidR="00C61276" w:rsidRPr="00EB30C0" w:rsidRDefault="00C61276" w:rsidP="00B93868">
            <w:pPr>
              <w:spacing w:before="120" w:after="120" w:line="240" w:lineRule="auto"/>
              <w:rPr>
                <w:rFonts w:cs="Arial"/>
                <w:b/>
                <w:sz w:val="16"/>
                <w:szCs w:val="16"/>
              </w:rPr>
            </w:pPr>
            <w:r>
              <w:rPr>
                <w:b/>
                <w:sz w:val="16"/>
              </w:rPr>
              <w:t>X</w:t>
            </w:r>
          </w:p>
        </w:tc>
        <w:tc>
          <w:tcPr>
            <w:tcW w:w="596" w:type="dxa"/>
            <w:tcBorders>
              <w:bottom w:val="single" w:sz="4" w:space="0" w:color="auto"/>
            </w:tcBorders>
          </w:tcPr>
          <w:p w14:paraId="7DC07104" w14:textId="77777777" w:rsidR="00C61276" w:rsidRPr="00EB30C0" w:rsidRDefault="00C61276" w:rsidP="00B93868">
            <w:pPr>
              <w:spacing w:before="120" w:after="120" w:line="240" w:lineRule="auto"/>
              <w:rPr>
                <w:rFonts w:cs="Arial"/>
                <w:b/>
                <w:sz w:val="16"/>
                <w:szCs w:val="16"/>
              </w:rPr>
            </w:pPr>
            <w:r>
              <w:rPr>
                <w:b/>
                <w:sz w:val="16"/>
              </w:rPr>
              <w:t>X</w:t>
            </w:r>
          </w:p>
        </w:tc>
        <w:tc>
          <w:tcPr>
            <w:tcW w:w="673" w:type="dxa"/>
            <w:tcBorders>
              <w:bottom w:val="single" w:sz="4" w:space="0" w:color="auto"/>
            </w:tcBorders>
          </w:tcPr>
          <w:p w14:paraId="5ABCA84D" w14:textId="77777777" w:rsidR="00C61276" w:rsidRPr="00EB30C0" w:rsidRDefault="00C61276" w:rsidP="00B93868">
            <w:pPr>
              <w:spacing w:before="120" w:after="120" w:line="240" w:lineRule="auto"/>
              <w:rPr>
                <w:rFonts w:cs="Arial"/>
                <w:b/>
                <w:sz w:val="16"/>
                <w:szCs w:val="16"/>
              </w:rPr>
            </w:pPr>
            <w:r>
              <w:rPr>
                <w:b/>
                <w:sz w:val="16"/>
              </w:rPr>
              <w:t>X</w:t>
            </w:r>
          </w:p>
        </w:tc>
        <w:tc>
          <w:tcPr>
            <w:tcW w:w="567" w:type="dxa"/>
            <w:vMerge/>
            <w:tcBorders>
              <w:bottom w:val="single" w:sz="4" w:space="0" w:color="auto"/>
            </w:tcBorders>
            <w:shd w:val="clear" w:color="auto" w:fill="auto"/>
          </w:tcPr>
          <w:p w14:paraId="129189F0" w14:textId="77777777" w:rsidR="00C61276" w:rsidRPr="00EB30C0" w:rsidRDefault="00C61276" w:rsidP="00B93868">
            <w:pPr>
              <w:spacing w:before="120" w:after="120" w:line="240" w:lineRule="auto"/>
              <w:rPr>
                <w:rFonts w:cs="Arial"/>
                <w:b/>
                <w:sz w:val="16"/>
                <w:szCs w:val="16"/>
              </w:rPr>
            </w:pPr>
          </w:p>
        </w:tc>
        <w:tc>
          <w:tcPr>
            <w:tcW w:w="1531" w:type="dxa"/>
            <w:vMerge/>
            <w:tcBorders>
              <w:bottom w:val="single" w:sz="4" w:space="0" w:color="auto"/>
            </w:tcBorders>
            <w:shd w:val="clear" w:color="auto" w:fill="auto"/>
          </w:tcPr>
          <w:p w14:paraId="7465683E" w14:textId="77777777" w:rsidR="00C61276" w:rsidRPr="00EB30C0" w:rsidRDefault="00C61276" w:rsidP="00B93868">
            <w:pPr>
              <w:spacing w:before="120" w:after="120" w:line="240" w:lineRule="auto"/>
              <w:rPr>
                <w:rFonts w:cs="Arial"/>
                <w:b/>
                <w:sz w:val="16"/>
                <w:szCs w:val="16"/>
              </w:rPr>
            </w:pPr>
          </w:p>
        </w:tc>
        <w:tc>
          <w:tcPr>
            <w:tcW w:w="3856" w:type="dxa"/>
            <w:tcBorders>
              <w:bottom w:val="single" w:sz="4" w:space="0" w:color="auto"/>
            </w:tcBorders>
            <w:shd w:val="clear" w:color="auto" w:fill="auto"/>
          </w:tcPr>
          <w:p w14:paraId="715D0B3B" w14:textId="77777777" w:rsidR="00C61276" w:rsidRPr="006C1090" w:rsidRDefault="00740752" w:rsidP="00740752">
            <w:pPr>
              <w:spacing w:before="120" w:after="120" w:line="240" w:lineRule="auto"/>
              <w:rPr>
                <w:rFonts w:cs="Arial"/>
                <w:b/>
                <w:sz w:val="16"/>
                <w:szCs w:val="16"/>
              </w:rPr>
            </w:pPr>
            <w:r w:rsidRPr="006C1090">
              <w:rPr>
                <w:sz w:val="16"/>
              </w:rPr>
              <w:t>Evaluer l'adéquation de</w:t>
            </w:r>
            <w:r w:rsidR="00C61276" w:rsidRPr="006C1090">
              <w:rPr>
                <w:sz w:val="16"/>
              </w:rPr>
              <w:t xml:space="preserve"> l'implication de la direction opérationnelle en termes de gestion des risques de </w:t>
            </w:r>
            <w:r w:rsidR="00C61276" w:rsidRPr="006C1090">
              <w:rPr>
                <w:i/>
                <w:sz w:val="16"/>
              </w:rPr>
              <w:t>suitability</w:t>
            </w:r>
            <w:r w:rsidR="00C61276" w:rsidRPr="006C1090">
              <w:rPr>
                <w:sz w:val="16"/>
              </w:rPr>
              <w:t xml:space="preserve"> par l'examen des procès-verbaux et des rapports pertinents (approbation de règlements internes, gestion des réclamations des clients, par ex.). </w:t>
            </w:r>
          </w:p>
        </w:tc>
        <w:tc>
          <w:tcPr>
            <w:tcW w:w="3656" w:type="dxa"/>
            <w:tcBorders>
              <w:bottom w:val="single" w:sz="4" w:space="0" w:color="auto"/>
            </w:tcBorders>
            <w:shd w:val="clear" w:color="auto" w:fill="auto"/>
          </w:tcPr>
          <w:p w14:paraId="1984C841" w14:textId="77777777" w:rsidR="00C61276" w:rsidRPr="006C1090" w:rsidRDefault="00C61276" w:rsidP="006A78F1">
            <w:pPr>
              <w:spacing w:before="120" w:after="120" w:line="240" w:lineRule="auto"/>
              <w:rPr>
                <w:rFonts w:cs="Arial"/>
                <w:b/>
                <w:sz w:val="16"/>
                <w:szCs w:val="16"/>
                <w:u w:val="single"/>
              </w:rPr>
            </w:pPr>
            <w:r w:rsidRPr="006C1090">
              <w:rPr>
                <w:sz w:val="16"/>
              </w:rPr>
              <w:t xml:space="preserve">Examiner </w:t>
            </w:r>
            <w:r w:rsidR="006A78F1" w:rsidRPr="006C1090">
              <w:rPr>
                <w:sz w:val="16"/>
              </w:rPr>
              <w:t>un échantillon</w:t>
            </w:r>
            <w:r w:rsidRPr="006C1090">
              <w:rPr>
                <w:sz w:val="16"/>
              </w:rPr>
              <w:t xml:space="preserve"> de réclamations de clients basée sur le risque ou d'autres </w:t>
            </w:r>
            <w:r w:rsidR="00192F5C" w:rsidRPr="006C1090">
              <w:rPr>
                <w:sz w:val="16"/>
              </w:rPr>
              <w:t xml:space="preserve">cas </w:t>
            </w:r>
            <w:r w:rsidRPr="006C1090">
              <w:rPr>
                <w:sz w:val="16"/>
              </w:rPr>
              <w:t xml:space="preserve">détectés et signalés en interne comportant un risque de </w:t>
            </w:r>
            <w:r w:rsidRPr="006C1090">
              <w:rPr>
                <w:i/>
                <w:sz w:val="16"/>
              </w:rPr>
              <w:t>suitability</w:t>
            </w:r>
            <w:r w:rsidRPr="006C1090">
              <w:rPr>
                <w:sz w:val="16"/>
              </w:rPr>
              <w:t xml:space="preserve"> et évaluer l'adéquation des décisions prises par les organes compétents.</w:t>
            </w:r>
          </w:p>
        </w:tc>
        <w:tc>
          <w:tcPr>
            <w:tcW w:w="2410" w:type="dxa"/>
            <w:tcBorders>
              <w:bottom w:val="single" w:sz="4" w:space="0" w:color="auto"/>
            </w:tcBorders>
            <w:shd w:val="clear" w:color="auto" w:fill="auto"/>
          </w:tcPr>
          <w:p w14:paraId="160315CC" w14:textId="77777777" w:rsidR="00C61276" w:rsidRPr="00EB30C0" w:rsidRDefault="00C61276" w:rsidP="00B93868">
            <w:pPr>
              <w:spacing w:before="120" w:after="120" w:line="240" w:lineRule="auto"/>
              <w:rPr>
                <w:rFonts w:cs="Arial"/>
                <w:b/>
                <w:sz w:val="16"/>
                <w:szCs w:val="16"/>
              </w:rPr>
            </w:pPr>
          </w:p>
        </w:tc>
        <w:tc>
          <w:tcPr>
            <w:tcW w:w="709" w:type="dxa"/>
            <w:tcBorders>
              <w:bottom w:val="single" w:sz="4" w:space="0" w:color="auto"/>
            </w:tcBorders>
            <w:shd w:val="clear" w:color="auto" w:fill="auto"/>
          </w:tcPr>
          <w:p w14:paraId="0F67DEB9" w14:textId="77777777" w:rsidR="00C61276" w:rsidRPr="00EB30C0" w:rsidRDefault="00C61276" w:rsidP="00B93868">
            <w:pPr>
              <w:spacing w:before="120" w:after="120" w:line="240" w:lineRule="auto"/>
              <w:rPr>
                <w:rFonts w:cs="Arial"/>
                <w:b/>
                <w:sz w:val="16"/>
                <w:szCs w:val="16"/>
              </w:rPr>
            </w:pPr>
          </w:p>
        </w:tc>
      </w:tr>
      <w:tr w:rsidR="00C61276" w:rsidRPr="00573E72" w14:paraId="7D736CBE" w14:textId="77777777" w:rsidTr="00B93868">
        <w:tc>
          <w:tcPr>
            <w:tcW w:w="596" w:type="dxa"/>
            <w:tcBorders>
              <w:bottom w:val="single" w:sz="4" w:space="0" w:color="auto"/>
            </w:tcBorders>
          </w:tcPr>
          <w:p w14:paraId="60ADE820" w14:textId="77777777" w:rsidR="00C61276" w:rsidRPr="00EB30C0" w:rsidRDefault="00C61276" w:rsidP="00B93868">
            <w:pPr>
              <w:spacing w:before="120" w:after="120" w:line="240" w:lineRule="auto"/>
              <w:rPr>
                <w:rFonts w:cs="Arial"/>
                <w:b/>
                <w:sz w:val="16"/>
                <w:szCs w:val="16"/>
              </w:rPr>
            </w:pPr>
            <w:r>
              <w:rPr>
                <w:b/>
                <w:sz w:val="16"/>
              </w:rPr>
              <w:t>X</w:t>
            </w:r>
          </w:p>
        </w:tc>
        <w:tc>
          <w:tcPr>
            <w:tcW w:w="596" w:type="dxa"/>
            <w:tcBorders>
              <w:bottom w:val="single" w:sz="4" w:space="0" w:color="auto"/>
            </w:tcBorders>
          </w:tcPr>
          <w:p w14:paraId="0AAF073E" w14:textId="77777777" w:rsidR="00C61276" w:rsidRPr="00EB30C0" w:rsidRDefault="00C61276" w:rsidP="00B93868">
            <w:pPr>
              <w:spacing w:before="120" w:after="120" w:line="240" w:lineRule="auto"/>
              <w:rPr>
                <w:rFonts w:cs="Arial"/>
                <w:b/>
                <w:sz w:val="16"/>
                <w:szCs w:val="16"/>
              </w:rPr>
            </w:pPr>
            <w:r>
              <w:rPr>
                <w:b/>
                <w:sz w:val="16"/>
              </w:rPr>
              <w:t>X</w:t>
            </w:r>
          </w:p>
        </w:tc>
        <w:tc>
          <w:tcPr>
            <w:tcW w:w="596" w:type="dxa"/>
            <w:tcBorders>
              <w:bottom w:val="single" w:sz="4" w:space="0" w:color="auto"/>
            </w:tcBorders>
          </w:tcPr>
          <w:p w14:paraId="77B59369" w14:textId="77777777" w:rsidR="00C61276" w:rsidRPr="00EB30C0" w:rsidRDefault="00C61276" w:rsidP="00B93868">
            <w:pPr>
              <w:spacing w:before="120" w:after="120" w:line="240" w:lineRule="auto"/>
              <w:rPr>
                <w:rFonts w:cs="Arial"/>
                <w:b/>
                <w:sz w:val="16"/>
                <w:szCs w:val="16"/>
              </w:rPr>
            </w:pPr>
            <w:r>
              <w:rPr>
                <w:b/>
                <w:sz w:val="16"/>
              </w:rPr>
              <w:t>X</w:t>
            </w:r>
          </w:p>
        </w:tc>
        <w:tc>
          <w:tcPr>
            <w:tcW w:w="673" w:type="dxa"/>
            <w:tcBorders>
              <w:bottom w:val="single" w:sz="4" w:space="0" w:color="auto"/>
            </w:tcBorders>
          </w:tcPr>
          <w:p w14:paraId="0BE524B3" w14:textId="77777777" w:rsidR="00C61276" w:rsidRPr="00EB30C0" w:rsidRDefault="00C61276" w:rsidP="00B93868">
            <w:pPr>
              <w:spacing w:before="120" w:after="120" w:line="240" w:lineRule="auto"/>
              <w:rPr>
                <w:rFonts w:cs="Arial"/>
                <w:b/>
                <w:sz w:val="16"/>
                <w:szCs w:val="16"/>
              </w:rPr>
            </w:pPr>
            <w:r>
              <w:rPr>
                <w:b/>
                <w:sz w:val="16"/>
              </w:rPr>
              <w:t>X</w:t>
            </w:r>
          </w:p>
        </w:tc>
        <w:tc>
          <w:tcPr>
            <w:tcW w:w="567" w:type="dxa"/>
            <w:vMerge w:val="restart"/>
            <w:shd w:val="clear" w:color="auto" w:fill="auto"/>
          </w:tcPr>
          <w:p w14:paraId="70BD9CC0" w14:textId="77777777" w:rsidR="00C61276" w:rsidRPr="00EB30C0" w:rsidRDefault="00C61276" w:rsidP="00B93868">
            <w:pPr>
              <w:spacing w:before="120" w:after="120" w:line="240" w:lineRule="auto"/>
              <w:rPr>
                <w:rFonts w:cs="Arial"/>
                <w:b/>
                <w:sz w:val="16"/>
                <w:szCs w:val="16"/>
              </w:rPr>
            </w:pPr>
          </w:p>
        </w:tc>
        <w:tc>
          <w:tcPr>
            <w:tcW w:w="1531" w:type="dxa"/>
            <w:vMerge w:val="restart"/>
            <w:shd w:val="clear" w:color="auto" w:fill="auto"/>
          </w:tcPr>
          <w:p w14:paraId="353354A8" w14:textId="77777777" w:rsidR="00C61276" w:rsidRPr="00EB30C0" w:rsidRDefault="00C61276" w:rsidP="00B93868">
            <w:pPr>
              <w:spacing w:before="120" w:after="120" w:line="240" w:lineRule="auto"/>
              <w:rPr>
                <w:rFonts w:cs="Arial"/>
                <w:b/>
                <w:sz w:val="16"/>
                <w:szCs w:val="16"/>
              </w:rPr>
            </w:pPr>
            <w:r>
              <w:rPr>
                <w:b/>
                <w:sz w:val="16"/>
              </w:rPr>
              <w:t>Contrôles internes</w:t>
            </w:r>
          </w:p>
        </w:tc>
        <w:tc>
          <w:tcPr>
            <w:tcW w:w="3856" w:type="dxa"/>
            <w:tcBorders>
              <w:bottom w:val="single" w:sz="4" w:space="0" w:color="auto"/>
            </w:tcBorders>
            <w:shd w:val="clear" w:color="auto" w:fill="auto"/>
          </w:tcPr>
          <w:p w14:paraId="0D4381E2" w14:textId="77777777" w:rsidR="00C61276" w:rsidRPr="006C1090" w:rsidRDefault="00C61276" w:rsidP="00B93868">
            <w:pPr>
              <w:autoSpaceDE w:val="0"/>
              <w:autoSpaceDN w:val="0"/>
              <w:adjustRightInd w:val="0"/>
              <w:spacing w:before="120" w:after="120" w:line="240" w:lineRule="auto"/>
              <w:jc w:val="both"/>
              <w:rPr>
                <w:rFonts w:cs="Arial"/>
                <w:i/>
                <w:sz w:val="16"/>
                <w:szCs w:val="16"/>
              </w:rPr>
            </w:pPr>
            <w:r w:rsidRPr="006C1090">
              <w:rPr>
                <w:i/>
                <w:sz w:val="16"/>
              </w:rPr>
              <w:t xml:space="preserve">Evaluer l'adéquation de la </w:t>
            </w:r>
            <w:r w:rsidR="00192F5C" w:rsidRPr="006C1090">
              <w:rPr>
                <w:i/>
                <w:sz w:val="16"/>
              </w:rPr>
              <w:t xml:space="preserve">définition </w:t>
            </w:r>
            <w:r w:rsidRPr="006C1090">
              <w:rPr>
                <w:i/>
                <w:sz w:val="16"/>
              </w:rPr>
              <w:t xml:space="preserve">du système de contrôle interne de l'établissement concernant la </w:t>
            </w:r>
            <w:r w:rsidRPr="00175D65">
              <w:rPr>
                <w:i/>
                <w:sz w:val="16"/>
              </w:rPr>
              <w:t>suitability</w:t>
            </w:r>
            <w:r w:rsidRPr="006C1090">
              <w:rPr>
                <w:i/>
                <w:sz w:val="16"/>
              </w:rPr>
              <w:t xml:space="preserve"> dans les domaines</w:t>
            </w:r>
            <w:r w:rsidR="00192F5C" w:rsidRPr="006C1090">
              <w:rPr>
                <w:i/>
                <w:sz w:val="16"/>
              </w:rPr>
              <w:t xml:space="preserve"> de</w:t>
            </w:r>
            <w:r w:rsidRPr="006C1090">
              <w:rPr>
                <w:i/>
                <w:sz w:val="16"/>
              </w:rPr>
              <w:t xml:space="preserve"> gestion de fortune individuelle, conseil en placement, exécution de </w:t>
            </w:r>
            <w:r w:rsidRPr="006C1090">
              <w:rPr>
                <w:i/>
                <w:sz w:val="16"/>
              </w:rPr>
              <w:lastRenderedPageBreak/>
              <w:t>transactions et distribution de placements collectifs, notamment :</w:t>
            </w:r>
          </w:p>
          <w:p w14:paraId="71DA6E33" w14:textId="77777777" w:rsidR="00C61276" w:rsidRPr="006C1090" w:rsidRDefault="00C61276" w:rsidP="00B93868">
            <w:pPr>
              <w:autoSpaceDE w:val="0"/>
              <w:autoSpaceDN w:val="0"/>
              <w:adjustRightInd w:val="0"/>
              <w:spacing w:before="120" w:after="120" w:line="240" w:lineRule="auto"/>
              <w:jc w:val="both"/>
              <w:rPr>
                <w:rFonts w:cs="Arial"/>
                <w:sz w:val="16"/>
                <w:szCs w:val="16"/>
              </w:rPr>
            </w:pPr>
            <w:r w:rsidRPr="006C1090">
              <w:rPr>
                <w:sz w:val="16"/>
              </w:rPr>
              <w:t xml:space="preserve">Evaluer au moyen d'enquêtes et d'analyses de documents pertinents (lignes directrices, directives internes, processus) l'adéquation de la </w:t>
            </w:r>
            <w:r w:rsidR="00192F5C" w:rsidRPr="006C1090">
              <w:rPr>
                <w:sz w:val="16"/>
              </w:rPr>
              <w:t xml:space="preserve">définition </w:t>
            </w:r>
            <w:r w:rsidRPr="006C1090">
              <w:rPr>
                <w:sz w:val="16"/>
              </w:rPr>
              <w:t>du système de contrôle interne :</w:t>
            </w:r>
          </w:p>
          <w:p w14:paraId="63C29615" w14:textId="77777777" w:rsidR="00C61276" w:rsidRPr="006C1090" w:rsidRDefault="00C61276" w:rsidP="00B93868">
            <w:pPr>
              <w:pStyle w:val="Listenabsatz"/>
              <w:numPr>
                <w:ilvl w:val="0"/>
                <w:numId w:val="10"/>
              </w:numPr>
              <w:autoSpaceDE w:val="0"/>
              <w:autoSpaceDN w:val="0"/>
              <w:adjustRightInd w:val="0"/>
              <w:spacing w:before="120" w:after="120" w:line="240" w:lineRule="auto"/>
              <w:ind w:left="201" w:hanging="142"/>
              <w:jc w:val="both"/>
              <w:rPr>
                <w:rFonts w:cs="Arial"/>
                <w:sz w:val="16"/>
                <w:szCs w:val="16"/>
              </w:rPr>
            </w:pPr>
            <w:r w:rsidRPr="006C1090">
              <w:rPr>
                <w:sz w:val="16"/>
              </w:rPr>
              <w:t xml:space="preserve">activités de contrôle intégrées aux processus de travail et aux systèmes concernant la </w:t>
            </w:r>
            <w:r w:rsidRPr="006C1090">
              <w:rPr>
                <w:i/>
                <w:sz w:val="16"/>
              </w:rPr>
              <w:t>suitability</w:t>
            </w:r>
            <w:r w:rsidRPr="006C1090">
              <w:rPr>
                <w:sz w:val="16"/>
              </w:rPr>
              <w:t xml:space="preserve"> (avertissements au point de vente pour garantir des contrôles préventifs de pré-négociation, par ex.) ; </w:t>
            </w:r>
          </w:p>
          <w:p w14:paraId="3B0491B3" w14:textId="77777777" w:rsidR="00C61276" w:rsidRPr="006C1090" w:rsidRDefault="00C61276" w:rsidP="00B93868">
            <w:pPr>
              <w:pStyle w:val="Listenabsatz"/>
              <w:numPr>
                <w:ilvl w:val="0"/>
                <w:numId w:val="10"/>
              </w:numPr>
              <w:autoSpaceDE w:val="0"/>
              <w:autoSpaceDN w:val="0"/>
              <w:adjustRightInd w:val="0"/>
              <w:spacing w:before="120" w:after="120" w:line="240" w:lineRule="auto"/>
              <w:ind w:left="201" w:hanging="142"/>
              <w:jc w:val="both"/>
              <w:rPr>
                <w:rFonts w:cs="Arial"/>
                <w:sz w:val="16"/>
                <w:szCs w:val="16"/>
              </w:rPr>
            </w:pPr>
            <w:r w:rsidRPr="006C1090">
              <w:rPr>
                <w:sz w:val="16"/>
              </w:rPr>
              <w:t xml:space="preserve">processus de respect des standards de </w:t>
            </w:r>
            <w:r w:rsidRPr="006C1090">
              <w:rPr>
                <w:i/>
                <w:sz w:val="16"/>
              </w:rPr>
              <w:t>suitability</w:t>
            </w:r>
            <w:r w:rsidRPr="006C1090">
              <w:rPr>
                <w:sz w:val="16"/>
              </w:rPr>
              <w:t xml:space="preserve">, y c. directives internes </w:t>
            </w:r>
          </w:p>
          <w:p w14:paraId="39565359" w14:textId="77777777" w:rsidR="00C61276" w:rsidRPr="006C1090" w:rsidRDefault="00C61276" w:rsidP="00B93868">
            <w:pPr>
              <w:pStyle w:val="Listenabsatz"/>
              <w:numPr>
                <w:ilvl w:val="0"/>
                <w:numId w:val="10"/>
              </w:numPr>
              <w:autoSpaceDE w:val="0"/>
              <w:autoSpaceDN w:val="0"/>
              <w:adjustRightInd w:val="0"/>
              <w:spacing w:before="120" w:after="120" w:line="240" w:lineRule="auto"/>
              <w:ind w:left="201" w:hanging="142"/>
              <w:jc w:val="both"/>
              <w:rPr>
                <w:rFonts w:cs="Arial"/>
                <w:sz w:val="16"/>
                <w:szCs w:val="16"/>
              </w:rPr>
            </w:pPr>
            <w:r w:rsidRPr="006C1090">
              <w:rPr>
                <w:sz w:val="16"/>
              </w:rPr>
              <w:t>intégration adéquate de fonctions de risque indépendant</w:t>
            </w:r>
            <w:r w:rsidR="00740752" w:rsidRPr="006C1090">
              <w:rPr>
                <w:sz w:val="16"/>
              </w:rPr>
              <w:t>es</w:t>
            </w:r>
            <w:r w:rsidRPr="006C1090">
              <w:rPr>
                <w:sz w:val="16"/>
              </w:rPr>
              <w:t xml:space="preserve"> (contrôle de risque et/ou </w:t>
            </w:r>
            <w:r w:rsidRPr="006C1090">
              <w:rPr>
                <w:i/>
                <w:sz w:val="16"/>
              </w:rPr>
              <w:t>compliance</w:t>
            </w:r>
            <w:r w:rsidRPr="006C1090">
              <w:rPr>
                <w:sz w:val="16"/>
              </w:rPr>
              <w:t xml:space="preserve">) dans le processus de surveillance des risques de </w:t>
            </w:r>
            <w:r w:rsidRPr="006C1090">
              <w:rPr>
                <w:i/>
                <w:sz w:val="16"/>
              </w:rPr>
              <w:t>suitability</w:t>
            </w:r>
          </w:p>
          <w:p w14:paraId="3FC85692" w14:textId="77777777" w:rsidR="00C61276" w:rsidRPr="006C1090" w:rsidRDefault="00C61276" w:rsidP="00B93868">
            <w:pPr>
              <w:pStyle w:val="Listenabsatz"/>
              <w:numPr>
                <w:ilvl w:val="0"/>
                <w:numId w:val="12"/>
              </w:numPr>
              <w:spacing w:before="120" w:after="120" w:line="240" w:lineRule="auto"/>
              <w:ind w:left="201" w:hanging="142"/>
              <w:rPr>
                <w:rFonts w:cs="Arial"/>
                <w:b/>
                <w:sz w:val="16"/>
                <w:szCs w:val="16"/>
              </w:rPr>
            </w:pPr>
            <w:r w:rsidRPr="006C1090">
              <w:rPr>
                <w:sz w:val="16"/>
              </w:rPr>
              <w:t xml:space="preserve">surveillance appropriée des gérants de fortune indépendants (vigilance particulière pour le barattage, ou </w:t>
            </w:r>
            <w:r w:rsidRPr="006C1090">
              <w:rPr>
                <w:i/>
                <w:sz w:val="16"/>
              </w:rPr>
              <w:t>churning</w:t>
            </w:r>
            <w:r w:rsidRPr="006C1090">
              <w:rPr>
                <w:sz w:val="16"/>
              </w:rPr>
              <w:t>, et les placements dans des produits dans lesquels le gérant de fortune indépendant a des intérêts)</w:t>
            </w:r>
          </w:p>
        </w:tc>
        <w:tc>
          <w:tcPr>
            <w:tcW w:w="3656" w:type="dxa"/>
            <w:vMerge w:val="restart"/>
            <w:shd w:val="clear" w:color="auto" w:fill="auto"/>
          </w:tcPr>
          <w:p w14:paraId="03AE05B2" w14:textId="77777777" w:rsidR="00C61276" w:rsidRPr="006C1090" w:rsidRDefault="00C61276" w:rsidP="00B93868">
            <w:pPr>
              <w:spacing w:before="120" w:after="120" w:line="240" w:lineRule="auto"/>
              <w:rPr>
                <w:rFonts w:cs="Arial"/>
                <w:sz w:val="16"/>
                <w:szCs w:val="16"/>
              </w:rPr>
            </w:pPr>
          </w:p>
          <w:p w14:paraId="461D2B4C" w14:textId="77777777" w:rsidR="00C61276" w:rsidRPr="006C1090" w:rsidRDefault="00C61276" w:rsidP="00B93868">
            <w:pPr>
              <w:spacing w:before="120" w:after="120" w:line="240" w:lineRule="auto"/>
              <w:rPr>
                <w:rFonts w:cs="Arial"/>
                <w:sz w:val="16"/>
                <w:szCs w:val="16"/>
              </w:rPr>
            </w:pPr>
          </w:p>
          <w:p w14:paraId="6812CDD6" w14:textId="77777777" w:rsidR="00C61276" w:rsidRPr="006C1090" w:rsidRDefault="00C61276" w:rsidP="00B93868">
            <w:pPr>
              <w:spacing w:before="120" w:after="120" w:line="240" w:lineRule="auto"/>
              <w:rPr>
                <w:rFonts w:cs="Arial"/>
                <w:sz w:val="16"/>
                <w:szCs w:val="16"/>
              </w:rPr>
            </w:pPr>
          </w:p>
          <w:p w14:paraId="346F72AB" w14:textId="77777777" w:rsidR="00C61276" w:rsidRPr="006C1090" w:rsidRDefault="00C61276" w:rsidP="00B93868">
            <w:pPr>
              <w:spacing w:before="120" w:after="120" w:line="240" w:lineRule="auto"/>
              <w:rPr>
                <w:rFonts w:cs="Arial"/>
                <w:sz w:val="16"/>
                <w:szCs w:val="16"/>
              </w:rPr>
            </w:pPr>
          </w:p>
          <w:p w14:paraId="328EE17D" w14:textId="77777777" w:rsidR="00C61276" w:rsidRPr="006C1090" w:rsidRDefault="00C61276" w:rsidP="00B93868">
            <w:pPr>
              <w:spacing w:before="120" w:after="120" w:line="240" w:lineRule="auto"/>
              <w:rPr>
                <w:rFonts w:cs="Arial"/>
                <w:sz w:val="16"/>
                <w:szCs w:val="16"/>
              </w:rPr>
            </w:pPr>
          </w:p>
          <w:p w14:paraId="2E6D4A4F" w14:textId="77777777" w:rsidR="00C61276" w:rsidRPr="006C1090" w:rsidRDefault="00C61276" w:rsidP="00B93868">
            <w:pPr>
              <w:spacing w:before="120" w:after="120" w:line="240" w:lineRule="auto"/>
              <w:rPr>
                <w:rFonts w:cs="Arial"/>
                <w:sz w:val="16"/>
                <w:szCs w:val="16"/>
              </w:rPr>
            </w:pPr>
          </w:p>
          <w:p w14:paraId="31C880A2" w14:textId="77777777" w:rsidR="00A55FCD" w:rsidRPr="006C1090" w:rsidRDefault="00A55FCD" w:rsidP="00B93868">
            <w:pPr>
              <w:spacing w:before="120" w:after="120" w:line="240" w:lineRule="auto"/>
              <w:rPr>
                <w:rFonts w:cs="Arial"/>
                <w:sz w:val="16"/>
                <w:szCs w:val="16"/>
              </w:rPr>
            </w:pPr>
          </w:p>
          <w:p w14:paraId="73FB88B6" w14:textId="77777777" w:rsidR="00C61276" w:rsidRPr="006C1090" w:rsidRDefault="00C61276" w:rsidP="00B93868">
            <w:pPr>
              <w:spacing w:before="120" w:after="120" w:line="240" w:lineRule="auto"/>
              <w:rPr>
                <w:rFonts w:cs="Arial"/>
                <w:sz w:val="16"/>
                <w:szCs w:val="16"/>
              </w:rPr>
            </w:pPr>
            <w:r w:rsidRPr="006C1090">
              <w:rPr>
                <w:sz w:val="16"/>
              </w:rPr>
              <w:t>Tester les contrôles clés sur la base des risques.</w:t>
            </w:r>
          </w:p>
          <w:p w14:paraId="13B8A15C" w14:textId="77777777" w:rsidR="00C61276" w:rsidRPr="006C1090" w:rsidRDefault="00C61276" w:rsidP="00B93868">
            <w:pPr>
              <w:autoSpaceDE w:val="0"/>
              <w:autoSpaceDN w:val="0"/>
              <w:adjustRightInd w:val="0"/>
              <w:spacing w:before="120" w:after="120" w:line="240" w:lineRule="auto"/>
              <w:jc w:val="both"/>
              <w:rPr>
                <w:rFonts w:cs="Arial"/>
                <w:sz w:val="16"/>
                <w:szCs w:val="16"/>
              </w:rPr>
            </w:pPr>
          </w:p>
          <w:p w14:paraId="2D1307FC" w14:textId="77777777" w:rsidR="00C61276" w:rsidRPr="006C1090" w:rsidRDefault="00C61276" w:rsidP="00B93868">
            <w:pPr>
              <w:spacing w:before="120" w:after="120" w:line="240" w:lineRule="auto"/>
              <w:rPr>
                <w:rFonts w:cs="Arial"/>
                <w:b/>
                <w:sz w:val="16"/>
                <w:szCs w:val="16"/>
                <w:u w:val="single"/>
              </w:rPr>
            </w:pPr>
          </w:p>
        </w:tc>
        <w:tc>
          <w:tcPr>
            <w:tcW w:w="2410" w:type="dxa"/>
            <w:tcBorders>
              <w:bottom w:val="single" w:sz="4" w:space="0" w:color="auto"/>
            </w:tcBorders>
            <w:shd w:val="clear" w:color="auto" w:fill="auto"/>
          </w:tcPr>
          <w:p w14:paraId="4E2625EA" w14:textId="77777777" w:rsidR="00C61276" w:rsidRPr="00EB30C0" w:rsidRDefault="00C61276" w:rsidP="00B93868">
            <w:pPr>
              <w:spacing w:before="120" w:after="120" w:line="240" w:lineRule="auto"/>
              <w:rPr>
                <w:rFonts w:cs="Arial"/>
                <w:sz w:val="16"/>
                <w:szCs w:val="16"/>
              </w:rPr>
            </w:pPr>
          </w:p>
          <w:p w14:paraId="288953E8" w14:textId="77777777" w:rsidR="00C61276" w:rsidRPr="00EB30C0" w:rsidRDefault="00C61276" w:rsidP="00B93868">
            <w:pPr>
              <w:spacing w:before="120" w:after="120" w:line="240" w:lineRule="auto"/>
              <w:rPr>
                <w:rFonts w:cs="Arial"/>
                <w:b/>
                <w:sz w:val="16"/>
                <w:szCs w:val="16"/>
              </w:rPr>
            </w:pPr>
          </w:p>
        </w:tc>
        <w:tc>
          <w:tcPr>
            <w:tcW w:w="709" w:type="dxa"/>
            <w:tcBorders>
              <w:bottom w:val="single" w:sz="4" w:space="0" w:color="auto"/>
            </w:tcBorders>
            <w:shd w:val="clear" w:color="auto" w:fill="auto"/>
          </w:tcPr>
          <w:p w14:paraId="3764B337" w14:textId="77777777" w:rsidR="00C61276" w:rsidRPr="00EB30C0" w:rsidRDefault="00C61276" w:rsidP="00B93868">
            <w:pPr>
              <w:spacing w:before="120" w:after="120" w:line="240" w:lineRule="auto"/>
              <w:rPr>
                <w:rFonts w:cs="Arial"/>
                <w:sz w:val="16"/>
                <w:szCs w:val="16"/>
              </w:rPr>
            </w:pPr>
            <w:r>
              <w:rPr>
                <w:sz w:val="16"/>
              </w:rPr>
              <w:t xml:space="preserve"> </w:t>
            </w:r>
          </w:p>
          <w:p w14:paraId="2D3C06D8" w14:textId="77777777" w:rsidR="00C61276" w:rsidRPr="00EB30C0" w:rsidRDefault="00C61276" w:rsidP="00B93868">
            <w:pPr>
              <w:spacing w:before="120" w:after="120" w:line="240" w:lineRule="auto"/>
              <w:rPr>
                <w:rFonts w:cs="Arial"/>
                <w:sz w:val="16"/>
                <w:szCs w:val="16"/>
              </w:rPr>
            </w:pPr>
          </w:p>
          <w:p w14:paraId="72DF5958" w14:textId="77777777" w:rsidR="00C61276" w:rsidRPr="00EB30C0" w:rsidRDefault="00C61276" w:rsidP="00B93868">
            <w:pPr>
              <w:spacing w:before="120" w:after="120" w:line="240" w:lineRule="auto"/>
              <w:rPr>
                <w:rFonts w:cs="Arial"/>
                <w:b/>
                <w:sz w:val="16"/>
                <w:szCs w:val="16"/>
              </w:rPr>
            </w:pPr>
            <w:r>
              <w:rPr>
                <w:sz w:val="16"/>
              </w:rPr>
              <w:t xml:space="preserve"> </w:t>
            </w:r>
          </w:p>
        </w:tc>
      </w:tr>
      <w:tr w:rsidR="00C61276" w:rsidRPr="00573E72" w14:paraId="253CAEC4" w14:textId="77777777" w:rsidTr="00B93868">
        <w:tc>
          <w:tcPr>
            <w:tcW w:w="596" w:type="dxa"/>
            <w:tcBorders>
              <w:bottom w:val="single" w:sz="4" w:space="0" w:color="auto"/>
            </w:tcBorders>
          </w:tcPr>
          <w:p w14:paraId="501FA4E4" w14:textId="77777777" w:rsidR="00C61276" w:rsidRPr="00EB30C0" w:rsidRDefault="00C61276" w:rsidP="00B93868">
            <w:pPr>
              <w:spacing w:before="120" w:after="120" w:line="240" w:lineRule="auto"/>
              <w:rPr>
                <w:rFonts w:cs="Arial"/>
                <w:b/>
                <w:sz w:val="16"/>
                <w:szCs w:val="16"/>
              </w:rPr>
            </w:pPr>
          </w:p>
        </w:tc>
        <w:tc>
          <w:tcPr>
            <w:tcW w:w="596" w:type="dxa"/>
            <w:tcBorders>
              <w:bottom w:val="single" w:sz="4" w:space="0" w:color="auto"/>
            </w:tcBorders>
          </w:tcPr>
          <w:p w14:paraId="6905A002" w14:textId="77777777" w:rsidR="00C61276" w:rsidRPr="00EB30C0" w:rsidRDefault="00C61276" w:rsidP="00B93868">
            <w:pPr>
              <w:spacing w:before="120" w:after="120" w:line="240" w:lineRule="auto"/>
              <w:rPr>
                <w:rFonts w:cs="Arial"/>
                <w:b/>
                <w:sz w:val="16"/>
                <w:szCs w:val="16"/>
              </w:rPr>
            </w:pPr>
          </w:p>
        </w:tc>
        <w:tc>
          <w:tcPr>
            <w:tcW w:w="596" w:type="dxa"/>
            <w:tcBorders>
              <w:bottom w:val="single" w:sz="4" w:space="0" w:color="auto"/>
            </w:tcBorders>
          </w:tcPr>
          <w:p w14:paraId="17D85D1F" w14:textId="77777777" w:rsidR="00C61276" w:rsidRPr="00EB30C0" w:rsidRDefault="00C61276" w:rsidP="00B93868">
            <w:pPr>
              <w:spacing w:before="120" w:after="120" w:line="240" w:lineRule="auto"/>
              <w:rPr>
                <w:rFonts w:cs="Arial"/>
                <w:b/>
                <w:sz w:val="16"/>
                <w:szCs w:val="16"/>
              </w:rPr>
            </w:pPr>
          </w:p>
        </w:tc>
        <w:tc>
          <w:tcPr>
            <w:tcW w:w="673" w:type="dxa"/>
            <w:tcBorders>
              <w:bottom w:val="single" w:sz="4" w:space="0" w:color="auto"/>
            </w:tcBorders>
          </w:tcPr>
          <w:p w14:paraId="6279336B" w14:textId="77777777" w:rsidR="00C61276" w:rsidRPr="00EB30C0" w:rsidRDefault="00C61276" w:rsidP="00B93868">
            <w:pPr>
              <w:spacing w:before="120" w:after="120" w:line="240" w:lineRule="auto"/>
              <w:rPr>
                <w:rFonts w:cs="Arial"/>
                <w:b/>
                <w:sz w:val="16"/>
                <w:szCs w:val="16"/>
              </w:rPr>
            </w:pPr>
            <w:r>
              <w:rPr>
                <w:b/>
                <w:sz w:val="16"/>
              </w:rPr>
              <w:t>X</w:t>
            </w:r>
          </w:p>
        </w:tc>
        <w:tc>
          <w:tcPr>
            <w:tcW w:w="567" w:type="dxa"/>
            <w:vMerge/>
            <w:tcBorders>
              <w:bottom w:val="single" w:sz="4" w:space="0" w:color="auto"/>
            </w:tcBorders>
            <w:shd w:val="clear" w:color="auto" w:fill="auto"/>
          </w:tcPr>
          <w:p w14:paraId="5EB682CF" w14:textId="77777777" w:rsidR="00C61276" w:rsidRPr="00EB30C0" w:rsidRDefault="00C61276" w:rsidP="00B93868">
            <w:pPr>
              <w:spacing w:before="120" w:after="120" w:line="240" w:lineRule="auto"/>
              <w:rPr>
                <w:rFonts w:cs="Arial"/>
                <w:b/>
                <w:sz w:val="16"/>
                <w:szCs w:val="16"/>
              </w:rPr>
            </w:pPr>
          </w:p>
        </w:tc>
        <w:tc>
          <w:tcPr>
            <w:tcW w:w="1531" w:type="dxa"/>
            <w:vMerge/>
            <w:tcBorders>
              <w:bottom w:val="single" w:sz="4" w:space="0" w:color="auto"/>
            </w:tcBorders>
            <w:shd w:val="clear" w:color="auto" w:fill="auto"/>
          </w:tcPr>
          <w:p w14:paraId="1AC53178" w14:textId="77777777" w:rsidR="00C61276" w:rsidRPr="00EB30C0" w:rsidRDefault="00C61276" w:rsidP="00B93868">
            <w:pPr>
              <w:spacing w:before="120" w:after="120" w:line="240" w:lineRule="auto"/>
              <w:rPr>
                <w:rFonts w:cs="Arial"/>
                <w:b/>
                <w:sz w:val="16"/>
                <w:szCs w:val="16"/>
              </w:rPr>
            </w:pPr>
          </w:p>
        </w:tc>
        <w:tc>
          <w:tcPr>
            <w:tcW w:w="3856" w:type="dxa"/>
            <w:tcBorders>
              <w:bottom w:val="single" w:sz="4" w:space="0" w:color="auto"/>
            </w:tcBorders>
            <w:shd w:val="clear" w:color="auto" w:fill="auto"/>
          </w:tcPr>
          <w:p w14:paraId="1A077C26" w14:textId="77777777" w:rsidR="000E18F2" w:rsidRPr="006C1090" w:rsidRDefault="00C61276" w:rsidP="00322EF5">
            <w:pPr>
              <w:pStyle w:val="Listenabsatz"/>
              <w:numPr>
                <w:ilvl w:val="0"/>
                <w:numId w:val="12"/>
              </w:numPr>
              <w:spacing w:before="120" w:after="120" w:line="240" w:lineRule="auto"/>
              <w:ind w:left="201" w:hanging="142"/>
              <w:rPr>
                <w:rFonts w:cs="Arial"/>
                <w:i/>
                <w:sz w:val="16"/>
                <w:szCs w:val="16"/>
              </w:rPr>
            </w:pPr>
            <w:r w:rsidRPr="006C1090">
              <w:rPr>
                <w:sz w:val="16"/>
              </w:rPr>
              <w:t xml:space="preserve">intégration appropriée </w:t>
            </w:r>
            <w:r w:rsidR="00322EF5" w:rsidRPr="006C1090">
              <w:rPr>
                <w:sz w:val="16"/>
              </w:rPr>
              <w:t xml:space="preserve">de la surveillance </w:t>
            </w:r>
            <w:r w:rsidRPr="006C1090">
              <w:rPr>
                <w:sz w:val="16"/>
              </w:rPr>
              <w:t>de</w:t>
            </w:r>
            <w:r w:rsidR="00322EF5" w:rsidRPr="006C1090">
              <w:rPr>
                <w:sz w:val="16"/>
              </w:rPr>
              <w:t>s</w:t>
            </w:r>
            <w:r w:rsidRPr="006C1090">
              <w:rPr>
                <w:sz w:val="16"/>
              </w:rPr>
              <w:t xml:space="preserve"> points de distribution externes (y c. les exigences de surveillance pour la délégation à des sous-distributeurs au sens de la LPCC) dans le régime de contrôle.</w:t>
            </w:r>
          </w:p>
        </w:tc>
        <w:tc>
          <w:tcPr>
            <w:tcW w:w="3656" w:type="dxa"/>
            <w:vMerge/>
            <w:tcBorders>
              <w:bottom w:val="single" w:sz="4" w:space="0" w:color="auto"/>
            </w:tcBorders>
            <w:shd w:val="clear" w:color="auto" w:fill="auto"/>
          </w:tcPr>
          <w:p w14:paraId="2C327015" w14:textId="77777777" w:rsidR="00C61276" w:rsidRPr="006C1090" w:rsidDel="00AA5E5C" w:rsidRDefault="00C61276" w:rsidP="00B93868">
            <w:pPr>
              <w:spacing w:before="120" w:after="120" w:line="240" w:lineRule="auto"/>
              <w:rPr>
                <w:rFonts w:cs="Arial"/>
                <w:sz w:val="16"/>
                <w:szCs w:val="16"/>
              </w:rPr>
            </w:pPr>
          </w:p>
        </w:tc>
        <w:tc>
          <w:tcPr>
            <w:tcW w:w="2410" w:type="dxa"/>
            <w:tcBorders>
              <w:bottom w:val="single" w:sz="4" w:space="0" w:color="auto"/>
            </w:tcBorders>
            <w:shd w:val="clear" w:color="auto" w:fill="auto"/>
          </w:tcPr>
          <w:p w14:paraId="2602AAE6" w14:textId="77777777" w:rsidR="00C61276" w:rsidRPr="00EB30C0" w:rsidRDefault="00C61276" w:rsidP="00B93868">
            <w:pPr>
              <w:spacing w:before="120" w:after="120" w:line="240" w:lineRule="auto"/>
              <w:rPr>
                <w:rFonts w:cs="Arial"/>
                <w:sz w:val="16"/>
                <w:szCs w:val="16"/>
              </w:rPr>
            </w:pPr>
          </w:p>
        </w:tc>
        <w:tc>
          <w:tcPr>
            <w:tcW w:w="709" w:type="dxa"/>
            <w:tcBorders>
              <w:bottom w:val="single" w:sz="4" w:space="0" w:color="auto"/>
            </w:tcBorders>
            <w:shd w:val="clear" w:color="auto" w:fill="auto"/>
          </w:tcPr>
          <w:p w14:paraId="4F630827" w14:textId="77777777" w:rsidR="00C61276" w:rsidRPr="00EB30C0" w:rsidRDefault="00C61276" w:rsidP="00B93868">
            <w:pPr>
              <w:spacing w:before="120" w:after="120" w:line="240" w:lineRule="auto"/>
              <w:rPr>
                <w:rFonts w:cs="Arial"/>
                <w:sz w:val="16"/>
                <w:szCs w:val="16"/>
              </w:rPr>
            </w:pPr>
          </w:p>
        </w:tc>
      </w:tr>
      <w:tr w:rsidR="00C61276" w:rsidRPr="00573E72" w14:paraId="7B467BAC" w14:textId="77777777" w:rsidTr="00B93868">
        <w:tc>
          <w:tcPr>
            <w:tcW w:w="596" w:type="dxa"/>
          </w:tcPr>
          <w:p w14:paraId="24094C94" w14:textId="77777777" w:rsidR="00C61276" w:rsidRPr="00EB30C0" w:rsidRDefault="00C61276" w:rsidP="00B93868">
            <w:pPr>
              <w:spacing w:before="120" w:after="120" w:line="240" w:lineRule="auto"/>
              <w:rPr>
                <w:rFonts w:cs="Arial"/>
                <w:b/>
                <w:sz w:val="16"/>
                <w:szCs w:val="16"/>
              </w:rPr>
            </w:pPr>
            <w:r>
              <w:rPr>
                <w:b/>
                <w:sz w:val="16"/>
              </w:rPr>
              <w:t>X</w:t>
            </w:r>
          </w:p>
        </w:tc>
        <w:tc>
          <w:tcPr>
            <w:tcW w:w="596" w:type="dxa"/>
          </w:tcPr>
          <w:p w14:paraId="13CB8629" w14:textId="77777777" w:rsidR="00C61276" w:rsidRPr="00EB30C0" w:rsidRDefault="00C61276" w:rsidP="00B93868">
            <w:pPr>
              <w:spacing w:before="120" w:after="120" w:line="240" w:lineRule="auto"/>
              <w:rPr>
                <w:rFonts w:cs="Arial"/>
                <w:b/>
                <w:sz w:val="16"/>
                <w:szCs w:val="16"/>
              </w:rPr>
            </w:pPr>
            <w:r>
              <w:rPr>
                <w:b/>
                <w:sz w:val="16"/>
              </w:rPr>
              <w:t>X</w:t>
            </w:r>
          </w:p>
        </w:tc>
        <w:tc>
          <w:tcPr>
            <w:tcW w:w="596" w:type="dxa"/>
          </w:tcPr>
          <w:p w14:paraId="01E695CF" w14:textId="77777777" w:rsidR="00C61276" w:rsidRPr="00EB30C0" w:rsidRDefault="00C61276" w:rsidP="00B93868">
            <w:pPr>
              <w:spacing w:before="120" w:after="120" w:line="240" w:lineRule="auto"/>
              <w:rPr>
                <w:rFonts w:cs="Arial"/>
                <w:b/>
                <w:sz w:val="16"/>
                <w:szCs w:val="16"/>
              </w:rPr>
            </w:pPr>
            <w:r>
              <w:rPr>
                <w:b/>
                <w:sz w:val="16"/>
              </w:rPr>
              <w:t>X</w:t>
            </w:r>
          </w:p>
        </w:tc>
        <w:tc>
          <w:tcPr>
            <w:tcW w:w="673" w:type="dxa"/>
          </w:tcPr>
          <w:p w14:paraId="060DE18C" w14:textId="77777777" w:rsidR="00C61276" w:rsidRPr="00EB30C0" w:rsidRDefault="00C61276" w:rsidP="00B93868">
            <w:pPr>
              <w:spacing w:before="120" w:after="120" w:line="240" w:lineRule="auto"/>
              <w:rPr>
                <w:rFonts w:cs="Arial"/>
                <w:b/>
                <w:sz w:val="16"/>
                <w:szCs w:val="16"/>
              </w:rPr>
            </w:pPr>
            <w:r>
              <w:rPr>
                <w:b/>
                <w:sz w:val="16"/>
              </w:rPr>
              <w:t>X</w:t>
            </w:r>
          </w:p>
        </w:tc>
        <w:tc>
          <w:tcPr>
            <w:tcW w:w="567" w:type="dxa"/>
            <w:vMerge w:val="restart"/>
            <w:shd w:val="clear" w:color="auto" w:fill="auto"/>
          </w:tcPr>
          <w:p w14:paraId="5D9265F1" w14:textId="77777777" w:rsidR="00C61276" w:rsidRPr="00EB30C0" w:rsidRDefault="00C61276" w:rsidP="00B93868">
            <w:pPr>
              <w:spacing w:before="120" w:after="120" w:line="240" w:lineRule="auto"/>
              <w:rPr>
                <w:rFonts w:cs="Arial"/>
                <w:b/>
                <w:sz w:val="16"/>
                <w:szCs w:val="16"/>
              </w:rPr>
            </w:pPr>
          </w:p>
        </w:tc>
        <w:tc>
          <w:tcPr>
            <w:tcW w:w="1531" w:type="dxa"/>
            <w:vMerge w:val="restart"/>
            <w:shd w:val="clear" w:color="auto" w:fill="auto"/>
          </w:tcPr>
          <w:p w14:paraId="545DB438" w14:textId="77777777" w:rsidR="00C61276" w:rsidRPr="00175D65" w:rsidRDefault="00C61276" w:rsidP="00B93868">
            <w:pPr>
              <w:spacing w:before="120" w:after="120" w:line="240" w:lineRule="auto"/>
              <w:rPr>
                <w:rFonts w:cs="Arial"/>
                <w:b/>
                <w:i/>
                <w:sz w:val="16"/>
                <w:szCs w:val="16"/>
              </w:rPr>
            </w:pPr>
            <w:r w:rsidRPr="00175D65">
              <w:rPr>
                <w:b/>
                <w:i/>
                <w:sz w:val="16"/>
              </w:rPr>
              <w:t>Reporting</w:t>
            </w:r>
          </w:p>
        </w:tc>
        <w:tc>
          <w:tcPr>
            <w:tcW w:w="3856" w:type="dxa"/>
            <w:tcBorders>
              <w:bottom w:val="single" w:sz="4" w:space="0" w:color="auto"/>
            </w:tcBorders>
            <w:shd w:val="clear" w:color="auto" w:fill="auto"/>
          </w:tcPr>
          <w:p w14:paraId="29D7A58E" w14:textId="77777777" w:rsidR="00C61276" w:rsidRPr="006C1090" w:rsidRDefault="00C61276" w:rsidP="00B93868">
            <w:pPr>
              <w:spacing w:before="120" w:after="120" w:line="240" w:lineRule="auto"/>
              <w:rPr>
                <w:rFonts w:cs="Arial"/>
                <w:b/>
                <w:i/>
                <w:sz w:val="16"/>
                <w:szCs w:val="16"/>
              </w:rPr>
            </w:pPr>
            <w:r w:rsidRPr="006C1090">
              <w:rPr>
                <w:i/>
                <w:sz w:val="16"/>
              </w:rPr>
              <w:t xml:space="preserve">Evaluer au moyen d'enquêtes et d'analyses de documents pertinents l'adéquation du </w:t>
            </w:r>
            <w:r w:rsidRPr="00175D65">
              <w:rPr>
                <w:i/>
                <w:sz w:val="16"/>
              </w:rPr>
              <w:t>reporting in</w:t>
            </w:r>
            <w:r w:rsidRPr="00175D65">
              <w:rPr>
                <w:i/>
                <w:sz w:val="16"/>
              </w:rPr>
              <w:lastRenderedPageBreak/>
              <w:t>terne et des procédures de remontée de l'information concernant les risques de suitability en général, notamment :</w:t>
            </w:r>
          </w:p>
        </w:tc>
        <w:tc>
          <w:tcPr>
            <w:tcW w:w="3656" w:type="dxa"/>
            <w:tcBorders>
              <w:bottom w:val="single" w:sz="4" w:space="0" w:color="auto"/>
            </w:tcBorders>
            <w:shd w:val="clear" w:color="auto" w:fill="auto"/>
          </w:tcPr>
          <w:p w14:paraId="50F710ED" w14:textId="77777777" w:rsidR="00C61276" w:rsidRPr="006C1090" w:rsidRDefault="00C61276" w:rsidP="00B93868">
            <w:pPr>
              <w:spacing w:before="120" w:after="120" w:line="240" w:lineRule="auto"/>
              <w:rPr>
                <w:rFonts w:cs="Arial"/>
                <w:b/>
                <w:sz w:val="16"/>
                <w:szCs w:val="16"/>
                <w:u w:val="single"/>
              </w:rPr>
            </w:pPr>
          </w:p>
        </w:tc>
        <w:tc>
          <w:tcPr>
            <w:tcW w:w="2410" w:type="dxa"/>
            <w:tcBorders>
              <w:bottom w:val="single" w:sz="4" w:space="0" w:color="auto"/>
            </w:tcBorders>
            <w:shd w:val="clear" w:color="auto" w:fill="auto"/>
          </w:tcPr>
          <w:p w14:paraId="315133DB" w14:textId="77777777" w:rsidR="00C61276" w:rsidRPr="00EB30C0" w:rsidRDefault="00C61276" w:rsidP="00B93868">
            <w:pPr>
              <w:spacing w:before="120" w:after="120" w:line="240" w:lineRule="auto"/>
              <w:rPr>
                <w:rFonts w:cs="Arial"/>
                <w:b/>
                <w:sz w:val="16"/>
                <w:szCs w:val="16"/>
              </w:rPr>
            </w:pPr>
          </w:p>
        </w:tc>
        <w:tc>
          <w:tcPr>
            <w:tcW w:w="709" w:type="dxa"/>
            <w:tcBorders>
              <w:bottom w:val="single" w:sz="4" w:space="0" w:color="auto"/>
            </w:tcBorders>
            <w:shd w:val="clear" w:color="auto" w:fill="auto"/>
          </w:tcPr>
          <w:p w14:paraId="133F37A5" w14:textId="77777777" w:rsidR="00C61276" w:rsidRPr="00EB30C0" w:rsidRDefault="00C61276" w:rsidP="00B93868">
            <w:pPr>
              <w:spacing w:before="120" w:after="120" w:line="240" w:lineRule="auto"/>
              <w:rPr>
                <w:rFonts w:cs="Arial"/>
                <w:b/>
                <w:sz w:val="16"/>
                <w:szCs w:val="16"/>
              </w:rPr>
            </w:pPr>
          </w:p>
        </w:tc>
      </w:tr>
      <w:tr w:rsidR="00C61276" w:rsidRPr="00573E72" w14:paraId="3E91DAD4" w14:textId="77777777" w:rsidTr="00B93868">
        <w:tc>
          <w:tcPr>
            <w:tcW w:w="596" w:type="dxa"/>
          </w:tcPr>
          <w:p w14:paraId="5A03614E" w14:textId="77777777" w:rsidR="00C61276" w:rsidRPr="00EB30C0" w:rsidRDefault="00C61276" w:rsidP="00B93868">
            <w:pPr>
              <w:spacing w:before="120" w:after="120" w:line="240" w:lineRule="auto"/>
              <w:rPr>
                <w:rFonts w:cs="Arial"/>
                <w:b/>
                <w:sz w:val="16"/>
                <w:szCs w:val="16"/>
              </w:rPr>
            </w:pPr>
            <w:r>
              <w:rPr>
                <w:b/>
                <w:sz w:val="16"/>
              </w:rPr>
              <w:t>X</w:t>
            </w:r>
          </w:p>
        </w:tc>
        <w:tc>
          <w:tcPr>
            <w:tcW w:w="596" w:type="dxa"/>
          </w:tcPr>
          <w:p w14:paraId="4EB8D5DC" w14:textId="77777777" w:rsidR="00C61276" w:rsidRPr="00EB30C0" w:rsidRDefault="00C61276" w:rsidP="00B93868">
            <w:pPr>
              <w:spacing w:before="120" w:after="120" w:line="240" w:lineRule="auto"/>
              <w:rPr>
                <w:rFonts w:cs="Arial"/>
                <w:b/>
                <w:sz w:val="16"/>
                <w:szCs w:val="16"/>
              </w:rPr>
            </w:pPr>
            <w:r>
              <w:rPr>
                <w:b/>
                <w:sz w:val="16"/>
              </w:rPr>
              <w:t>X</w:t>
            </w:r>
          </w:p>
        </w:tc>
        <w:tc>
          <w:tcPr>
            <w:tcW w:w="596" w:type="dxa"/>
          </w:tcPr>
          <w:p w14:paraId="23F141AC" w14:textId="77777777" w:rsidR="00C61276" w:rsidRPr="00EB30C0" w:rsidRDefault="00C61276" w:rsidP="00B93868">
            <w:pPr>
              <w:spacing w:before="120" w:after="120" w:line="240" w:lineRule="auto"/>
              <w:rPr>
                <w:rFonts w:cs="Arial"/>
                <w:b/>
                <w:sz w:val="16"/>
                <w:szCs w:val="16"/>
              </w:rPr>
            </w:pPr>
            <w:r>
              <w:rPr>
                <w:b/>
                <w:sz w:val="16"/>
              </w:rPr>
              <w:t>X</w:t>
            </w:r>
          </w:p>
        </w:tc>
        <w:tc>
          <w:tcPr>
            <w:tcW w:w="673" w:type="dxa"/>
          </w:tcPr>
          <w:p w14:paraId="79713AC6" w14:textId="77777777" w:rsidR="00C61276" w:rsidRPr="00EB30C0" w:rsidRDefault="00C61276" w:rsidP="00B93868">
            <w:pPr>
              <w:spacing w:before="120" w:after="120" w:line="240" w:lineRule="auto"/>
              <w:rPr>
                <w:rFonts w:cs="Arial"/>
                <w:b/>
                <w:sz w:val="16"/>
                <w:szCs w:val="16"/>
              </w:rPr>
            </w:pPr>
            <w:r>
              <w:rPr>
                <w:b/>
                <w:sz w:val="16"/>
              </w:rPr>
              <w:t>X</w:t>
            </w:r>
          </w:p>
        </w:tc>
        <w:tc>
          <w:tcPr>
            <w:tcW w:w="567" w:type="dxa"/>
            <w:vMerge/>
            <w:shd w:val="clear" w:color="auto" w:fill="auto"/>
          </w:tcPr>
          <w:p w14:paraId="07E8AF3A" w14:textId="77777777" w:rsidR="00C61276" w:rsidRPr="00EB30C0" w:rsidRDefault="00C61276" w:rsidP="00B93868">
            <w:pPr>
              <w:spacing w:before="120" w:after="120" w:line="240" w:lineRule="auto"/>
              <w:rPr>
                <w:rFonts w:cs="Arial"/>
                <w:b/>
                <w:sz w:val="16"/>
                <w:szCs w:val="16"/>
              </w:rPr>
            </w:pPr>
          </w:p>
        </w:tc>
        <w:tc>
          <w:tcPr>
            <w:tcW w:w="1531" w:type="dxa"/>
            <w:vMerge/>
            <w:shd w:val="clear" w:color="auto" w:fill="auto"/>
          </w:tcPr>
          <w:p w14:paraId="0496E9C3" w14:textId="77777777" w:rsidR="00C61276" w:rsidRPr="00EB30C0" w:rsidRDefault="00C61276" w:rsidP="00B93868">
            <w:pPr>
              <w:spacing w:before="120" w:after="120" w:line="240" w:lineRule="auto"/>
              <w:rPr>
                <w:rFonts w:cs="Arial"/>
                <w:b/>
                <w:sz w:val="16"/>
                <w:szCs w:val="16"/>
              </w:rPr>
            </w:pPr>
          </w:p>
        </w:tc>
        <w:tc>
          <w:tcPr>
            <w:tcW w:w="3856" w:type="dxa"/>
            <w:tcBorders>
              <w:bottom w:val="single" w:sz="4" w:space="0" w:color="auto"/>
            </w:tcBorders>
            <w:shd w:val="clear" w:color="auto" w:fill="auto"/>
          </w:tcPr>
          <w:p w14:paraId="2C929F54" w14:textId="77777777" w:rsidR="00C61276" w:rsidRPr="006C1090" w:rsidRDefault="00C61276" w:rsidP="00B93868">
            <w:pPr>
              <w:spacing w:before="120" w:after="120" w:line="240" w:lineRule="auto"/>
              <w:rPr>
                <w:rFonts w:cs="Arial"/>
                <w:b/>
                <w:sz w:val="16"/>
                <w:szCs w:val="16"/>
              </w:rPr>
            </w:pPr>
            <w:r w:rsidRPr="006C1090">
              <w:rPr>
                <w:sz w:val="16"/>
              </w:rPr>
              <w:t xml:space="preserve">Evaluer au moyen d'enquêtes et d'analyses de documents pertinents que le respect de la </w:t>
            </w:r>
            <w:r w:rsidRPr="006C1090">
              <w:rPr>
                <w:i/>
                <w:sz w:val="16"/>
              </w:rPr>
              <w:t>suitability</w:t>
            </w:r>
            <w:r w:rsidRPr="006C1090">
              <w:rPr>
                <w:sz w:val="16"/>
              </w:rPr>
              <w:t xml:space="preserve"> fait partie du </w:t>
            </w:r>
            <w:r w:rsidRPr="006C1090">
              <w:rPr>
                <w:i/>
                <w:sz w:val="16"/>
              </w:rPr>
              <w:t>reporting</w:t>
            </w:r>
            <w:r w:rsidRPr="006C1090">
              <w:rPr>
                <w:sz w:val="16"/>
              </w:rPr>
              <w:t xml:space="preserve"> permanent de la fonction de </w:t>
            </w:r>
            <w:r w:rsidRPr="006C1090">
              <w:rPr>
                <w:i/>
                <w:sz w:val="16"/>
              </w:rPr>
              <w:t>compliance</w:t>
            </w:r>
            <w:r w:rsidRPr="006C1090">
              <w:rPr>
                <w:sz w:val="16"/>
              </w:rPr>
              <w:t>.</w:t>
            </w:r>
          </w:p>
        </w:tc>
        <w:tc>
          <w:tcPr>
            <w:tcW w:w="3656" w:type="dxa"/>
            <w:tcBorders>
              <w:bottom w:val="single" w:sz="4" w:space="0" w:color="auto"/>
            </w:tcBorders>
            <w:shd w:val="clear" w:color="auto" w:fill="auto"/>
          </w:tcPr>
          <w:p w14:paraId="0FF729EB" w14:textId="77777777" w:rsidR="00C61276" w:rsidRPr="006C1090" w:rsidRDefault="006A78F1" w:rsidP="001C249B">
            <w:pPr>
              <w:spacing w:before="120" w:after="120" w:line="240" w:lineRule="auto"/>
              <w:rPr>
                <w:rFonts w:cs="Arial"/>
                <w:b/>
                <w:sz w:val="16"/>
                <w:szCs w:val="16"/>
                <w:u w:val="single"/>
              </w:rPr>
            </w:pPr>
            <w:r w:rsidRPr="006C1090">
              <w:rPr>
                <w:sz w:val="16"/>
              </w:rPr>
              <w:t>Au moyen</w:t>
            </w:r>
            <w:r w:rsidR="00C61276" w:rsidRPr="006C1090">
              <w:rPr>
                <w:sz w:val="16"/>
              </w:rPr>
              <w:t xml:space="preserve"> d'un échantillon</w:t>
            </w:r>
            <w:r w:rsidRPr="006C1090">
              <w:rPr>
                <w:sz w:val="16"/>
              </w:rPr>
              <w:t xml:space="preserve"> </w:t>
            </w:r>
            <w:r w:rsidR="001C249B" w:rsidRPr="006C1090">
              <w:rPr>
                <w:sz w:val="16"/>
              </w:rPr>
              <w:t>tester</w:t>
            </w:r>
            <w:r w:rsidR="00C61276" w:rsidRPr="006C1090">
              <w:rPr>
                <w:sz w:val="16"/>
              </w:rPr>
              <w:t xml:space="preserve"> </w:t>
            </w:r>
            <w:r w:rsidRPr="006C1090">
              <w:rPr>
                <w:sz w:val="16"/>
              </w:rPr>
              <w:t xml:space="preserve">si un </w:t>
            </w:r>
            <w:r w:rsidR="00322EF5" w:rsidRPr="00175D65">
              <w:rPr>
                <w:i/>
                <w:sz w:val="16"/>
              </w:rPr>
              <w:t>reporting</w:t>
            </w:r>
            <w:r w:rsidR="00322EF5" w:rsidRPr="006C1090">
              <w:rPr>
                <w:sz w:val="16"/>
              </w:rPr>
              <w:t xml:space="preserve"> </w:t>
            </w:r>
            <w:r w:rsidR="00740752" w:rsidRPr="006C1090">
              <w:rPr>
                <w:sz w:val="16"/>
              </w:rPr>
              <w:t xml:space="preserve">adéquat </w:t>
            </w:r>
            <w:r w:rsidR="00C61276" w:rsidRPr="006C1090">
              <w:rPr>
                <w:sz w:val="16"/>
              </w:rPr>
              <w:t>de</w:t>
            </w:r>
            <w:r w:rsidR="00740752" w:rsidRPr="006C1090">
              <w:rPr>
                <w:sz w:val="16"/>
              </w:rPr>
              <w:t>s</w:t>
            </w:r>
            <w:r w:rsidR="00C61276" w:rsidRPr="006C1090">
              <w:rPr>
                <w:sz w:val="16"/>
              </w:rPr>
              <w:t xml:space="preserve"> cas de non-respect</w:t>
            </w:r>
            <w:r w:rsidRPr="006C1090">
              <w:rPr>
                <w:sz w:val="16"/>
              </w:rPr>
              <w:t xml:space="preserve"> est effectué</w:t>
            </w:r>
            <w:r w:rsidR="00C61276" w:rsidRPr="006C1090">
              <w:rPr>
                <w:sz w:val="16"/>
              </w:rPr>
              <w:t>.</w:t>
            </w:r>
          </w:p>
        </w:tc>
        <w:tc>
          <w:tcPr>
            <w:tcW w:w="2410" w:type="dxa"/>
            <w:tcBorders>
              <w:bottom w:val="single" w:sz="4" w:space="0" w:color="auto"/>
            </w:tcBorders>
            <w:shd w:val="clear" w:color="auto" w:fill="auto"/>
          </w:tcPr>
          <w:p w14:paraId="180FCC07" w14:textId="77777777" w:rsidR="00C61276" w:rsidRPr="00EB30C0" w:rsidRDefault="00C61276" w:rsidP="00B93868">
            <w:pPr>
              <w:spacing w:before="120" w:after="120" w:line="240" w:lineRule="auto"/>
              <w:rPr>
                <w:rFonts w:cs="Arial"/>
                <w:b/>
                <w:sz w:val="16"/>
                <w:szCs w:val="16"/>
              </w:rPr>
            </w:pPr>
          </w:p>
        </w:tc>
        <w:tc>
          <w:tcPr>
            <w:tcW w:w="709" w:type="dxa"/>
            <w:tcBorders>
              <w:bottom w:val="single" w:sz="4" w:space="0" w:color="auto"/>
            </w:tcBorders>
            <w:shd w:val="clear" w:color="auto" w:fill="auto"/>
          </w:tcPr>
          <w:p w14:paraId="3112F01A" w14:textId="77777777" w:rsidR="00C61276" w:rsidRPr="00EB30C0" w:rsidRDefault="00C61276" w:rsidP="00B93868">
            <w:pPr>
              <w:spacing w:before="120" w:after="120" w:line="240" w:lineRule="auto"/>
              <w:rPr>
                <w:rFonts w:cs="Arial"/>
                <w:b/>
                <w:sz w:val="16"/>
                <w:szCs w:val="16"/>
              </w:rPr>
            </w:pPr>
          </w:p>
        </w:tc>
      </w:tr>
      <w:tr w:rsidR="00C61276" w:rsidRPr="00573E72" w14:paraId="2EDD2C29" w14:textId="77777777" w:rsidTr="00B93868">
        <w:tc>
          <w:tcPr>
            <w:tcW w:w="596" w:type="dxa"/>
          </w:tcPr>
          <w:p w14:paraId="7C84D87E" w14:textId="77777777" w:rsidR="00C61276" w:rsidRPr="00EB30C0" w:rsidRDefault="00C61276" w:rsidP="00B93868">
            <w:pPr>
              <w:spacing w:before="120" w:after="120" w:line="240" w:lineRule="auto"/>
              <w:rPr>
                <w:rFonts w:cs="Arial"/>
                <w:b/>
                <w:sz w:val="16"/>
                <w:szCs w:val="16"/>
              </w:rPr>
            </w:pPr>
            <w:r>
              <w:rPr>
                <w:b/>
                <w:sz w:val="16"/>
              </w:rPr>
              <w:t>X</w:t>
            </w:r>
          </w:p>
        </w:tc>
        <w:tc>
          <w:tcPr>
            <w:tcW w:w="596" w:type="dxa"/>
          </w:tcPr>
          <w:p w14:paraId="0F72660B" w14:textId="77777777" w:rsidR="00C61276" w:rsidRPr="00EB30C0" w:rsidRDefault="00C61276" w:rsidP="00B93868">
            <w:pPr>
              <w:spacing w:before="120" w:after="120" w:line="240" w:lineRule="auto"/>
              <w:rPr>
                <w:rFonts w:cs="Arial"/>
                <w:b/>
                <w:sz w:val="16"/>
                <w:szCs w:val="16"/>
              </w:rPr>
            </w:pPr>
            <w:r>
              <w:rPr>
                <w:b/>
                <w:sz w:val="16"/>
              </w:rPr>
              <w:t>X</w:t>
            </w:r>
          </w:p>
        </w:tc>
        <w:tc>
          <w:tcPr>
            <w:tcW w:w="596" w:type="dxa"/>
          </w:tcPr>
          <w:p w14:paraId="32C168AC" w14:textId="77777777" w:rsidR="00C61276" w:rsidRPr="00EB30C0" w:rsidRDefault="00C61276" w:rsidP="00B93868">
            <w:pPr>
              <w:spacing w:before="120" w:after="120" w:line="240" w:lineRule="auto"/>
              <w:rPr>
                <w:rFonts w:cs="Arial"/>
                <w:b/>
                <w:sz w:val="16"/>
                <w:szCs w:val="16"/>
              </w:rPr>
            </w:pPr>
            <w:r>
              <w:rPr>
                <w:b/>
                <w:sz w:val="16"/>
              </w:rPr>
              <w:t>X</w:t>
            </w:r>
          </w:p>
        </w:tc>
        <w:tc>
          <w:tcPr>
            <w:tcW w:w="673" w:type="dxa"/>
          </w:tcPr>
          <w:p w14:paraId="40D95C8F" w14:textId="77777777" w:rsidR="00C61276" w:rsidRPr="00EB30C0" w:rsidRDefault="00C61276" w:rsidP="00B93868">
            <w:pPr>
              <w:spacing w:before="120" w:after="120" w:line="240" w:lineRule="auto"/>
              <w:rPr>
                <w:rFonts w:cs="Arial"/>
                <w:b/>
                <w:sz w:val="16"/>
                <w:szCs w:val="16"/>
              </w:rPr>
            </w:pPr>
            <w:r>
              <w:rPr>
                <w:b/>
                <w:sz w:val="16"/>
              </w:rPr>
              <w:t>X</w:t>
            </w:r>
          </w:p>
        </w:tc>
        <w:tc>
          <w:tcPr>
            <w:tcW w:w="567" w:type="dxa"/>
            <w:vMerge/>
            <w:shd w:val="clear" w:color="auto" w:fill="auto"/>
          </w:tcPr>
          <w:p w14:paraId="6DC0BE20" w14:textId="77777777" w:rsidR="00C61276" w:rsidRPr="00EB30C0" w:rsidRDefault="00C61276" w:rsidP="00B93868">
            <w:pPr>
              <w:spacing w:before="120" w:after="120" w:line="240" w:lineRule="auto"/>
              <w:rPr>
                <w:rFonts w:cs="Arial"/>
                <w:b/>
                <w:sz w:val="16"/>
                <w:szCs w:val="16"/>
              </w:rPr>
            </w:pPr>
          </w:p>
        </w:tc>
        <w:tc>
          <w:tcPr>
            <w:tcW w:w="1531" w:type="dxa"/>
            <w:vMerge/>
            <w:shd w:val="clear" w:color="auto" w:fill="auto"/>
          </w:tcPr>
          <w:p w14:paraId="164ACC36" w14:textId="77777777" w:rsidR="00C61276" w:rsidRPr="00EB30C0" w:rsidRDefault="00C61276" w:rsidP="00B93868">
            <w:pPr>
              <w:spacing w:before="120" w:after="120" w:line="240" w:lineRule="auto"/>
              <w:rPr>
                <w:rFonts w:cs="Arial"/>
                <w:b/>
                <w:sz w:val="16"/>
                <w:szCs w:val="16"/>
              </w:rPr>
            </w:pPr>
          </w:p>
        </w:tc>
        <w:tc>
          <w:tcPr>
            <w:tcW w:w="3856" w:type="dxa"/>
            <w:tcBorders>
              <w:bottom w:val="single" w:sz="4" w:space="0" w:color="auto"/>
            </w:tcBorders>
            <w:shd w:val="clear" w:color="auto" w:fill="auto"/>
          </w:tcPr>
          <w:p w14:paraId="4E88ED63" w14:textId="77777777" w:rsidR="00C61276" w:rsidRPr="000E18F2" w:rsidRDefault="00C61276" w:rsidP="00B93868">
            <w:pPr>
              <w:spacing w:before="120" w:after="120" w:line="240" w:lineRule="auto"/>
              <w:rPr>
                <w:sz w:val="16"/>
                <w:szCs w:val="16"/>
              </w:rPr>
            </w:pPr>
            <w:r>
              <w:rPr>
                <w:sz w:val="16"/>
              </w:rPr>
              <w:t xml:space="preserve">Evaluer au moyen d'enquêtes et d'analyses de documents pertinents que les risques de </w:t>
            </w:r>
            <w:r>
              <w:rPr>
                <w:i/>
                <w:sz w:val="16"/>
              </w:rPr>
              <w:t>suitability</w:t>
            </w:r>
            <w:r>
              <w:rPr>
                <w:sz w:val="16"/>
              </w:rPr>
              <w:t xml:space="preserve"> font partie du </w:t>
            </w:r>
            <w:r>
              <w:rPr>
                <w:i/>
                <w:sz w:val="16"/>
              </w:rPr>
              <w:t>reporting</w:t>
            </w:r>
            <w:r>
              <w:rPr>
                <w:sz w:val="16"/>
              </w:rPr>
              <w:t xml:space="preserve"> permanent de la fonction de contrôle des risques.</w:t>
            </w:r>
          </w:p>
        </w:tc>
        <w:tc>
          <w:tcPr>
            <w:tcW w:w="3656" w:type="dxa"/>
            <w:tcBorders>
              <w:bottom w:val="single" w:sz="4" w:space="0" w:color="auto"/>
            </w:tcBorders>
            <w:shd w:val="clear" w:color="auto" w:fill="auto"/>
          </w:tcPr>
          <w:p w14:paraId="7607CA86" w14:textId="77777777" w:rsidR="00C61276" w:rsidRPr="00EB30C0" w:rsidRDefault="00C61276" w:rsidP="00322EF5">
            <w:pPr>
              <w:spacing w:before="120" w:after="120" w:line="240" w:lineRule="auto"/>
              <w:rPr>
                <w:rFonts w:cs="Arial"/>
                <w:b/>
                <w:sz w:val="16"/>
                <w:szCs w:val="16"/>
                <w:u w:val="single"/>
              </w:rPr>
            </w:pPr>
            <w:r>
              <w:rPr>
                <w:sz w:val="16"/>
              </w:rPr>
              <w:t xml:space="preserve">Examiner un échantillon de rapports pour vérifier </w:t>
            </w:r>
            <w:r w:rsidR="00322EF5">
              <w:rPr>
                <w:sz w:val="16"/>
              </w:rPr>
              <w:t>qu</w:t>
            </w:r>
            <w:r>
              <w:rPr>
                <w:sz w:val="16"/>
              </w:rPr>
              <w:t xml:space="preserve">'ils contiennent des informations appropriées sur les risques de </w:t>
            </w:r>
            <w:r>
              <w:rPr>
                <w:i/>
                <w:sz w:val="16"/>
              </w:rPr>
              <w:t>suitability</w:t>
            </w:r>
            <w:r>
              <w:rPr>
                <w:sz w:val="16"/>
              </w:rPr>
              <w:t>.</w:t>
            </w:r>
          </w:p>
        </w:tc>
        <w:tc>
          <w:tcPr>
            <w:tcW w:w="2410" w:type="dxa"/>
            <w:tcBorders>
              <w:bottom w:val="single" w:sz="4" w:space="0" w:color="auto"/>
            </w:tcBorders>
            <w:shd w:val="clear" w:color="auto" w:fill="auto"/>
          </w:tcPr>
          <w:p w14:paraId="23F17589" w14:textId="77777777" w:rsidR="00C61276" w:rsidRPr="00EB30C0" w:rsidRDefault="00C61276" w:rsidP="00B93868">
            <w:pPr>
              <w:spacing w:before="120" w:after="120" w:line="240" w:lineRule="auto"/>
              <w:rPr>
                <w:rFonts w:cs="Arial"/>
                <w:b/>
                <w:sz w:val="16"/>
                <w:szCs w:val="16"/>
              </w:rPr>
            </w:pPr>
          </w:p>
        </w:tc>
        <w:tc>
          <w:tcPr>
            <w:tcW w:w="709" w:type="dxa"/>
            <w:tcBorders>
              <w:bottom w:val="single" w:sz="4" w:space="0" w:color="auto"/>
            </w:tcBorders>
            <w:shd w:val="clear" w:color="auto" w:fill="auto"/>
          </w:tcPr>
          <w:p w14:paraId="0136D02E" w14:textId="77777777" w:rsidR="00C61276" w:rsidRPr="00EB30C0" w:rsidRDefault="00C61276" w:rsidP="00B93868">
            <w:pPr>
              <w:spacing w:before="120" w:after="120" w:line="240" w:lineRule="auto"/>
              <w:rPr>
                <w:rFonts w:cs="Arial"/>
                <w:b/>
                <w:sz w:val="16"/>
                <w:szCs w:val="16"/>
              </w:rPr>
            </w:pPr>
          </w:p>
        </w:tc>
      </w:tr>
      <w:tr w:rsidR="00C61276" w:rsidRPr="00573E72" w14:paraId="3D0918E3" w14:textId="77777777" w:rsidTr="00B93868">
        <w:tc>
          <w:tcPr>
            <w:tcW w:w="596" w:type="dxa"/>
          </w:tcPr>
          <w:p w14:paraId="75F3E441" w14:textId="77777777" w:rsidR="00C61276" w:rsidRPr="00EB30C0" w:rsidRDefault="00C61276" w:rsidP="00B93868">
            <w:pPr>
              <w:spacing w:before="120" w:after="120" w:line="240" w:lineRule="auto"/>
              <w:rPr>
                <w:rFonts w:cs="Arial"/>
                <w:b/>
                <w:sz w:val="16"/>
                <w:szCs w:val="16"/>
              </w:rPr>
            </w:pPr>
            <w:r>
              <w:rPr>
                <w:b/>
                <w:sz w:val="16"/>
              </w:rPr>
              <w:t>X</w:t>
            </w:r>
          </w:p>
        </w:tc>
        <w:tc>
          <w:tcPr>
            <w:tcW w:w="596" w:type="dxa"/>
          </w:tcPr>
          <w:p w14:paraId="28888245" w14:textId="77777777" w:rsidR="00C61276" w:rsidRPr="00EB30C0" w:rsidRDefault="00C61276" w:rsidP="00B93868">
            <w:pPr>
              <w:spacing w:before="120" w:after="120" w:line="240" w:lineRule="auto"/>
              <w:rPr>
                <w:rFonts w:cs="Arial"/>
                <w:b/>
                <w:sz w:val="16"/>
                <w:szCs w:val="16"/>
              </w:rPr>
            </w:pPr>
            <w:r>
              <w:rPr>
                <w:b/>
                <w:sz w:val="16"/>
              </w:rPr>
              <w:t>X</w:t>
            </w:r>
          </w:p>
        </w:tc>
        <w:tc>
          <w:tcPr>
            <w:tcW w:w="596" w:type="dxa"/>
          </w:tcPr>
          <w:p w14:paraId="17FA5B79" w14:textId="77777777" w:rsidR="00C61276" w:rsidRPr="00EB30C0" w:rsidRDefault="00C61276" w:rsidP="00B93868">
            <w:pPr>
              <w:spacing w:before="120" w:after="120" w:line="240" w:lineRule="auto"/>
              <w:rPr>
                <w:rFonts w:cs="Arial"/>
                <w:b/>
                <w:sz w:val="16"/>
                <w:szCs w:val="16"/>
              </w:rPr>
            </w:pPr>
            <w:r>
              <w:rPr>
                <w:b/>
                <w:sz w:val="16"/>
              </w:rPr>
              <w:t>X</w:t>
            </w:r>
          </w:p>
        </w:tc>
        <w:tc>
          <w:tcPr>
            <w:tcW w:w="673" w:type="dxa"/>
          </w:tcPr>
          <w:p w14:paraId="7A93F297" w14:textId="77777777" w:rsidR="00C61276" w:rsidRPr="00EB30C0" w:rsidRDefault="00C61276" w:rsidP="00B93868">
            <w:pPr>
              <w:spacing w:before="120" w:after="120" w:line="240" w:lineRule="auto"/>
              <w:rPr>
                <w:rFonts w:cs="Arial"/>
                <w:b/>
                <w:sz w:val="16"/>
                <w:szCs w:val="16"/>
              </w:rPr>
            </w:pPr>
            <w:r>
              <w:rPr>
                <w:b/>
                <w:sz w:val="16"/>
              </w:rPr>
              <w:t>X</w:t>
            </w:r>
          </w:p>
        </w:tc>
        <w:tc>
          <w:tcPr>
            <w:tcW w:w="567" w:type="dxa"/>
            <w:vMerge/>
            <w:shd w:val="clear" w:color="auto" w:fill="auto"/>
          </w:tcPr>
          <w:p w14:paraId="18CE8F8E" w14:textId="77777777" w:rsidR="00C61276" w:rsidRPr="00EB30C0" w:rsidRDefault="00C61276" w:rsidP="00B93868">
            <w:pPr>
              <w:spacing w:before="120" w:after="120" w:line="240" w:lineRule="auto"/>
              <w:rPr>
                <w:rFonts w:cs="Arial"/>
                <w:b/>
                <w:sz w:val="16"/>
                <w:szCs w:val="16"/>
              </w:rPr>
            </w:pPr>
          </w:p>
        </w:tc>
        <w:tc>
          <w:tcPr>
            <w:tcW w:w="1531" w:type="dxa"/>
            <w:vMerge/>
            <w:shd w:val="clear" w:color="auto" w:fill="auto"/>
          </w:tcPr>
          <w:p w14:paraId="47660870" w14:textId="77777777" w:rsidR="00C61276" w:rsidRPr="00EB30C0" w:rsidRDefault="00C61276" w:rsidP="00B93868">
            <w:pPr>
              <w:spacing w:before="120" w:after="120" w:line="240" w:lineRule="auto"/>
              <w:rPr>
                <w:rFonts w:cs="Arial"/>
                <w:b/>
                <w:sz w:val="16"/>
                <w:szCs w:val="16"/>
              </w:rPr>
            </w:pPr>
          </w:p>
        </w:tc>
        <w:tc>
          <w:tcPr>
            <w:tcW w:w="3856" w:type="dxa"/>
            <w:tcBorders>
              <w:bottom w:val="single" w:sz="4" w:space="0" w:color="auto"/>
            </w:tcBorders>
            <w:shd w:val="clear" w:color="auto" w:fill="auto"/>
          </w:tcPr>
          <w:p w14:paraId="305E7FF7" w14:textId="77777777" w:rsidR="00C61276" w:rsidRPr="00EB30C0" w:rsidRDefault="00C61276" w:rsidP="00740752">
            <w:pPr>
              <w:spacing w:before="120" w:after="120" w:line="240" w:lineRule="auto"/>
              <w:rPr>
                <w:rFonts w:cs="Arial"/>
                <w:b/>
                <w:sz w:val="16"/>
                <w:szCs w:val="16"/>
              </w:rPr>
            </w:pPr>
            <w:r>
              <w:rPr>
                <w:sz w:val="16"/>
              </w:rPr>
              <w:t xml:space="preserve">Evaluer au moyen d'enquêtes et d'analyses de documents pertinents que la révision interne </w:t>
            </w:r>
            <w:r w:rsidR="00740752">
              <w:rPr>
                <w:sz w:val="16"/>
              </w:rPr>
              <w:t xml:space="preserve">intègre </w:t>
            </w:r>
            <w:r>
              <w:rPr>
                <w:sz w:val="16"/>
              </w:rPr>
              <w:t xml:space="preserve">de manière adéquate </w:t>
            </w:r>
            <w:r w:rsidR="00740752">
              <w:rPr>
                <w:sz w:val="16"/>
              </w:rPr>
              <w:t xml:space="preserve">les </w:t>
            </w:r>
            <w:r>
              <w:rPr>
                <w:sz w:val="16"/>
              </w:rPr>
              <w:t xml:space="preserve">questions de </w:t>
            </w:r>
            <w:r>
              <w:rPr>
                <w:i/>
                <w:sz w:val="16"/>
              </w:rPr>
              <w:t>suitability</w:t>
            </w:r>
            <w:r>
              <w:rPr>
                <w:sz w:val="16"/>
              </w:rPr>
              <w:t xml:space="preserve"> dans son plan d'audit (orienté sur les risques).</w:t>
            </w:r>
          </w:p>
        </w:tc>
        <w:tc>
          <w:tcPr>
            <w:tcW w:w="3656" w:type="dxa"/>
            <w:tcBorders>
              <w:bottom w:val="single" w:sz="4" w:space="0" w:color="auto"/>
            </w:tcBorders>
            <w:shd w:val="clear" w:color="auto" w:fill="auto"/>
          </w:tcPr>
          <w:p w14:paraId="345FE0F3" w14:textId="77777777" w:rsidR="00C61276" w:rsidRPr="00EB30C0" w:rsidRDefault="00C61276" w:rsidP="00B93868">
            <w:pPr>
              <w:spacing w:before="120" w:after="120" w:line="240" w:lineRule="auto"/>
              <w:rPr>
                <w:rFonts w:cs="Arial"/>
                <w:b/>
                <w:sz w:val="16"/>
                <w:szCs w:val="16"/>
                <w:u w:val="single"/>
              </w:rPr>
            </w:pPr>
          </w:p>
        </w:tc>
        <w:tc>
          <w:tcPr>
            <w:tcW w:w="2410" w:type="dxa"/>
            <w:tcBorders>
              <w:bottom w:val="single" w:sz="4" w:space="0" w:color="auto"/>
            </w:tcBorders>
            <w:shd w:val="clear" w:color="auto" w:fill="auto"/>
          </w:tcPr>
          <w:p w14:paraId="5D45A949" w14:textId="77777777" w:rsidR="00C61276" w:rsidRPr="00EB30C0" w:rsidRDefault="00C61276" w:rsidP="00B93868">
            <w:pPr>
              <w:spacing w:before="120" w:after="120" w:line="240" w:lineRule="auto"/>
              <w:rPr>
                <w:rFonts w:cs="Arial"/>
                <w:b/>
                <w:sz w:val="16"/>
                <w:szCs w:val="16"/>
              </w:rPr>
            </w:pPr>
          </w:p>
        </w:tc>
        <w:tc>
          <w:tcPr>
            <w:tcW w:w="709" w:type="dxa"/>
            <w:tcBorders>
              <w:bottom w:val="single" w:sz="4" w:space="0" w:color="auto"/>
            </w:tcBorders>
            <w:shd w:val="clear" w:color="auto" w:fill="auto"/>
          </w:tcPr>
          <w:p w14:paraId="547C3BA5" w14:textId="77777777" w:rsidR="00C61276" w:rsidRPr="00EB30C0" w:rsidRDefault="00C61276" w:rsidP="00B93868">
            <w:pPr>
              <w:spacing w:before="120" w:after="120" w:line="240" w:lineRule="auto"/>
              <w:rPr>
                <w:rFonts w:cs="Arial"/>
                <w:b/>
                <w:sz w:val="16"/>
                <w:szCs w:val="16"/>
              </w:rPr>
            </w:pPr>
          </w:p>
        </w:tc>
      </w:tr>
      <w:tr w:rsidR="00C61276" w:rsidRPr="00573E72" w14:paraId="319BE19E" w14:textId="77777777" w:rsidTr="00B93868">
        <w:trPr>
          <w:trHeight w:val="1827"/>
        </w:trPr>
        <w:tc>
          <w:tcPr>
            <w:tcW w:w="596" w:type="dxa"/>
            <w:tcBorders>
              <w:bottom w:val="single" w:sz="4" w:space="0" w:color="auto"/>
            </w:tcBorders>
          </w:tcPr>
          <w:p w14:paraId="210C7E2E" w14:textId="77777777" w:rsidR="00C61276" w:rsidRPr="00EB30C0" w:rsidRDefault="00C61276" w:rsidP="00B93868">
            <w:pPr>
              <w:spacing w:before="120" w:after="120" w:line="240" w:lineRule="auto"/>
              <w:rPr>
                <w:rFonts w:cs="Arial"/>
                <w:b/>
                <w:sz w:val="16"/>
                <w:szCs w:val="16"/>
              </w:rPr>
            </w:pPr>
            <w:r>
              <w:rPr>
                <w:b/>
                <w:sz w:val="16"/>
              </w:rPr>
              <w:t>X</w:t>
            </w:r>
          </w:p>
        </w:tc>
        <w:tc>
          <w:tcPr>
            <w:tcW w:w="596" w:type="dxa"/>
            <w:tcBorders>
              <w:bottom w:val="single" w:sz="4" w:space="0" w:color="auto"/>
            </w:tcBorders>
          </w:tcPr>
          <w:p w14:paraId="775169A6" w14:textId="77777777" w:rsidR="00C61276" w:rsidRPr="00EB30C0" w:rsidRDefault="00C61276" w:rsidP="00B93868">
            <w:pPr>
              <w:spacing w:before="120" w:after="120" w:line="240" w:lineRule="auto"/>
              <w:rPr>
                <w:rFonts w:cs="Arial"/>
                <w:b/>
                <w:sz w:val="16"/>
                <w:szCs w:val="16"/>
              </w:rPr>
            </w:pPr>
            <w:r>
              <w:rPr>
                <w:b/>
                <w:sz w:val="16"/>
              </w:rPr>
              <w:t>X</w:t>
            </w:r>
          </w:p>
        </w:tc>
        <w:tc>
          <w:tcPr>
            <w:tcW w:w="596" w:type="dxa"/>
            <w:tcBorders>
              <w:bottom w:val="single" w:sz="4" w:space="0" w:color="auto"/>
            </w:tcBorders>
          </w:tcPr>
          <w:p w14:paraId="094EF553" w14:textId="77777777" w:rsidR="00C61276" w:rsidRPr="00EB30C0" w:rsidRDefault="00C61276" w:rsidP="00B93868">
            <w:pPr>
              <w:spacing w:before="120" w:after="120" w:line="240" w:lineRule="auto"/>
              <w:rPr>
                <w:rFonts w:cs="Arial"/>
                <w:b/>
                <w:sz w:val="16"/>
                <w:szCs w:val="16"/>
              </w:rPr>
            </w:pPr>
            <w:r>
              <w:rPr>
                <w:b/>
                <w:sz w:val="16"/>
              </w:rPr>
              <w:t>X</w:t>
            </w:r>
          </w:p>
        </w:tc>
        <w:tc>
          <w:tcPr>
            <w:tcW w:w="673" w:type="dxa"/>
            <w:tcBorders>
              <w:bottom w:val="single" w:sz="4" w:space="0" w:color="auto"/>
            </w:tcBorders>
          </w:tcPr>
          <w:p w14:paraId="352639E9" w14:textId="77777777" w:rsidR="00C61276" w:rsidRPr="00EB30C0" w:rsidRDefault="00C61276" w:rsidP="00B93868">
            <w:pPr>
              <w:spacing w:before="120" w:after="120" w:line="240" w:lineRule="auto"/>
              <w:rPr>
                <w:rFonts w:cs="Arial"/>
                <w:b/>
                <w:sz w:val="16"/>
                <w:szCs w:val="16"/>
              </w:rPr>
            </w:pPr>
            <w:r>
              <w:rPr>
                <w:b/>
                <w:sz w:val="16"/>
              </w:rPr>
              <w:t>X</w:t>
            </w:r>
          </w:p>
        </w:tc>
        <w:tc>
          <w:tcPr>
            <w:tcW w:w="567" w:type="dxa"/>
            <w:vMerge/>
            <w:tcBorders>
              <w:bottom w:val="single" w:sz="4" w:space="0" w:color="auto"/>
            </w:tcBorders>
            <w:shd w:val="clear" w:color="auto" w:fill="auto"/>
          </w:tcPr>
          <w:p w14:paraId="1688616F" w14:textId="77777777" w:rsidR="00C61276" w:rsidRPr="00EB30C0" w:rsidRDefault="00C61276" w:rsidP="00B93868">
            <w:pPr>
              <w:spacing w:before="120" w:after="120" w:line="240" w:lineRule="auto"/>
              <w:rPr>
                <w:rFonts w:cs="Arial"/>
                <w:b/>
                <w:sz w:val="16"/>
                <w:szCs w:val="16"/>
              </w:rPr>
            </w:pPr>
          </w:p>
        </w:tc>
        <w:tc>
          <w:tcPr>
            <w:tcW w:w="1531" w:type="dxa"/>
            <w:vMerge/>
            <w:tcBorders>
              <w:bottom w:val="single" w:sz="4" w:space="0" w:color="auto"/>
            </w:tcBorders>
            <w:shd w:val="clear" w:color="auto" w:fill="auto"/>
          </w:tcPr>
          <w:p w14:paraId="090EA53C" w14:textId="77777777" w:rsidR="00C61276" w:rsidRPr="00EB30C0" w:rsidRDefault="00C61276" w:rsidP="00B93868">
            <w:pPr>
              <w:spacing w:before="120" w:after="120" w:line="240" w:lineRule="auto"/>
              <w:rPr>
                <w:rFonts w:cs="Arial"/>
                <w:b/>
                <w:sz w:val="16"/>
                <w:szCs w:val="16"/>
              </w:rPr>
            </w:pPr>
          </w:p>
        </w:tc>
        <w:tc>
          <w:tcPr>
            <w:tcW w:w="3856" w:type="dxa"/>
            <w:tcBorders>
              <w:bottom w:val="single" w:sz="4" w:space="0" w:color="auto"/>
            </w:tcBorders>
            <w:shd w:val="clear" w:color="auto" w:fill="auto"/>
          </w:tcPr>
          <w:p w14:paraId="11E5B455" w14:textId="77777777" w:rsidR="00C61276" w:rsidRPr="006C1090" w:rsidRDefault="00C61276" w:rsidP="00B93868">
            <w:pPr>
              <w:autoSpaceDE w:val="0"/>
              <w:autoSpaceDN w:val="0"/>
              <w:adjustRightInd w:val="0"/>
              <w:spacing w:before="120" w:after="120" w:line="240" w:lineRule="auto"/>
              <w:jc w:val="both"/>
              <w:rPr>
                <w:rFonts w:cs="Arial"/>
                <w:sz w:val="16"/>
                <w:szCs w:val="16"/>
              </w:rPr>
            </w:pPr>
            <w:r w:rsidRPr="006C1090">
              <w:rPr>
                <w:sz w:val="16"/>
              </w:rPr>
              <w:t xml:space="preserve">Evaluer au moyen d'enquêtes et d'analyses de documents pertinents l'adéquation du </w:t>
            </w:r>
            <w:r w:rsidRPr="006C1090">
              <w:rPr>
                <w:i/>
                <w:sz w:val="16"/>
              </w:rPr>
              <w:t>reporting</w:t>
            </w:r>
            <w:r w:rsidRPr="006C1090">
              <w:rPr>
                <w:sz w:val="16"/>
              </w:rPr>
              <w:t xml:space="preserve"> de</w:t>
            </w:r>
            <w:r w:rsidR="00322EF5" w:rsidRPr="006C1090">
              <w:rPr>
                <w:sz w:val="16"/>
              </w:rPr>
              <w:t xml:space="preserve">s questions </w:t>
            </w:r>
            <w:r w:rsidRPr="006C1090">
              <w:rPr>
                <w:sz w:val="16"/>
              </w:rPr>
              <w:t xml:space="preserve">de </w:t>
            </w:r>
            <w:r w:rsidRPr="006C1090">
              <w:rPr>
                <w:i/>
                <w:sz w:val="16"/>
              </w:rPr>
              <w:t>suitability</w:t>
            </w:r>
            <w:r w:rsidRPr="006C1090">
              <w:rPr>
                <w:sz w:val="16"/>
              </w:rPr>
              <w:t xml:space="preserve"> à l'attention de la direction opérationnelle et du conseil d'administration. </w:t>
            </w:r>
          </w:p>
          <w:p w14:paraId="3443E9EF" w14:textId="77777777" w:rsidR="00C61276" w:rsidRPr="006C1090" w:rsidRDefault="00C61276" w:rsidP="00B93868">
            <w:pPr>
              <w:spacing w:before="120" w:after="120" w:line="240" w:lineRule="auto"/>
              <w:rPr>
                <w:rFonts w:cs="Arial"/>
                <w:b/>
                <w:sz w:val="16"/>
                <w:szCs w:val="16"/>
              </w:rPr>
            </w:pPr>
          </w:p>
          <w:p w14:paraId="2C72537C" w14:textId="77777777" w:rsidR="000E18F2" w:rsidRPr="006C1090" w:rsidRDefault="000E18F2" w:rsidP="00B93868">
            <w:pPr>
              <w:spacing w:before="120" w:after="120" w:line="240" w:lineRule="auto"/>
              <w:rPr>
                <w:rFonts w:cs="Arial"/>
                <w:b/>
                <w:sz w:val="16"/>
                <w:szCs w:val="16"/>
              </w:rPr>
            </w:pPr>
          </w:p>
          <w:p w14:paraId="38F997D6" w14:textId="77777777" w:rsidR="000E18F2" w:rsidRPr="006C1090" w:rsidRDefault="000E18F2" w:rsidP="00B93868">
            <w:pPr>
              <w:spacing w:before="120" w:after="120" w:line="240" w:lineRule="auto"/>
              <w:rPr>
                <w:rFonts w:cs="Arial"/>
                <w:b/>
                <w:sz w:val="16"/>
                <w:szCs w:val="16"/>
              </w:rPr>
            </w:pPr>
          </w:p>
        </w:tc>
        <w:tc>
          <w:tcPr>
            <w:tcW w:w="3656" w:type="dxa"/>
            <w:tcBorders>
              <w:bottom w:val="single" w:sz="4" w:space="0" w:color="auto"/>
            </w:tcBorders>
            <w:shd w:val="clear" w:color="auto" w:fill="auto"/>
          </w:tcPr>
          <w:p w14:paraId="5A42B3C6" w14:textId="77777777" w:rsidR="00C61276" w:rsidRPr="006C1090" w:rsidRDefault="00C61276" w:rsidP="006A78F1">
            <w:pPr>
              <w:spacing w:before="120" w:after="120" w:line="240" w:lineRule="auto"/>
              <w:rPr>
                <w:rFonts w:cs="Arial"/>
                <w:b/>
                <w:sz w:val="16"/>
                <w:szCs w:val="16"/>
                <w:u w:val="single"/>
              </w:rPr>
            </w:pPr>
            <w:r w:rsidRPr="006C1090">
              <w:rPr>
                <w:sz w:val="16"/>
              </w:rPr>
              <w:t xml:space="preserve">Vérifier </w:t>
            </w:r>
            <w:r w:rsidR="00740752" w:rsidRPr="006C1090">
              <w:rPr>
                <w:sz w:val="16"/>
              </w:rPr>
              <w:t xml:space="preserve">au moyen </w:t>
            </w:r>
            <w:r w:rsidR="006A78F1" w:rsidRPr="006C1090">
              <w:rPr>
                <w:sz w:val="16"/>
              </w:rPr>
              <w:t>d'un échantillon</w:t>
            </w:r>
            <w:r w:rsidRPr="006C1090">
              <w:rPr>
                <w:sz w:val="16"/>
              </w:rPr>
              <w:t xml:space="preserve"> </w:t>
            </w:r>
            <w:r w:rsidR="00740752" w:rsidRPr="006C1090">
              <w:rPr>
                <w:sz w:val="16"/>
              </w:rPr>
              <w:t xml:space="preserve">des </w:t>
            </w:r>
            <w:r w:rsidR="00740752" w:rsidRPr="00175D65">
              <w:rPr>
                <w:i/>
                <w:sz w:val="16"/>
              </w:rPr>
              <w:t>reporting</w:t>
            </w:r>
            <w:r w:rsidR="00740752" w:rsidRPr="006C1090">
              <w:rPr>
                <w:sz w:val="16"/>
              </w:rPr>
              <w:t xml:space="preserve"> </w:t>
            </w:r>
            <w:r w:rsidRPr="006C1090">
              <w:rPr>
                <w:sz w:val="16"/>
              </w:rPr>
              <w:t xml:space="preserve">basée sur les risques </w:t>
            </w:r>
            <w:r w:rsidR="00740752" w:rsidRPr="006C1090">
              <w:rPr>
                <w:sz w:val="16"/>
              </w:rPr>
              <w:t>si ces documents</w:t>
            </w:r>
            <w:r w:rsidRPr="006C1090">
              <w:rPr>
                <w:sz w:val="16"/>
              </w:rPr>
              <w:t xml:space="preserve"> couvre</w:t>
            </w:r>
            <w:r w:rsidR="00C028CE" w:rsidRPr="006C1090">
              <w:rPr>
                <w:sz w:val="16"/>
              </w:rPr>
              <w:t>nt</w:t>
            </w:r>
            <w:r w:rsidR="00740752" w:rsidRPr="006C1090">
              <w:rPr>
                <w:sz w:val="16"/>
              </w:rPr>
              <w:t xml:space="preserve"> les</w:t>
            </w:r>
            <w:r w:rsidRPr="006C1090">
              <w:rPr>
                <w:sz w:val="16"/>
              </w:rPr>
              <w:t xml:space="preserve"> différentes questions de </w:t>
            </w:r>
            <w:r w:rsidRPr="006C1090">
              <w:rPr>
                <w:i/>
                <w:sz w:val="16"/>
              </w:rPr>
              <w:t>suitability</w:t>
            </w:r>
            <w:r w:rsidRPr="006C1090">
              <w:rPr>
                <w:sz w:val="16"/>
              </w:rPr>
              <w:t xml:space="preserve"> (sources potentielles de risque dans le respect des règles de conduite), s'ils </w:t>
            </w:r>
            <w:r w:rsidR="00740752" w:rsidRPr="006C1090">
              <w:rPr>
                <w:sz w:val="16"/>
              </w:rPr>
              <w:t>sont reflétés</w:t>
            </w:r>
            <w:r w:rsidRPr="006C1090">
              <w:rPr>
                <w:sz w:val="16"/>
              </w:rPr>
              <w:t xml:space="preserve"> adéquatement dans le </w:t>
            </w:r>
            <w:r w:rsidRPr="006C1090">
              <w:rPr>
                <w:i/>
                <w:sz w:val="16"/>
              </w:rPr>
              <w:t>reporting</w:t>
            </w:r>
            <w:r w:rsidRPr="006C1090">
              <w:rPr>
                <w:sz w:val="16"/>
              </w:rPr>
              <w:t xml:space="preserve"> à l'attention de la direction opérationnelle et </w:t>
            </w:r>
            <w:r w:rsidR="006A78F1" w:rsidRPr="006C1090">
              <w:rPr>
                <w:sz w:val="16"/>
              </w:rPr>
              <w:t>de l'organe responsable de la haute direction</w:t>
            </w:r>
            <w:r w:rsidRPr="006C1090">
              <w:rPr>
                <w:sz w:val="16"/>
              </w:rPr>
              <w:t xml:space="preserve"> et si les organes de direction ont respecté leur </w:t>
            </w:r>
            <w:r w:rsidR="00322EF5" w:rsidRPr="006C1090">
              <w:rPr>
                <w:sz w:val="16"/>
              </w:rPr>
              <w:t xml:space="preserve">devoir </w:t>
            </w:r>
            <w:r w:rsidRPr="006C1090">
              <w:rPr>
                <w:sz w:val="16"/>
              </w:rPr>
              <w:t xml:space="preserve">de surveillance. </w:t>
            </w:r>
          </w:p>
        </w:tc>
        <w:tc>
          <w:tcPr>
            <w:tcW w:w="2410" w:type="dxa"/>
            <w:tcBorders>
              <w:bottom w:val="single" w:sz="4" w:space="0" w:color="auto"/>
            </w:tcBorders>
            <w:shd w:val="clear" w:color="auto" w:fill="auto"/>
          </w:tcPr>
          <w:p w14:paraId="4BF79443" w14:textId="77777777" w:rsidR="00C61276" w:rsidRPr="00EB30C0" w:rsidRDefault="00C61276" w:rsidP="00B93868">
            <w:pPr>
              <w:spacing w:before="120" w:after="120" w:line="240" w:lineRule="auto"/>
              <w:rPr>
                <w:rFonts w:cs="Arial"/>
                <w:b/>
                <w:sz w:val="16"/>
                <w:szCs w:val="16"/>
              </w:rPr>
            </w:pPr>
          </w:p>
        </w:tc>
        <w:tc>
          <w:tcPr>
            <w:tcW w:w="709" w:type="dxa"/>
            <w:tcBorders>
              <w:bottom w:val="single" w:sz="4" w:space="0" w:color="auto"/>
            </w:tcBorders>
            <w:shd w:val="clear" w:color="auto" w:fill="auto"/>
          </w:tcPr>
          <w:p w14:paraId="73FFA64E" w14:textId="77777777" w:rsidR="00C61276" w:rsidRPr="00EB30C0" w:rsidRDefault="00C61276" w:rsidP="00B93868">
            <w:pPr>
              <w:spacing w:before="120" w:after="120" w:line="240" w:lineRule="auto"/>
              <w:rPr>
                <w:rFonts w:cs="Arial"/>
                <w:b/>
                <w:sz w:val="16"/>
                <w:szCs w:val="16"/>
              </w:rPr>
            </w:pPr>
          </w:p>
        </w:tc>
      </w:tr>
      <w:tr w:rsidR="00C61276" w:rsidRPr="00573E72" w14:paraId="6F203721" w14:textId="77777777" w:rsidTr="00EF0539">
        <w:tc>
          <w:tcPr>
            <w:tcW w:w="15190" w:type="dxa"/>
            <w:gridSpan w:val="10"/>
            <w:shd w:val="pct10" w:color="auto" w:fill="auto"/>
          </w:tcPr>
          <w:p w14:paraId="442B37CD" w14:textId="77777777" w:rsidR="00C61276" w:rsidRPr="0048295D" w:rsidRDefault="00C61276" w:rsidP="00CE337B">
            <w:pPr>
              <w:pageBreakBefore/>
              <w:spacing w:before="120" w:after="120" w:line="240" w:lineRule="auto"/>
              <w:rPr>
                <w:rFonts w:cs="Arial"/>
                <w:i/>
                <w:sz w:val="16"/>
                <w:szCs w:val="16"/>
                <w:lang w:val="en-US"/>
              </w:rPr>
            </w:pPr>
            <w:r w:rsidRPr="0048295D">
              <w:rPr>
                <w:i/>
                <w:sz w:val="16"/>
                <w:lang w:val="en-US"/>
              </w:rPr>
              <w:lastRenderedPageBreak/>
              <w:t xml:space="preserve">Confirmation that the internal processes for compliance with conduct rules for </w:t>
            </w:r>
            <w:r w:rsidRPr="0048295D">
              <w:rPr>
                <w:i/>
                <w:lang w:val="en-US"/>
              </w:rPr>
              <w:t xml:space="preserve">□ </w:t>
            </w:r>
            <w:r w:rsidRPr="0048295D">
              <w:rPr>
                <w:i/>
                <w:sz w:val="16"/>
                <w:lang w:val="en-US"/>
              </w:rPr>
              <w:t xml:space="preserve">individual portfolio </w:t>
            </w:r>
            <w:r w:rsidRPr="0048295D">
              <w:rPr>
                <w:i/>
                <w:sz w:val="16"/>
                <w:szCs w:val="16"/>
                <w:lang w:val="en-US"/>
              </w:rPr>
              <w:t xml:space="preserve">management, □ investment advisory services, □ execution of transactions and □ distribution of collective investment schemes were adequate and appropriate, and complied with where the audit depth was “audit”. </w:t>
            </w:r>
          </w:p>
          <w:p w14:paraId="49087F4D" w14:textId="77777777" w:rsidR="00C61276" w:rsidRPr="0048295D" w:rsidRDefault="00C61276" w:rsidP="00CE337B">
            <w:pPr>
              <w:pageBreakBefore/>
              <w:spacing w:before="120" w:after="120" w:line="240" w:lineRule="auto"/>
              <w:rPr>
                <w:rFonts w:cs="Arial"/>
                <w:i/>
                <w:sz w:val="16"/>
                <w:szCs w:val="16"/>
                <w:lang w:val="de-CH"/>
              </w:rPr>
            </w:pPr>
            <w:r w:rsidRPr="0048295D">
              <w:rPr>
                <w:i/>
                <w:sz w:val="16"/>
                <w:szCs w:val="16"/>
                <w:lang w:val="de-CH"/>
              </w:rPr>
              <w:t>Bestätigung, dass die internen Arbeitsprozesse zur Einhaltung der Verhaltenspflichten gegenüber Kunden bezüglich □ individueller Vermögensverwaltung, □ Anlageberatung, □ Transaktionsausführung und □ Vertrieb kollektiver Kapitalanlagen angemessen waren und im Fall der Prüftiefe „Prüfung“ eingehalten wurden.</w:t>
            </w:r>
          </w:p>
          <w:p w14:paraId="66087FEB" w14:textId="77777777" w:rsidR="00C61276" w:rsidRPr="00EB30C0" w:rsidRDefault="00C61276" w:rsidP="00CE337B">
            <w:pPr>
              <w:pageBreakBefore/>
              <w:spacing w:before="120" w:after="120" w:line="240" w:lineRule="auto"/>
              <w:rPr>
                <w:rFonts w:cs="Arial"/>
                <w:sz w:val="16"/>
                <w:szCs w:val="16"/>
                <w:highlight w:val="yellow"/>
              </w:rPr>
            </w:pPr>
            <w:r w:rsidRPr="0048295D">
              <w:rPr>
                <w:i/>
                <w:sz w:val="16"/>
                <w:szCs w:val="16"/>
              </w:rPr>
              <w:t xml:space="preserve">Confirmation que les processus internes en matière de respect des règles de conduite relatives □ </w:t>
            </w:r>
            <w:r w:rsidR="00AC14A2" w:rsidRPr="0048295D">
              <w:rPr>
                <w:i/>
                <w:sz w:val="16"/>
                <w:szCs w:val="16"/>
              </w:rPr>
              <w:t xml:space="preserve">à la </w:t>
            </w:r>
            <w:r w:rsidRPr="0048295D">
              <w:rPr>
                <w:i/>
                <w:sz w:val="16"/>
                <w:szCs w:val="16"/>
              </w:rPr>
              <w:t xml:space="preserve">gestion de fortune individuelle, □ au conseil en placement, □ à l’exécution de transactions et □ </w:t>
            </w:r>
            <w:r w:rsidR="00AC14A2" w:rsidRPr="0048295D">
              <w:rPr>
                <w:i/>
                <w:sz w:val="16"/>
                <w:szCs w:val="16"/>
              </w:rPr>
              <w:t xml:space="preserve">à </w:t>
            </w:r>
            <w:r w:rsidRPr="0048295D">
              <w:rPr>
                <w:i/>
                <w:sz w:val="16"/>
                <w:szCs w:val="16"/>
              </w:rPr>
              <w:t>la distribution de placements collectifs étaient appropriés et que, en cas d'étendue d'audit « audit », ont été respectés.</w:t>
            </w:r>
          </w:p>
        </w:tc>
      </w:tr>
      <w:tr w:rsidR="00C61276" w:rsidRPr="00573E72" w14:paraId="1BB476D2" w14:textId="77777777" w:rsidTr="00B93868">
        <w:trPr>
          <w:cantSplit/>
        </w:trPr>
        <w:tc>
          <w:tcPr>
            <w:tcW w:w="596" w:type="dxa"/>
          </w:tcPr>
          <w:p w14:paraId="41EFE83F" w14:textId="77777777" w:rsidR="00C61276" w:rsidRPr="00093ECF" w:rsidRDefault="00C61276" w:rsidP="00B93868">
            <w:pPr>
              <w:spacing w:before="120" w:after="120" w:line="240" w:lineRule="auto"/>
              <w:rPr>
                <w:rFonts w:cs="Arial"/>
                <w:b/>
                <w:sz w:val="16"/>
                <w:szCs w:val="16"/>
              </w:rPr>
            </w:pPr>
            <w:r>
              <w:rPr>
                <w:b/>
                <w:sz w:val="16"/>
              </w:rPr>
              <w:t>X</w:t>
            </w:r>
          </w:p>
        </w:tc>
        <w:tc>
          <w:tcPr>
            <w:tcW w:w="596" w:type="dxa"/>
          </w:tcPr>
          <w:p w14:paraId="2BAD8B16" w14:textId="77777777" w:rsidR="00C61276" w:rsidRPr="00093ECF" w:rsidRDefault="00C61276" w:rsidP="00B93868">
            <w:pPr>
              <w:spacing w:before="120" w:after="120" w:line="240" w:lineRule="auto"/>
              <w:rPr>
                <w:rFonts w:cs="Arial"/>
                <w:b/>
                <w:sz w:val="16"/>
                <w:szCs w:val="16"/>
              </w:rPr>
            </w:pPr>
            <w:r>
              <w:rPr>
                <w:b/>
                <w:sz w:val="16"/>
              </w:rPr>
              <w:t>X</w:t>
            </w:r>
          </w:p>
        </w:tc>
        <w:tc>
          <w:tcPr>
            <w:tcW w:w="596" w:type="dxa"/>
          </w:tcPr>
          <w:p w14:paraId="3BBD886F" w14:textId="77777777" w:rsidR="00C61276" w:rsidRPr="00093ECF" w:rsidRDefault="00C61276" w:rsidP="00B93868">
            <w:pPr>
              <w:spacing w:before="120" w:after="120" w:line="240" w:lineRule="auto"/>
              <w:rPr>
                <w:rFonts w:cs="Arial"/>
                <w:b/>
                <w:sz w:val="16"/>
                <w:szCs w:val="16"/>
              </w:rPr>
            </w:pPr>
            <w:r>
              <w:rPr>
                <w:b/>
                <w:sz w:val="16"/>
              </w:rPr>
              <w:t>X</w:t>
            </w:r>
          </w:p>
        </w:tc>
        <w:tc>
          <w:tcPr>
            <w:tcW w:w="673" w:type="dxa"/>
          </w:tcPr>
          <w:p w14:paraId="7127E210" w14:textId="77777777" w:rsidR="00C61276" w:rsidRPr="00EB30C0" w:rsidRDefault="00C61276" w:rsidP="00B93868">
            <w:pPr>
              <w:spacing w:before="120" w:after="120" w:line="240" w:lineRule="auto"/>
              <w:rPr>
                <w:rFonts w:cs="Arial"/>
                <w:sz w:val="16"/>
                <w:szCs w:val="16"/>
              </w:rPr>
            </w:pPr>
          </w:p>
        </w:tc>
        <w:tc>
          <w:tcPr>
            <w:tcW w:w="567" w:type="dxa"/>
            <w:shd w:val="clear" w:color="auto" w:fill="auto"/>
          </w:tcPr>
          <w:p w14:paraId="2218748E" w14:textId="77777777" w:rsidR="00C61276" w:rsidRPr="00EB30C0" w:rsidRDefault="00C61276" w:rsidP="00B93868">
            <w:pPr>
              <w:spacing w:before="120" w:after="120" w:line="240" w:lineRule="auto"/>
              <w:rPr>
                <w:rFonts w:cs="Arial"/>
                <w:sz w:val="16"/>
                <w:szCs w:val="16"/>
              </w:rPr>
            </w:pPr>
          </w:p>
        </w:tc>
        <w:tc>
          <w:tcPr>
            <w:tcW w:w="1531" w:type="dxa"/>
            <w:shd w:val="clear" w:color="auto" w:fill="auto"/>
          </w:tcPr>
          <w:p w14:paraId="1F3C1F10" w14:textId="77777777" w:rsidR="00C61276" w:rsidRPr="00EB30C0" w:rsidRDefault="00C61276" w:rsidP="00B93868">
            <w:pPr>
              <w:spacing w:before="120" w:after="120" w:line="240" w:lineRule="auto"/>
              <w:rPr>
                <w:rFonts w:cs="Arial"/>
                <w:b/>
                <w:sz w:val="16"/>
                <w:szCs w:val="16"/>
              </w:rPr>
            </w:pPr>
            <w:r>
              <w:rPr>
                <w:b/>
                <w:sz w:val="16"/>
              </w:rPr>
              <w:t>Evaluation des rapports contractuels</w:t>
            </w:r>
          </w:p>
        </w:tc>
        <w:tc>
          <w:tcPr>
            <w:tcW w:w="3856" w:type="dxa"/>
            <w:shd w:val="clear" w:color="auto" w:fill="auto"/>
          </w:tcPr>
          <w:p w14:paraId="60807A7C" w14:textId="77777777" w:rsidR="00C61276" w:rsidRPr="00EB30C0" w:rsidRDefault="00C61276" w:rsidP="00740752">
            <w:pPr>
              <w:autoSpaceDE w:val="0"/>
              <w:autoSpaceDN w:val="0"/>
              <w:adjustRightInd w:val="0"/>
              <w:spacing w:before="120" w:after="120" w:line="240" w:lineRule="auto"/>
              <w:jc w:val="both"/>
              <w:rPr>
                <w:i/>
              </w:rPr>
            </w:pPr>
            <w:r>
              <w:rPr>
                <w:sz w:val="16"/>
              </w:rPr>
              <w:t xml:space="preserve">Evaluer au moyen d'enquêtes et d'analyses de documents pertinents l'adéquation des processus visant à vérifier le type de relation contractuelle avec le client et </w:t>
            </w:r>
            <w:r w:rsidRPr="006C1090">
              <w:rPr>
                <w:sz w:val="16"/>
              </w:rPr>
              <w:t xml:space="preserve">leur révision si les besoins du client ont évolué au fil du temps (gestion de fortune individuelle, conseil en placement </w:t>
            </w:r>
            <w:r w:rsidR="00740752" w:rsidRPr="006C1090">
              <w:rPr>
                <w:sz w:val="16"/>
              </w:rPr>
              <w:t>au niveau du</w:t>
            </w:r>
            <w:r w:rsidRPr="006C1090">
              <w:rPr>
                <w:sz w:val="16"/>
              </w:rPr>
              <w:t xml:space="preserve"> portefeuille, conseil en placements </w:t>
            </w:r>
            <w:r w:rsidR="009760D1" w:rsidRPr="006C1090">
              <w:rPr>
                <w:sz w:val="16"/>
              </w:rPr>
              <w:t>individuel</w:t>
            </w:r>
            <w:r w:rsidRPr="006C1090">
              <w:rPr>
                <w:sz w:val="16"/>
              </w:rPr>
              <w:t xml:space="preserve">, </w:t>
            </w:r>
            <w:r w:rsidR="00740752" w:rsidRPr="006C1090">
              <w:rPr>
                <w:sz w:val="16"/>
              </w:rPr>
              <w:t xml:space="preserve">pure </w:t>
            </w:r>
            <w:r w:rsidRPr="006C1090">
              <w:rPr>
                <w:sz w:val="16"/>
              </w:rPr>
              <w:t>exécution de transactions, par ex.).</w:t>
            </w:r>
          </w:p>
        </w:tc>
        <w:tc>
          <w:tcPr>
            <w:tcW w:w="3656" w:type="dxa"/>
            <w:shd w:val="clear" w:color="auto" w:fill="auto"/>
          </w:tcPr>
          <w:p w14:paraId="3BE7C070" w14:textId="77777777" w:rsidR="00C61276" w:rsidRPr="00EB30C0" w:rsidRDefault="00C61276" w:rsidP="00B93868">
            <w:pPr>
              <w:pStyle w:val="Bullet"/>
              <w:spacing w:before="120" w:after="120"/>
              <w:ind w:left="63"/>
              <w:rPr>
                <w:highlight w:val="yellow"/>
              </w:rPr>
            </w:pPr>
          </w:p>
        </w:tc>
        <w:tc>
          <w:tcPr>
            <w:tcW w:w="2410" w:type="dxa"/>
            <w:shd w:val="clear" w:color="auto" w:fill="auto"/>
          </w:tcPr>
          <w:p w14:paraId="44CE56EA" w14:textId="77777777" w:rsidR="00C61276" w:rsidRPr="00EB30C0" w:rsidRDefault="00C61276" w:rsidP="00B93868">
            <w:pPr>
              <w:spacing w:before="120" w:after="120" w:line="240" w:lineRule="auto"/>
              <w:rPr>
                <w:rFonts w:cs="Arial"/>
                <w:sz w:val="16"/>
                <w:szCs w:val="16"/>
              </w:rPr>
            </w:pPr>
          </w:p>
        </w:tc>
        <w:tc>
          <w:tcPr>
            <w:tcW w:w="709" w:type="dxa"/>
            <w:shd w:val="clear" w:color="auto" w:fill="auto"/>
          </w:tcPr>
          <w:p w14:paraId="3AE91AC3" w14:textId="77777777" w:rsidR="00C61276" w:rsidRPr="00EB30C0" w:rsidRDefault="00C61276" w:rsidP="00B93868">
            <w:pPr>
              <w:spacing w:before="120" w:after="120" w:line="240" w:lineRule="auto"/>
              <w:rPr>
                <w:rFonts w:cs="Arial"/>
                <w:sz w:val="16"/>
                <w:szCs w:val="16"/>
              </w:rPr>
            </w:pPr>
          </w:p>
        </w:tc>
      </w:tr>
      <w:tr w:rsidR="00C61276" w:rsidRPr="00573E72" w14:paraId="783F64E0" w14:textId="77777777" w:rsidTr="00B93868">
        <w:trPr>
          <w:cantSplit/>
          <w:trHeight w:val="1856"/>
        </w:trPr>
        <w:tc>
          <w:tcPr>
            <w:tcW w:w="596" w:type="dxa"/>
          </w:tcPr>
          <w:p w14:paraId="753F10CE" w14:textId="77777777" w:rsidR="00C61276" w:rsidRPr="00093ECF" w:rsidRDefault="00C61276" w:rsidP="00B93868">
            <w:pPr>
              <w:spacing w:before="120" w:after="120" w:line="240" w:lineRule="auto"/>
              <w:rPr>
                <w:rFonts w:cs="Arial"/>
                <w:b/>
                <w:sz w:val="16"/>
                <w:szCs w:val="16"/>
              </w:rPr>
            </w:pPr>
            <w:r>
              <w:rPr>
                <w:b/>
                <w:sz w:val="16"/>
              </w:rPr>
              <w:lastRenderedPageBreak/>
              <w:t>X</w:t>
            </w:r>
          </w:p>
        </w:tc>
        <w:tc>
          <w:tcPr>
            <w:tcW w:w="596" w:type="dxa"/>
          </w:tcPr>
          <w:p w14:paraId="0F74A9B9" w14:textId="77777777" w:rsidR="00C61276" w:rsidRPr="00093ECF" w:rsidRDefault="00C61276" w:rsidP="00B93868">
            <w:pPr>
              <w:spacing w:before="120" w:after="120" w:line="240" w:lineRule="auto"/>
              <w:rPr>
                <w:rFonts w:cs="Arial"/>
                <w:b/>
                <w:sz w:val="16"/>
                <w:szCs w:val="16"/>
              </w:rPr>
            </w:pPr>
            <w:r>
              <w:rPr>
                <w:b/>
                <w:sz w:val="16"/>
              </w:rPr>
              <w:t>X</w:t>
            </w:r>
          </w:p>
        </w:tc>
        <w:tc>
          <w:tcPr>
            <w:tcW w:w="596" w:type="dxa"/>
          </w:tcPr>
          <w:p w14:paraId="099FCD7E" w14:textId="77777777" w:rsidR="00C61276" w:rsidRPr="00093ECF" w:rsidRDefault="00C61276" w:rsidP="00B93868">
            <w:pPr>
              <w:spacing w:before="120" w:after="120" w:line="240" w:lineRule="auto"/>
              <w:rPr>
                <w:rFonts w:cs="Arial"/>
                <w:b/>
                <w:sz w:val="16"/>
                <w:szCs w:val="16"/>
              </w:rPr>
            </w:pPr>
          </w:p>
        </w:tc>
        <w:tc>
          <w:tcPr>
            <w:tcW w:w="673" w:type="dxa"/>
          </w:tcPr>
          <w:p w14:paraId="529AFF7D" w14:textId="77777777" w:rsidR="00C61276" w:rsidRPr="00093ECF" w:rsidRDefault="00C61276" w:rsidP="00B93868">
            <w:pPr>
              <w:spacing w:before="120" w:after="120" w:line="240" w:lineRule="auto"/>
              <w:rPr>
                <w:rFonts w:cs="Arial"/>
                <w:b/>
                <w:sz w:val="16"/>
                <w:szCs w:val="16"/>
              </w:rPr>
            </w:pPr>
          </w:p>
        </w:tc>
        <w:tc>
          <w:tcPr>
            <w:tcW w:w="567" w:type="dxa"/>
            <w:vMerge w:val="restart"/>
            <w:shd w:val="clear" w:color="auto" w:fill="auto"/>
          </w:tcPr>
          <w:p w14:paraId="1F483867" w14:textId="77777777" w:rsidR="00C61276" w:rsidRPr="00EB30C0" w:rsidRDefault="00C61276" w:rsidP="00B93868">
            <w:pPr>
              <w:spacing w:before="120" w:after="120" w:line="240" w:lineRule="auto"/>
              <w:rPr>
                <w:rFonts w:cs="Arial"/>
                <w:sz w:val="16"/>
                <w:szCs w:val="16"/>
              </w:rPr>
            </w:pPr>
          </w:p>
        </w:tc>
        <w:tc>
          <w:tcPr>
            <w:tcW w:w="1531" w:type="dxa"/>
            <w:vMerge w:val="restart"/>
            <w:shd w:val="clear" w:color="auto" w:fill="auto"/>
          </w:tcPr>
          <w:p w14:paraId="30A880AA" w14:textId="77777777" w:rsidR="00C61276" w:rsidRPr="00EB30C0" w:rsidRDefault="00C61276" w:rsidP="00B93868">
            <w:pPr>
              <w:spacing w:before="120" w:after="120" w:line="240" w:lineRule="auto"/>
              <w:rPr>
                <w:rFonts w:cs="Arial"/>
                <w:b/>
                <w:sz w:val="16"/>
                <w:szCs w:val="16"/>
              </w:rPr>
            </w:pPr>
            <w:r>
              <w:rPr>
                <w:b/>
                <w:sz w:val="16"/>
              </w:rPr>
              <w:t>Profils de risque du client</w:t>
            </w:r>
          </w:p>
          <w:p w14:paraId="4B5CCAE8" w14:textId="77777777" w:rsidR="00C61276" w:rsidRPr="00EB30C0" w:rsidRDefault="00C61276" w:rsidP="00102334">
            <w:pPr>
              <w:spacing w:before="120" w:after="120" w:line="240" w:lineRule="auto"/>
              <w:rPr>
                <w:rFonts w:cs="Arial"/>
                <w:sz w:val="16"/>
                <w:szCs w:val="16"/>
              </w:rPr>
            </w:pPr>
            <w:r>
              <w:rPr>
                <w:sz w:val="16"/>
              </w:rPr>
              <w:t>S'applique à la gestion de fortune individuelle et au conseil en placement</w:t>
            </w:r>
            <w:r w:rsidR="00102334">
              <w:rPr>
                <w:rStyle w:val="Funotenzeichen"/>
                <w:sz w:val="16"/>
              </w:rPr>
              <w:footnoteReference w:id="5"/>
            </w:r>
            <w:r>
              <w:rPr>
                <w:sz w:val="16"/>
              </w:rPr>
              <w:t xml:space="preserve"> </w:t>
            </w:r>
          </w:p>
        </w:tc>
        <w:tc>
          <w:tcPr>
            <w:tcW w:w="3856" w:type="dxa"/>
            <w:shd w:val="clear" w:color="auto" w:fill="auto"/>
          </w:tcPr>
          <w:p w14:paraId="41E0F542" w14:textId="77777777" w:rsidR="00C61276" w:rsidRPr="00EB30C0" w:rsidRDefault="00C61276" w:rsidP="00B93868">
            <w:pPr>
              <w:autoSpaceDE w:val="0"/>
              <w:autoSpaceDN w:val="0"/>
              <w:adjustRightInd w:val="0"/>
              <w:spacing w:before="120" w:after="120" w:line="240" w:lineRule="auto"/>
              <w:jc w:val="both"/>
            </w:pPr>
            <w:r>
              <w:rPr>
                <w:sz w:val="16"/>
              </w:rPr>
              <w:t>Evaluer au moyen d'enquêtes et d'analyses de documents pertinents l'adéquation des processus visant à préparer et mettre à jour les profils de risque des clients et les stratégies de placement.</w:t>
            </w:r>
          </w:p>
        </w:tc>
        <w:tc>
          <w:tcPr>
            <w:tcW w:w="3656" w:type="dxa"/>
            <w:shd w:val="clear" w:color="auto" w:fill="auto"/>
          </w:tcPr>
          <w:p w14:paraId="6E2DA9AF" w14:textId="77777777" w:rsidR="00C61276" w:rsidRPr="00EB30C0" w:rsidRDefault="00C61276" w:rsidP="00B93868">
            <w:pPr>
              <w:pStyle w:val="Bullet"/>
              <w:numPr>
                <w:ilvl w:val="0"/>
                <w:numId w:val="11"/>
              </w:numPr>
              <w:spacing w:before="120" w:after="120"/>
              <w:ind w:left="175" w:hanging="142"/>
            </w:pPr>
            <w:r>
              <w:t>Gestion de fortune / conseil en placement</w:t>
            </w:r>
            <w:r w:rsidR="00102334">
              <w:rPr>
                <w:rStyle w:val="Funotenzeichen"/>
              </w:rPr>
              <w:footnoteReference w:id="6"/>
            </w:r>
            <w:r>
              <w:t xml:space="preserve">  : tester un échantillon basé sur le risque pour vérifier que les profils de risque des clients ont été établis pour tous les clients individuels et sont mis à jour régulièrement (c'est-à-dire les clients nouveaux et existants).</w:t>
            </w:r>
          </w:p>
          <w:p w14:paraId="68D38E11" w14:textId="77777777" w:rsidR="00C61276" w:rsidRPr="00EB30C0" w:rsidRDefault="00C61276" w:rsidP="00B93868">
            <w:pPr>
              <w:pStyle w:val="Bullet"/>
              <w:numPr>
                <w:ilvl w:val="0"/>
                <w:numId w:val="11"/>
              </w:numPr>
              <w:spacing w:before="120" w:after="120"/>
              <w:ind w:left="175" w:hanging="142"/>
            </w:pPr>
            <w:r>
              <w:t>Gestion de fortune / conseil en placement</w:t>
            </w:r>
            <w:r w:rsidR="00102334">
              <w:rPr>
                <w:rStyle w:val="Funotenzeichen"/>
              </w:rPr>
              <w:footnoteReference w:id="7"/>
            </w:r>
            <w:r w:rsidR="00102334">
              <w:t xml:space="preserve"> </w:t>
            </w:r>
            <w:r>
              <w:t xml:space="preserve">: à partir d'un échantillon basé sur le risque, tester si la structure des profils de risque des clients est </w:t>
            </w:r>
            <w:r w:rsidR="00B91414">
              <w:t xml:space="preserve">pertinente </w:t>
            </w:r>
            <w:r>
              <w:t xml:space="preserve">et si le contenu est plausible. </w:t>
            </w:r>
          </w:p>
          <w:p w14:paraId="16FE06CF" w14:textId="77777777" w:rsidR="00C61276" w:rsidRPr="00EB30C0" w:rsidRDefault="00C61276" w:rsidP="00102334">
            <w:pPr>
              <w:pStyle w:val="Bullet"/>
              <w:numPr>
                <w:ilvl w:val="0"/>
                <w:numId w:val="11"/>
              </w:numPr>
              <w:spacing w:before="120" w:after="120"/>
              <w:ind w:left="175" w:hanging="142"/>
            </w:pPr>
            <w:r>
              <w:t>Gestion de fortune : à partir d'un échantillon basé sur le risque, tester si les stratégies de placement respectent le profil de risque du client.</w:t>
            </w:r>
            <w:r w:rsidR="00102334">
              <w:t xml:space="preserve"> </w:t>
            </w:r>
          </w:p>
        </w:tc>
        <w:tc>
          <w:tcPr>
            <w:tcW w:w="2410" w:type="dxa"/>
            <w:shd w:val="clear" w:color="auto" w:fill="auto"/>
          </w:tcPr>
          <w:p w14:paraId="2A57E481" w14:textId="77777777" w:rsidR="00C61276" w:rsidRPr="00EB30C0" w:rsidRDefault="00C61276" w:rsidP="00B93868">
            <w:pPr>
              <w:spacing w:before="120" w:after="120" w:line="240" w:lineRule="auto"/>
              <w:rPr>
                <w:rFonts w:cs="Arial"/>
                <w:sz w:val="16"/>
                <w:szCs w:val="16"/>
              </w:rPr>
            </w:pPr>
          </w:p>
        </w:tc>
        <w:tc>
          <w:tcPr>
            <w:tcW w:w="709" w:type="dxa"/>
            <w:shd w:val="clear" w:color="auto" w:fill="auto"/>
          </w:tcPr>
          <w:p w14:paraId="08E5F046" w14:textId="77777777" w:rsidR="00C61276" w:rsidRPr="00EB30C0" w:rsidRDefault="00C61276" w:rsidP="00B93868">
            <w:pPr>
              <w:spacing w:before="120" w:after="120" w:line="240" w:lineRule="auto"/>
              <w:rPr>
                <w:rFonts w:cs="Arial"/>
                <w:sz w:val="16"/>
                <w:szCs w:val="16"/>
              </w:rPr>
            </w:pPr>
          </w:p>
        </w:tc>
      </w:tr>
      <w:tr w:rsidR="00C61276" w:rsidRPr="00573E72" w14:paraId="06134EBA" w14:textId="77777777" w:rsidTr="00B93868">
        <w:trPr>
          <w:cantSplit/>
        </w:trPr>
        <w:tc>
          <w:tcPr>
            <w:tcW w:w="596" w:type="dxa"/>
          </w:tcPr>
          <w:p w14:paraId="330DCF1A" w14:textId="77777777" w:rsidR="00C61276" w:rsidRPr="00093ECF" w:rsidRDefault="00C61276" w:rsidP="00B93868">
            <w:pPr>
              <w:spacing w:before="120" w:after="120" w:line="240" w:lineRule="auto"/>
              <w:rPr>
                <w:rFonts w:cs="Arial"/>
                <w:b/>
                <w:sz w:val="16"/>
                <w:szCs w:val="16"/>
              </w:rPr>
            </w:pPr>
            <w:r>
              <w:rPr>
                <w:b/>
                <w:sz w:val="16"/>
              </w:rPr>
              <w:t>X</w:t>
            </w:r>
          </w:p>
        </w:tc>
        <w:tc>
          <w:tcPr>
            <w:tcW w:w="596" w:type="dxa"/>
          </w:tcPr>
          <w:p w14:paraId="33CED750" w14:textId="77777777" w:rsidR="00C61276" w:rsidRPr="00093ECF" w:rsidRDefault="00C61276" w:rsidP="00B93868">
            <w:pPr>
              <w:spacing w:before="120" w:after="120" w:line="240" w:lineRule="auto"/>
              <w:rPr>
                <w:rFonts w:cs="Arial"/>
                <w:b/>
                <w:sz w:val="16"/>
                <w:szCs w:val="16"/>
              </w:rPr>
            </w:pPr>
            <w:r>
              <w:rPr>
                <w:b/>
                <w:sz w:val="16"/>
              </w:rPr>
              <w:t>X</w:t>
            </w:r>
          </w:p>
        </w:tc>
        <w:tc>
          <w:tcPr>
            <w:tcW w:w="596" w:type="dxa"/>
          </w:tcPr>
          <w:p w14:paraId="2126DAC0" w14:textId="77777777" w:rsidR="00C61276" w:rsidRPr="00093ECF" w:rsidRDefault="00C61276" w:rsidP="00B93868">
            <w:pPr>
              <w:spacing w:before="120" w:after="120" w:line="240" w:lineRule="auto"/>
              <w:rPr>
                <w:rFonts w:cs="Arial"/>
                <w:b/>
                <w:sz w:val="16"/>
                <w:szCs w:val="16"/>
              </w:rPr>
            </w:pPr>
          </w:p>
        </w:tc>
        <w:tc>
          <w:tcPr>
            <w:tcW w:w="673" w:type="dxa"/>
          </w:tcPr>
          <w:p w14:paraId="6AA2C48D" w14:textId="77777777" w:rsidR="00C61276" w:rsidRPr="00093ECF" w:rsidRDefault="00C61276" w:rsidP="00B93868">
            <w:pPr>
              <w:spacing w:before="120" w:after="120" w:line="240" w:lineRule="auto"/>
              <w:rPr>
                <w:rFonts w:cs="Arial"/>
                <w:b/>
                <w:sz w:val="16"/>
                <w:szCs w:val="16"/>
              </w:rPr>
            </w:pPr>
          </w:p>
        </w:tc>
        <w:tc>
          <w:tcPr>
            <w:tcW w:w="567" w:type="dxa"/>
            <w:vMerge/>
            <w:shd w:val="clear" w:color="auto" w:fill="auto"/>
          </w:tcPr>
          <w:p w14:paraId="015B3609" w14:textId="77777777" w:rsidR="00C61276" w:rsidRPr="00EB30C0" w:rsidRDefault="00C61276" w:rsidP="00B93868">
            <w:pPr>
              <w:spacing w:before="120" w:after="120" w:line="240" w:lineRule="auto"/>
              <w:rPr>
                <w:rFonts w:cs="Arial"/>
                <w:sz w:val="16"/>
                <w:szCs w:val="16"/>
              </w:rPr>
            </w:pPr>
          </w:p>
        </w:tc>
        <w:tc>
          <w:tcPr>
            <w:tcW w:w="1531" w:type="dxa"/>
            <w:vMerge/>
            <w:shd w:val="clear" w:color="auto" w:fill="auto"/>
          </w:tcPr>
          <w:p w14:paraId="23349E76" w14:textId="77777777" w:rsidR="00C61276" w:rsidRPr="00EB30C0" w:rsidRDefault="00C61276" w:rsidP="00B93868">
            <w:pPr>
              <w:spacing w:before="120" w:after="120" w:line="240" w:lineRule="auto"/>
              <w:rPr>
                <w:rFonts w:cs="Arial"/>
                <w:b/>
                <w:sz w:val="16"/>
                <w:szCs w:val="16"/>
              </w:rPr>
            </w:pPr>
          </w:p>
        </w:tc>
        <w:tc>
          <w:tcPr>
            <w:tcW w:w="3856" w:type="dxa"/>
            <w:shd w:val="clear" w:color="auto" w:fill="auto"/>
          </w:tcPr>
          <w:p w14:paraId="34AFC845" w14:textId="77777777" w:rsidR="00C61276" w:rsidRPr="006C1090" w:rsidRDefault="00C61276" w:rsidP="007311D6">
            <w:pPr>
              <w:pStyle w:val="Bullet"/>
              <w:spacing w:before="120" w:after="120"/>
            </w:pPr>
            <w:r w:rsidRPr="006C1090">
              <w:t>Evaluer au moyen d'enquêtes et d'analyses de documents pertinents l'adéquation des processus visant à définir les profils de risque des portefeuilles aussi bien du point de vue de l'analyse du produit / classification du produit (procédure d'approbation des nouveaux produits, méthode de notation du risque</w:t>
            </w:r>
            <w:r w:rsidR="00B91414" w:rsidRPr="006C1090">
              <w:t xml:space="preserve"> du</w:t>
            </w:r>
            <w:r w:rsidRPr="006C1090">
              <w:t xml:space="preserve"> produit) que de leur évaluation régulière (basée </w:t>
            </w:r>
            <w:r w:rsidR="00AB611E" w:rsidRPr="006C1090">
              <w:t xml:space="preserve">des facteurs </w:t>
            </w:r>
            <w:r w:rsidR="007311D6" w:rsidRPr="006C1090">
              <w:t>appropriés</w:t>
            </w:r>
            <w:r w:rsidR="00AB611E" w:rsidRPr="006C1090">
              <w:t xml:space="preserve"> et </w:t>
            </w:r>
            <w:r w:rsidR="007311D6" w:rsidRPr="006C1090">
              <w:t xml:space="preserve">pouvant être combinés </w:t>
            </w:r>
            <w:r w:rsidR="00AB611E" w:rsidRPr="006C1090">
              <w:t>par ex.</w:t>
            </w:r>
            <w:r w:rsidRPr="006C1090">
              <w:t xml:space="preserve"> la solvabilité, la </w:t>
            </w:r>
            <w:r w:rsidRPr="006C1090">
              <w:rPr>
                <w:i/>
              </w:rPr>
              <w:t>value at risk</w:t>
            </w:r>
            <w:r w:rsidRPr="006C1090">
              <w:t>, la liquidité, la complexité des produits).</w:t>
            </w:r>
          </w:p>
        </w:tc>
        <w:tc>
          <w:tcPr>
            <w:tcW w:w="3656" w:type="dxa"/>
            <w:shd w:val="clear" w:color="auto" w:fill="auto"/>
          </w:tcPr>
          <w:p w14:paraId="56A2D545" w14:textId="77777777" w:rsidR="00C61276" w:rsidRPr="006C1090" w:rsidRDefault="00C61276" w:rsidP="00B93868">
            <w:pPr>
              <w:autoSpaceDE w:val="0"/>
              <w:autoSpaceDN w:val="0"/>
              <w:adjustRightInd w:val="0"/>
              <w:spacing w:before="120" w:after="120" w:line="240" w:lineRule="auto"/>
              <w:rPr>
                <w:rFonts w:cs="Arial"/>
                <w:sz w:val="16"/>
                <w:szCs w:val="16"/>
              </w:rPr>
            </w:pPr>
            <w:r w:rsidRPr="006C1090">
              <w:rPr>
                <w:sz w:val="16"/>
              </w:rPr>
              <w:t xml:space="preserve">A partir </w:t>
            </w:r>
            <w:r w:rsidR="00B76F2D" w:rsidRPr="006C1090">
              <w:rPr>
                <w:sz w:val="16"/>
              </w:rPr>
              <w:t>d’</w:t>
            </w:r>
            <w:r w:rsidRPr="006C1090">
              <w:rPr>
                <w:sz w:val="16"/>
              </w:rPr>
              <w:t xml:space="preserve">un échantillon basé sur le risque, tester l'adéquation de la classification des produits et </w:t>
            </w:r>
            <w:r w:rsidR="00B76F2D" w:rsidRPr="006C1090">
              <w:rPr>
                <w:sz w:val="16"/>
              </w:rPr>
              <w:t xml:space="preserve">de leur </w:t>
            </w:r>
            <w:r w:rsidRPr="006C1090">
              <w:rPr>
                <w:sz w:val="16"/>
              </w:rPr>
              <w:t>évaluation régulière.</w:t>
            </w:r>
          </w:p>
          <w:p w14:paraId="3FDCA43A" w14:textId="77777777" w:rsidR="00C61276" w:rsidRPr="006C1090" w:rsidRDefault="00C61276" w:rsidP="00B93868">
            <w:pPr>
              <w:autoSpaceDE w:val="0"/>
              <w:autoSpaceDN w:val="0"/>
              <w:adjustRightInd w:val="0"/>
              <w:spacing w:before="120" w:after="120" w:line="240" w:lineRule="auto"/>
              <w:rPr>
                <w:rFonts w:cs="Arial"/>
                <w:sz w:val="16"/>
                <w:szCs w:val="16"/>
              </w:rPr>
            </w:pPr>
          </w:p>
          <w:p w14:paraId="0E95134C" w14:textId="77777777" w:rsidR="00C61276" w:rsidRPr="006C1090" w:rsidRDefault="00C61276" w:rsidP="00B93868">
            <w:pPr>
              <w:autoSpaceDE w:val="0"/>
              <w:autoSpaceDN w:val="0"/>
              <w:adjustRightInd w:val="0"/>
              <w:spacing w:before="120" w:after="120" w:line="240" w:lineRule="auto"/>
              <w:rPr>
                <w:rFonts w:cs="Arial"/>
                <w:sz w:val="16"/>
                <w:szCs w:val="16"/>
              </w:rPr>
            </w:pPr>
          </w:p>
        </w:tc>
        <w:tc>
          <w:tcPr>
            <w:tcW w:w="2410" w:type="dxa"/>
            <w:shd w:val="clear" w:color="auto" w:fill="auto"/>
          </w:tcPr>
          <w:p w14:paraId="0812165E" w14:textId="77777777" w:rsidR="00C61276" w:rsidRPr="00EB30C0" w:rsidRDefault="00C61276" w:rsidP="00B93868">
            <w:pPr>
              <w:spacing w:before="120" w:after="120" w:line="240" w:lineRule="auto"/>
              <w:rPr>
                <w:rFonts w:cs="Arial"/>
                <w:sz w:val="16"/>
                <w:szCs w:val="16"/>
              </w:rPr>
            </w:pPr>
          </w:p>
        </w:tc>
        <w:tc>
          <w:tcPr>
            <w:tcW w:w="709" w:type="dxa"/>
            <w:shd w:val="clear" w:color="auto" w:fill="auto"/>
          </w:tcPr>
          <w:p w14:paraId="38F0B9C3" w14:textId="77777777" w:rsidR="00C61276" w:rsidRPr="00EB30C0" w:rsidRDefault="00C61276" w:rsidP="00B93868">
            <w:pPr>
              <w:spacing w:before="120" w:after="120" w:line="240" w:lineRule="auto"/>
              <w:rPr>
                <w:rFonts w:cs="Arial"/>
                <w:sz w:val="16"/>
                <w:szCs w:val="16"/>
              </w:rPr>
            </w:pPr>
          </w:p>
        </w:tc>
      </w:tr>
      <w:tr w:rsidR="00C61276" w:rsidRPr="00573E72" w14:paraId="36170921" w14:textId="77777777" w:rsidTr="00B93868">
        <w:trPr>
          <w:cantSplit/>
        </w:trPr>
        <w:tc>
          <w:tcPr>
            <w:tcW w:w="596" w:type="dxa"/>
          </w:tcPr>
          <w:p w14:paraId="2DBFE3BA" w14:textId="77777777" w:rsidR="00C61276" w:rsidRPr="00093ECF" w:rsidRDefault="00C61276" w:rsidP="00B93868">
            <w:pPr>
              <w:spacing w:before="120" w:after="120" w:line="240" w:lineRule="auto"/>
              <w:rPr>
                <w:rFonts w:cs="Arial"/>
                <w:b/>
                <w:sz w:val="16"/>
                <w:szCs w:val="16"/>
              </w:rPr>
            </w:pPr>
            <w:r>
              <w:rPr>
                <w:b/>
                <w:sz w:val="16"/>
              </w:rPr>
              <w:lastRenderedPageBreak/>
              <w:t>X</w:t>
            </w:r>
          </w:p>
        </w:tc>
        <w:tc>
          <w:tcPr>
            <w:tcW w:w="596" w:type="dxa"/>
          </w:tcPr>
          <w:p w14:paraId="35902C37" w14:textId="77777777" w:rsidR="00C61276" w:rsidRPr="00093ECF" w:rsidRDefault="00C61276" w:rsidP="00B93868">
            <w:pPr>
              <w:spacing w:before="120" w:after="120" w:line="240" w:lineRule="auto"/>
              <w:rPr>
                <w:rFonts w:cs="Arial"/>
                <w:b/>
                <w:sz w:val="16"/>
                <w:szCs w:val="16"/>
              </w:rPr>
            </w:pPr>
            <w:r>
              <w:rPr>
                <w:b/>
                <w:sz w:val="16"/>
              </w:rPr>
              <w:t>X</w:t>
            </w:r>
          </w:p>
        </w:tc>
        <w:tc>
          <w:tcPr>
            <w:tcW w:w="596" w:type="dxa"/>
          </w:tcPr>
          <w:p w14:paraId="76FD050E" w14:textId="77777777" w:rsidR="00C61276" w:rsidRPr="00093ECF" w:rsidRDefault="00C61276" w:rsidP="00B93868">
            <w:pPr>
              <w:spacing w:before="120" w:after="120" w:line="240" w:lineRule="auto"/>
              <w:rPr>
                <w:rFonts w:cs="Arial"/>
                <w:b/>
                <w:sz w:val="16"/>
                <w:szCs w:val="16"/>
              </w:rPr>
            </w:pPr>
          </w:p>
        </w:tc>
        <w:tc>
          <w:tcPr>
            <w:tcW w:w="673" w:type="dxa"/>
          </w:tcPr>
          <w:p w14:paraId="63B7EA70" w14:textId="77777777" w:rsidR="00C61276" w:rsidRPr="00093ECF" w:rsidRDefault="00C61276" w:rsidP="00B93868">
            <w:pPr>
              <w:spacing w:before="120" w:after="120" w:line="240" w:lineRule="auto"/>
              <w:rPr>
                <w:rFonts w:cs="Arial"/>
                <w:b/>
                <w:sz w:val="16"/>
                <w:szCs w:val="16"/>
              </w:rPr>
            </w:pPr>
          </w:p>
        </w:tc>
        <w:tc>
          <w:tcPr>
            <w:tcW w:w="567" w:type="dxa"/>
            <w:vMerge/>
            <w:shd w:val="clear" w:color="auto" w:fill="auto"/>
          </w:tcPr>
          <w:p w14:paraId="21A9AA60" w14:textId="77777777" w:rsidR="00C61276" w:rsidRPr="00EB30C0" w:rsidRDefault="00C61276" w:rsidP="00B93868">
            <w:pPr>
              <w:spacing w:before="120" w:after="120" w:line="240" w:lineRule="auto"/>
              <w:rPr>
                <w:rFonts w:cs="Arial"/>
                <w:sz w:val="16"/>
                <w:szCs w:val="16"/>
              </w:rPr>
            </w:pPr>
          </w:p>
        </w:tc>
        <w:tc>
          <w:tcPr>
            <w:tcW w:w="1531" w:type="dxa"/>
            <w:vMerge/>
            <w:shd w:val="clear" w:color="auto" w:fill="auto"/>
          </w:tcPr>
          <w:p w14:paraId="04F9D6A2" w14:textId="77777777" w:rsidR="00C61276" w:rsidRPr="00EB30C0" w:rsidRDefault="00C61276" w:rsidP="00B93868">
            <w:pPr>
              <w:spacing w:before="120" w:after="120" w:line="240" w:lineRule="auto"/>
              <w:rPr>
                <w:rFonts w:cs="Arial"/>
                <w:b/>
                <w:sz w:val="16"/>
                <w:szCs w:val="16"/>
              </w:rPr>
            </w:pPr>
          </w:p>
        </w:tc>
        <w:tc>
          <w:tcPr>
            <w:tcW w:w="3856" w:type="dxa"/>
            <w:shd w:val="clear" w:color="auto" w:fill="auto"/>
          </w:tcPr>
          <w:p w14:paraId="7FABA957" w14:textId="77777777" w:rsidR="00C61276" w:rsidRPr="006C1090" w:rsidRDefault="00C61276" w:rsidP="00B93868">
            <w:pPr>
              <w:pStyle w:val="Bullet"/>
              <w:spacing w:before="120" w:after="120"/>
            </w:pPr>
            <w:r w:rsidRPr="006C1090">
              <w:t>Evaluer au moyen d'enquêtes et d'analyses de documents pertinents l'adéquation des processus visant à déterminer et surveiller régulièrement la conformité entre le profil de risque du client / les stratégies de placement et le profil de risque du portefeuille.</w:t>
            </w:r>
          </w:p>
        </w:tc>
        <w:tc>
          <w:tcPr>
            <w:tcW w:w="3656" w:type="dxa"/>
            <w:shd w:val="clear" w:color="auto" w:fill="auto"/>
          </w:tcPr>
          <w:p w14:paraId="778C5A0D" w14:textId="77777777" w:rsidR="00C61276" w:rsidRPr="006C1090" w:rsidRDefault="007967C9" w:rsidP="007967C9">
            <w:pPr>
              <w:autoSpaceDE w:val="0"/>
              <w:autoSpaceDN w:val="0"/>
              <w:adjustRightInd w:val="0"/>
              <w:spacing w:before="120" w:after="120" w:line="240" w:lineRule="auto"/>
              <w:rPr>
                <w:rFonts w:cs="Arial"/>
                <w:sz w:val="16"/>
                <w:szCs w:val="16"/>
              </w:rPr>
            </w:pPr>
            <w:r w:rsidRPr="006C1090">
              <w:rPr>
                <w:sz w:val="16"/>
              </w:rPr>
              <w:t>A l’aide d’</w:t>
            </w:r>
            <w:r w:rsidR="00C61276" w:rsidRPr="006C1090">
              <w:rPr>
                <w:sz w:val="16"/>
              </w:rPr>
              <w:t xml:space="preserve">un échantillon basé sur le risque, examiner </w:t>
            </w:r>
            <w:r w:rsidRPr="006C1090">
              <w:rPr>
                <w:sz w:val="16"/>
              </w:rPr>
              <w:t>s’il existe d</w:t>
            </w:r>
            <w:r w:rsidR="00C61276" w:rsidRPr="006C1090">
              <w:rPr>
                <w:sz w:val="16"/>
              </w:rPr>
              <w:t>es divergences entre profil de risque du client, stratégies de placement et profil de risque du portefeuille,</w:t>
            </w:r>
            <w:r w:rsidRPr="006C1090">
              <w:rPr>
                <w:sz w:val="16"/>
              </w:rPr>
              <w:t xml:space="preserve"> et si</w:t>
            </w:r>
            <w:r w:rsidR="00C61276" w:rsidRPr="006C1090">
              <w:rPr>
                <w:sz w:val="16"/>
              </w:rPr>
              <w:t xml:space="preserve"> </w:t>
            </w:r>
            <w:r w:rsidRPr="006C1090">
              <w:rPr>
                <w:sz w:val="16"/>
              </w:rPr>
              <w:t xml:space="preserve">le </w:t>
            </w:r>
            <w:r w:rsidR="00C61276" w:rsidRPr="006C1090">
              <w:rPr>
                <w:i/>
                <w:sz w:val="16"/>
              </w:rPr>
              <w:t>reporting</w:t>
            </w:r>
            <w:r w:rsidR="00C61276" w:rsidRPr="006C1090">
              <w:rPr>
                <w:sz w:val="16"/>
              </w:rPr>
              <w:t xml:space="preserve"> dédié et les mesures prises pour éliminer les divergences identifiées</w:t>
            </w:r>
            <w:r w:rsidRPr="006C1090">
              <w:rPr>
                <w:sz w:val="16"/>
              </w:rPr>
              <w:t xml:space="preserve"> sont adéquats</w:t>
            </w:r>
            <w:r w:rsidR="00C61276" w:rsidRPr="006C1090">
              <w:rPr>
                <w:sz w:val="16"/>
              </w:rPr>
              <w:t>.</w:t>
            </w:r>
          </w:p>
        </w:tc>
        <w:tc>
          <w:tcPr>
            <w:tcW w:w="2410" w:type="dxa"/>
            <w:shd w:val="clear" w:color="auto" w:fill="auto"/>
          </w:tcPr>
          <w:p w14:paraId="5E6790D8" w14:textId="77777777" w:rsidR="00C61276" w:rsidRPr="00EB30C0" w:rsidRDefault="00C61276" w:rsidP="00B93868">
            <w:pPr>
              <w:spacing w:before="120" w:after="120" w:line="240" w:lineRule="auto"/>
              <w:rPr>
                <w:rFonts w:cs="Arial"/>
                <w:sz w:val="16"/>
                <w:szCs w:val="16"/>
              </w:rPr>
            </w:pPr>
          </w:p>
        </w:tc>
        <w:tc>
          <w:tcPr>
            <w:tcW w:w="709" w:type="dxa"/>
            <w:shd w:val="clear" w:color="auto" w:fill="auto"/>
          </w:tcPr>
          <w:p w14:paraId="462C8C81" w14:textId="77777777" w:rsidR="00C61276" w:rsidRPr="00EB30C0" w:rsidRDefault="00C61276" w:rsidP="00B93868">
            <w:pPr>
              <w:spacing w:before="120" w:after="120" w:line="240" w:lineRule="auto"/>
              <w:rPr>
                <w:rFonts w:cs="Arial"/>
                <w:sz w:val="16"/>
                <w:szCs w:val="16"/>
              </w:rPr>
            </w:pPr>
          </w:p>
        </w:tc>
      </w:tr>
      <w:tr w:rsidR="00C61276" w:rsidRPr="00573E72" w14:paraId="7D77637B" w14:textId="77777777" w:rsidTr="00B93868">
        <w:trPr>
          <w:cantSplit/>
        </w:trPr>
        <w:tc>
          <w:tcPr>
            <w:tcW w:w="596" w:type="dxa"/>
          </w:tcPr>
          <w:p w14:paraId="2CC60FC8" w14:textId="77777777" w:rsidR="00C61276" w:rsidRPr="00093ECF" w:rsidRDefault="00C61276" w:rsidP="00B93868">
            <w:pPr>
              <w:spacing w:before="120" w:after="120" w:line="240" w:lineRule="auto"/>
              <w:rPr>
                <w:rFonts w:cs="Arial"/>
                <w:b/>
                <w:sz w:val="16"/>
                <w:szCs w:val="16"/>
              </w:rPr>
            </w:pPr>
            <w:r>
              <w:rPr>
                <w:b/>
                <w:sz w:val="16"/>
              </w:rPr>
              <w:t>X</w:t>
            </w:r>
          </w:p>
        </w:tc>
        <w:tc>
          <w:tcPr>
            <w:tcW w:w="596" w:type="dxa"/>
          </w:tcPr>
          <w:p w14:paraId="4558287F" w14:textId="77777777" w:rsidR="00C61276" w:rsidRPr="00093ECF" w:rsidRDefault="00C61276" w:rsidP="00B93868">
            <w:pPr>
              <w:spacing w:before="120" w:after="120" w:line="240" w:lineRule="auto"/>
              <w:rPr>
                <w:rFonts w:cs="Arial"/>
                <w:b/>
                <w:sz w:val="16"/>
                <w:szCs w:val="16"/>
              </w:rPr>
            </w:pPr>
            <w:r>
              <w:rPr>
                <w:b/>
                <w:sz w:val="16"/>
              </w:rPr>
              <w:t>X</w:t>
            </w:r>
          </w:p>
        </w:tc>
        <w:tc>
          <w:tcPr>
            <w:tcW w:w="596" w:type="dxa"/>
          </w:tcPr>
          <w:p w14:paraId="62167CDB" w14:textId="77777777" w:rsidR="00C61276" w:rsidRPr="00093ECF" w:rsidRDefault="00C61276" w:rsidP="00B93868">
            <w:pPr>
              <w:spacing w:before="120" w:after="120" w:line="240" w:lineRule="auto"/>
              <w:rPr>
                <w:rFonts w:cs="Arial"/>
                <w:b/>
                <w:sz w:val="16"/>
                <w:szCs w:val="16"/>
              </w:rPr>
            </w:pPr>
          </w:p>
        </w:tc>
        <w:tc>
          <w:tcPr>
            <w:tcW w:w="673" w:type="dxa"/>
          </w:tcPr>
          <w:p w14:paraId="13C0CCE8" w14:textId="77777777" w:rsidR="00C61276" w:rsidRPr="00093ECF" w:rsidRDefault="00C61276" w:rsidP="00B93868">
            <w:pPr>
              <w:spacing w:before="120" w:after="120" w:line="240" w:lineRule="auto"/>
              <w:rPr>
                <w:rFonts w:cs="Arial"/>
                <w:b/>
                <w:sz w:val="16"/>
                <w:szCs w:val="16"/>
              </w:rPr>
            </w:pPr>
          </w:p>
        </w:tc>
        <w:tc>
          <w:tcPr>
            <w:tcW w:w="567" w:type="dxa"/>
            <w:shd w:val="clear" w:color="auto" w:fill="auto"/>
          </w:tcPr>
          <w:p w14:paraId="6681909C" w14:textId="77777777" w:rsidR="00C61276" w:rsidRPr="00EB30C0" w:rsidRDefault="00C61276" w:rsidP="00B93868">
            <w:pPr>
              <w:spacing w:before="120" w:after="120" w:line="240" w:lineRule="auto"/>
              <w:rPr>
                <w:rFonts w:cs="Arial"/>
                <w:sz w:val="16"/>
                <w:szCs w:val="16"/>
              </w:rPr>
            </w:pPr>
          </w:p>
        </w:tc>
        <w:tc>
          <w:tcPr>
            <w:tcW w:w="1531" w:type="dxa"/>
            <w:vMerge w:val="restart"/>
            <w:shd w:val="clear" w:color="auto" w:fill="auto"/>
          </w:tcPr>
          <w:p w14:paraId="13959095" w14:textId="77777777" w:rsidR="00C61276" w:rsidRPr="00EB30C0" w:rsidRDefault="00C61276" w:rsidP="00B93868">
            <w:pPr>
              <w:spacing w:before="120" w:after="120" w:line="240" w:lineRule="auto"/>
              <w:rPr>
                <w:rFonts w:cs="Arial"/>
                <w:b/>
                <w:sz w:val="16"/>
                <w:szCs w:val="16"/>
              </w:rPr>
            </w:pPr>
            <w:r>
              <w:rPr>
                <w:b/>
                <w:sz w:val="16"/>
              </w:rPr>
              <w:t>Diversification</w:t>
            </w:r>
            <w:r>
              <w:rPr>
                <w:rFonts w:cs="Arial"/>
                <w:b/>
                <w:sz w:val="16"/>
                <w:szCs w:val="16"/>
              </w:rPr>
              <w:br/>
            </w:r>
            <w:r>
              <w:rPr>
                <w:b/>
                <w:sz w:val="16"/>
              </w:rPr>
              <w:t>des portefeuilles</w:t>
            </w:r>
          </w:p>
        </w:tc>
        <w:tc>
          <w:tcPr>
            <w:tcW w:w="3856" w:type="dxa"/>
            <w:shd w:val="clear" w:color="auto" w:fill="auto"/>
          </w:tcPr>
          <w:p w14:paraId="6BD86AC9" w14:textId="77777777" w:rsidR="00C61276" w:rsidRPr="006C1090" w:rsidRDefault="00C61276" w:rsidP="007967C9">
            <w:pPr>
              <w:pStyle w:val="Bullet"/>
              <w:spacing w:before="120" w:after="120"/>
            </w:pPr>
            <w:r w:rsidRPr="006C1090">
              <w:t>Evaluer au moyen d'enquêtes et d'analyses de documents pertinents l'adéquation des lignes directrices et procédures</w:t>
            </w:r>
            <w:r w:rsidR="0064230F">
              <w:t xml:space="preserve"> internes</w:t>
            </w:r>
            <w:r w:rsidRPr="006C1090">
              <w:t xml:space="preserve"> pour la diversification du portefeuille au niveau du portefeuille client et </w:t>
            </w:r>
            <w:r w:rsidR="007967C9" w:rsidRPr="006C1090">
              <w:t xml:space="preserve">sa </w:t>
            </w:r>
            <w:r w:rsidRPr="006C1090">
              <w:t>surveillance (</w:t>
            </w:r>
            <w:r w:rsidR="00B91414" w:rsidRPr="006C1090">
              <w:t xml:space="preserve">part </w:t>
            </w:r>
            <w:r w:rsidRPr="006C1090">
              <w:t xml:space="preserve">max. pour chaque instrument financier, </w:t>
            </w:r>
            <w:r w:rsidR="00B91414" w:rsidRPr="006C1090">
              <w:t xml:space="preserve">part </w:t>
            </w:r>
            <w:r w:rsidRPr="006C1090">
              <w:t xml:space="preserve">max. par émetteur, </w:t>
            </w:r>
            <w:r w:rsidR="00B91414" w:rsidRPr="006C1090">
              <w:t xml:space="preserve">part </w:t>
            </w:r>
            <w:r w:rsidRPr="006C1090">
              <w:t>max. par industrie, pays et devise, par ex.).</w:t>
            </w:r>
          </w:p>
        </w:tc>
        <w:tc>
          <w:tcPr>
            <w:tcW w:w="3656" w:type="dxa"/>
            <w:shd w:val="clear" w:color="auto" w:fill="auto"/>
          </w:tcPr>
          <w:p w14:paraId="688585DF" w14:textId="77777777" w:rsidR="00C61276" w:rsidRPr="006C1090" w:rsidRDefault="00C61276" w:rsidP="00B93868">
            <w:pPr>
              <w:pStyle w:val="Bullet"/>
              <w:spacing w:before="120" w:after="120"/>
            </w:pPr>
          </w:p>
        </w:tc>
        <w:tc>
          <w:tcPr>
            <w:tcW w:w="2410" w:type="dxa"/>
            <w:shd w:val="clear" w:color="auto" w:fill="auto"/>
          </w:tcPr>
          <w:p w14:paraId="656DA8BB" w14:textId="77777777" w:rsidR="00C61276" w:rsidRPr="00EB30C0" w:rsidRDefault="00C61276" w:rsidP="00B93868">
            <w:pPr>
              <w:spacing w:before="120" w:after="120" w:line="240" w:lineRule="auto"/>
              <w:rPr>
                <w:rFonts w:cs="Arial"/>
                <w:sz w:val="16"/>
                <w:szCs w:val="16"/>
              </w:rPr>
            </w:pPr>
          </w:p>
        </w:tc>
        <w:tc>
          <w:tcPr>
            <w:tcW w:w="709" w:type="dxa"/>
            <w:shd w:val="clear" w:color="auto" w:fill="auto"/>
          </w:tcPr>
          <w:p w14:paraId="3AEEFD47" w14:textId="77777777" w:rsidR="00C61276" w:rsidRPr="00EB30C0" w:rsidRDefault="00C61276" w:rsidP="00B93868">
            <w:pPr>
              <w:spacing w:before="120" w:after="120" w:line="240" w:lineRule="auto"/>
              <w:rPr>
                <w:rFonts w:cs="Arial"/>
                <w:sz w:val="16"/>
                <w:szCs w:val="16"/>
              </w:rPr>
            </w:pPr>
          </w:p>
        </w:tc>
      </w:tr>
      <w:tr w:rsidR="00C61276" w:rsidRPr="00573E72" w14:paraId="22812155" w14:textId="77777777" w:rsidTr="00B93868">
        <w:trPr>
          <w:cantSplit/>
        </w:trPr>
        <w:tc>
          <w:tcPr>
            <w:tcW w:w="596" w:type="dxa"/>
          </w:tcPr>
          <w:p w14:paraId="68306BF4" w14:textId="77777777" w:rsidR="00C61276" w:rsidRPr="00093ECF" w:rsidRDefault="00C61276" w:rsidP="00B93868">
            <w:pPr>
              <w:spacing w:before="120" w:after="120" w:line="240" w:lineRule="auto"/>
              <w:rPr>
                <w:rFonts w:cs="Arial"/>
                <w:b/>
                <w:sz w:val="16"/>
                <w:szCs w:val="16"/>
              </w:rPr>
            </w:pPr>
            <w:r>
              <w:rPr>
                <w:b/>
                <w:sz w:val="16"/>
              </w:rPr>
              <w:t>X</w:t>
            </w:r>
          </w:p>
        </w:tc>
        <w:tc>
          <w:tcPr>
            <w:tcW w:w="596" w:type="dxa"/>
          </w:tcPr>
          <w:p w14:paraId="24AA5CAA" w14:textId="77777777" w:rsidR="00C61276" w:rsidRPr="00093ECF" w:rsidRDefault="00C61276" w:rsidP="00B93868">
            <w:pPr>
              <w:spacing w:before="120" w:after="120" w:line="240" w:lineRule="auto"/>
              <w:rPr>
                <w:rFonts w:cs="Arial"/>
                <w:b/>
                <w:sz w:val="16"/>
                <w:szCs w:val="16"/>
              </w:rPr>
            </w:pPr>
          </w:p>
        </w:tc>
        <w:tc>
          <w:tcPr>
            <w:tcW w:w="596" w:type="dxa"/>
          </w:tcPr>
          <w:p w14:paraId="36B1A440" w14:textId="77777777" w:rsidR="00C61276" w:rsidRPr="00093ECF" w:rsidRDefault="00C61276" w:rsidP="00B93868">
            <w:pPr>
              <w:spacing w:before="120" w:after="120" w:line="240" w:lineRule="auto"/>
              <w:rPr>
                <w:rFonts w:cs="Arial"/>
                <w:b/>
                <w:sz w:val="16"/>
                <w:szCs w:val="16"/>
              </w:rPr>
            </w:pPr>
          </w:p>
        </w:tc>
        <w:tc>
          <w:tcPr>
            <w:tcW w:w="673" w:type="dxa"/>
          </w:tcPr>
          <w:p w14:paraId="57F6F175" w14:textId="77777777" w:rsidR="00C61276" w:rsidRPr="00093ECF" w:rsidRDefault="00C61276" w:rsidP="00B93868">
            <w:pPr>
              <w:spacing w:before="120" w:after="120" w:line="240" w:lineRule="auto"/>
              <w:rPr>
                <w:rFonts w:cs="Arial"/>
                <w:b/>
                <w:sz w:val="16"/>
                <w:szCs w:val="16"/>
              </w:rPr>
            </w:pPr>
          </w:p>
        </w:tc>
        <w:tc>
          <w:tcPr>
            <w:tcW w:w="567" w:type="dxa"/>
            <w:shd w:val="clear" w:color="auto" w:fill="auto"/>
          </w:tcPr>
          <w:p w14:paraId="3799F6E9" w14:textId="77777777" w:rsidR="00C61276" w:rsidRPr="00EB30C0" w:rsidRDefault="00C61276" w:rsidP="00B93868">
            <w:pPr>
              <w:spacing w:before="120" w:after="120" w:line="240" w:lineRule="auto"/>
              <w:rPr>
                <w:rFonts w:cs="Arial"/>
                <w:sz w:val="16"/>
                <w:szCs w:val="16"/>
              </w:rPr>
            </w:pPr>
          </w:p>
        </w:tc>
        <w:tc>
          <w:tcPr>
            <w:tcW w:w="1531" w:type="dxa"/>
            <w:vMerge/>
            <w:shd w:val="clear" w:color="auto" w:fill="auto"/>
          </w:tcPr>
          <w:p w14:paraId="28A22795" w14:textId="77777777" w:rsidR="00C61276" w:rsidRPr="002675EB" w:rsidRDefault="00C61276" w:rsidP="00B93868">
            <w:pPr>
              <w:spacing w:before="120" w:after="120" w:line="240" w:lineRule="auto"/>
              <w:rPr>
                <w:rFonts w:cs="Arial"/>
                <w:b/>
                <w:sz w:val="16"/>
                <w:szCs w:val="16"/>
              </w:rPr>
            </w:pPr>
          </w:p>
        </w:tc>
        <w:tc>
          <w:tcPr>
            <w:tcW w:w="3856" w:type="dxa"/>
            <w:shd w:val="clear" w:color="auto" w:fill="auto"/>
          </w:tcPr>
          <w:p w14:paraId="6FD537EC" w14:textId="77777777" w:rsidR="00C61276" w:rsidRPr="006C1090" w:rsidRDefault="00C61276" w:rsidP="00B93868">
            <w:pPr>
              <w:pStyle w:val="Bullet"/>
              <w:spacing w:before="120" w:after="120"/>
            </w:pPr>
          </w:p>
        </w:tc>
        <w:tc>
          <w:tcPr>
            <w:tcW w:w="3656" w:type="dxa"/>
            <w:shd w:val="clear" w:color="auto" w:fill="auto"/>
          </w:tcPr>
          <w:p w14:paraId="61CF4CCC" w14:textId="77777777" w:rsidR="00C61276" w:rsidRPr="006C1090" w:rsidRDefault="00C61276" w:rsidP="000D113E">
            <w:pPr>
              <w:pStyle w:val="Bullet"/>
              <w:spacing w:before="120" w:after="120"/>
            </w:pPr>
            <w:r w:rsidRPr="006C1090">
              <w:t xml:space="preserve">A partir d'un échantillon de portefeuilles clients basé sur le risque, tester </w:t>
            </w:r>
            <w:r w:rsidR="009D4842" w:rsidRPr="006C1090">
              <w:t xml:space="preserve">si </w:t>
            </w:r>
            <w:r w:rsidR="000D113E">
              <w:t>l</w:t>
            </w:r>
            <w:r w:rsidR="0064230F">
              <w:t xml:space="preserve">es prescriptions internes de diversification </w:t>
            </w:r>
            <w:r w:rsidR="000D113E">
              <w:t>sont</w:t>
            </w:r>
            <w:r w:rsidR="0064230F">
              <w:t xml:space="preserve"> respectées</w:t>
            </w:r>
            <w:r w:rsidR="009D4842" w:rsidRPr="006C1090">
              <w:t>.</w:t>
            </w:r>
          </w:p>
        </w:tc>
        <w:tc>
          <w:tcPr>
            <w:tcW w:w="2410" w:type="dxa"/>
            <w:shd w:val="clear" w:color="auto" w:fill="auto"/>
          </w:tcPr>
          <w:p w14:paraId="68C215E2" w14:textId="77777777" w:rsidR="00C61276" w:rsidRPr="00EB30C0" w:rsidRDefault="00C61276" w:rsidP="00B93868">
            <w:pPr>
              <w:spacing w:before="120" w:after="120" w:line="240" w:lineRule="auto"/>
              <w:rPr>
                <w:rFonts w:cs="Arial"/>
                <w:sz w:val="16"/>
                <w:szCs w:val="16"/>
              </w:rPr>
            </w:pPr>
          </w:p>
        </w:tc>
        <w:tc>
          <w:tcPr>
            <w:tcW w:w="709" w:type="dxa"/>
            <w:shd w:val="clear" w:color="auto" w:fill="auto"/>
          </w:tcPr>
          <w:p w14:paraId="78CE6EE4" w14:textId="77777777" w:rsidR="00C61276" w:rsidRPr="00EB30C0" w:rsidRDefault="00C61276" w:rsidP="00B93868">
            <w:pPr>
              <w:spacing w:before="120" w:after="120" w:line="240" w:lineRule="auto"/>
              <w:rPr>
                <w:rFonts w:cs="Arial"/>
                <w:sz w:val="16"/>
                <w:szCs w:val="16"/>
              </w:rPr>
            </w:pPr>
          </w:p>
        </w:tc>
      </w:tr>
      <w:tr w:rsidR="00C61276" w:rsidRPr="00573E72" w14:paraId="41C14FC8" w14:textId="77777777" w:rsidTr="00B93868">
        <w:trPr>
          <w:cantSplit/>
        </w:trPr>
        <w:tc>
          <w:tcPr>
            <w:tcW w:w="596" w:type="dxa"/>
          </w:tcPr>
          <w:p w14:paraId="4EE88123" w14:textId="77777777" w:rsidR="00C61276" w:rsidRPr="00093ECF" w:rsidRDefault="00C61276" w:rsidP="00B93868">
            <w:pPr>
              <w:spacing w:before="120" w:after="120" w:line="240" w:lineRule="auto"/>
              <w:rPr>
                <w:rFonts w:cs="Arial"/>
                <w:b/>
                <w:sz w:val="16"/>
                <w:szCs w:val="16"/>
              </w:rPr>
            </w:pPr>
          </w:p>
        </w:tc>
        <w:tc>
          <w:tcPr>
            <w:tcW w:w="596" w:type="dxa"/>
          </w:tcPr>
          <w:p w14:paraId="48AEEB97" w14:textId="77777777" w:rsidR="00C61276" w:rsidRPr="00093ECF" w:rsidRDefault="00C61276" w:rsidP="00B93868">
            <w:pPr>
              <w:spacing w:before="120" w:after="120" w:line="240" w:lineRule="auto"/>
              <w:rPr>
                <w:rFonts w:cs="Arial"/>
                <w:b/>
                <w:sz w:val="16"/>
                <w:szCs w:val="16"/>
              </w:rPr>
            </w:pPr>
            <w:r>
              <w:rPr>
                <w:b/>
                <w:sz w:val="16"/>
              </w:rPr>
              <w:t>X</w:t>
            </w:r>
          </w:p>
        </w:tc>
        <w:tc>
          <w:tcPr>
            <w:tcW w:w="596" w:type="dxa"/>
          </w:tcPr>
          <w:p w14:paraId="7990CB74" w14:textId="77777777" w:rsidR="00C61276" w:rsidRPr="00093ECF" w:rsidRDefault="00C61276" w:rsidP="00B93868">
            <w:pPr>
              <w:spacing w:before="120" w:after="120" w:line="240" w:lineRule="auto"/>
              <w:rPr>
                <w:rFonts w:cs="Arial"/>
                <w:b/>
                <w:sz w:val="16"/>
                <w:szCs w:val="16"/>
              </w:rPr>
            </w:pPr>
          </w:p>
        </w:tc>
        <w:tc>
          <w:tcPr>
            <w:tcW w:w="673" w:type="dxa"/>
          </w:tcPr>
          <w:p w14:paraId="42DA2BE8" w14:textId="77777777" w:rsidR="00C61276" w:rsidRPr="00093ECF" w:rsidRDefault="00C61276" w:rsidP="00B93868">
            <w:pPr>
              <w:spacing w:before="120" w:after="120" w:line="240" w:lineRule="auto"/>
              <w:rPr>
                <w:rFonts w:cs="Arial"/>
                <w:b/>
                <w:sz w:val="16"/>
                <w:szCs w:val="16"/>
              </w:rPr>
            </w:pPr>
          </w:p>
        </w:tc>
        <w:tc>
          <w:tcPr>
            <w:tcW w:w="567" w:type="dxa"/>
            <w:shd w:val="clear" w:color="auto" w:fill="auto"/>
          </w:tcPr>
          <w:p w14:paraId="46D34C68" w14:textId="77777777" w:rsidR="00C61276" w:rsidRPr="00093ECF" w:rsidRDefault="00C61276" w:rsidP="00B93868">
            <w:pPr>
              <w:spacing w:before="120" w:after="120" w:line="240" w:lineRule="auto"/>
              <w:rPr>
                <w:rFonts w:cs="Arial"/>
                <w:b/>
                <w:sz w:val="16"/>
                <w:szCs w:val="16"/>
              </w:rPr>
            </w:pPr>
          </w:p>
        </w:tc>
        <w:tc>
          <w:tcPr>
            <w:tcW w:w="1531" w:type="dxa"/>
            <w:vMerge/>
            <w:shd w:val="clear" w:color="auto" w:fill="auto"/>
          </w:tcPr>
          <w:p w14:paraId="3327058D" w14:textId="77777777" w:rsidR="00C61276" w:rsidRPr="00EB30C0" w:rsidRDefault="00C61276" w:rsidP="00B93868">
            <w:pPr>
              <w:spacing w:before="120" w:after="120" w:line="240" w:lineRule="auto"/>
              <w:rPr>
                <w:rFonts w:cs="Arial"/>
                <w:b/>
                <w:sz w:val="16"/>
                <w:szCs w:val="16"/>
              </w:rPr>
            </w:pPr>
          </w:p>
        </w:tc>
        <w:tc>
          <w:tcPr>
            <w:tcW w:w="3856" w:type="dxa"/>
            <w:shd w:val="clear" w:color="auto" w:fill="auto"/>
          </w:tcPr>
          <w:p w14:paraId="7B0CCEE8" w14:textId="77777777" w:rsidR="00C61276" w:rsidRPr="006C1090" w:rsidRDefault="00C61276" w:rsidP="00B93868">
            <w:pPr>
              <w:pStyle w:val="Bullet"/>
              <w:spacing w:before="120" w:after="120"/>
            </w:pPr>
          </w:p>
        </w:tc>
        <w:tc>
          <w:tcPr>
            <w:tcW w:w="3656" w:type="dxa"/>
            <w:shd w:val="clear" w:color="auto" w:fill="auto"/>
          </w:tcPr>
          <w:p w14:paraId="356A8E92" w14:textId="77777777" w:rsidR="00C61276" w:rsidRPr="006C1090" w:rsidRDefault="00C61276" w:rsidP="00B91414">
            <w:pPr>
              <w:pStyle w:val="Bullet"/>
              <w:spacing w:before="120" w:after="120"/>
            </w:pPr>
            <w:r w:rsidRPr="006C1090">
              <w:t>A partir d'un échantillon</w:t>
            </w:r>
            <w:r w:rsidR="00714E29" w:rsidRPr="006C1090">
              <w:t xml:space="preserve"> de portefeuilles clients</w:t>
            </w:r>
            <w:r w:rsidRPr="006C1090">
              <w:t xml:space="preserve"> basé sur le risque, </w:t>
            </w:r>
            <w:r w:rsidR="00B91414" w:rsidRPr="006C1090">
              <w:t xml:space="preserve">tester </w:t>
            </w:r>
            <w:r w:rsidRPr="006C1090">
              <w:t>si la diversification du portefeuille a été considérée dans le cadre des conseils fournis.</w:t>
            </w:r>
          </w:p>
        </w:tc>
        <w:tc>
          <w:tcPr>
            <w:tcW w:w="2410" w:type="dxa"/>
            <w:shd w:val="clear" w:color="auto" w:fill="auto"/>
          </w:tcPr>
          <w:p w14:paraId="53EC4D48" w14:textId="77777777" w:rsidR="00C61276" w:rsidRPr="00EB30C0" w:rsidRDefault="00C61276" w:rsidP="00B93868">
            <w:pPr>
              <w:spacing w:before="120" w:after="120" w:line="240" w:lineRule="auto"/>
              <w:rPr>
                <w:rFonts w:cs="Arial"/>
                <w:sz w:val="16"/>
                <w:szCs w:val="16"/>
              </w:rPr>
            </w:pPr>
          </w:p>
        </w:tc>
        <w:tc>
          <w:tcPr>
            <w:tcW w:w="709" w:type="dxa"/>
            <w:shd w:val="clear" w:color="auto" w:fill="auto"/>
          </w:tcPr>
          <w:p w14:paraId="2B5D9F9F" w14:textId="77777777" w:rsidR="00C61276" w:rsidRPr="00EB30C0" w:rsidRDefault="00C61276" w:rsidP="00B93868">
            <w:pPr>
              <w:spacing w:before="120" w:after="120" w:line="240" w:lineRule="auto"/>
              <w:rPr>
                <w:rFonts w:cs="Arial"/>
                <w:sz w:val="16"/>
                <w:szCs w:val="16"/>
              </w:rPr>
            </w:pPr>
          </w:p>
        </w:tc>
      </w:tr>
      <w:tr w:rsidR="00C61276" w:rsidRPr="00573E72" w14:paraId="7705B088" w14:textId="77777777" w:rsidTr="00B93868">
        <w:trPr>
          <w:cantSplit/>
        </w:trPr>
        <w:tc>
          <w:tcPr>
            <w:tcW w:w="596" w:type="dxa"/>
          </w:tcPr>
          <w:p w14:paraId="301E8E43" w14:textId="77777777" w:rsidR="00C61276" w:rsidRPr="00093ECF" w:rsidRDefault="00C61276" w:rsidP="00B93868">
            <w:pPr>
              <w:spacing w:before="120" w:after="120" w:line="240" w:lineRule="auto"/>
              <w:rPr>
                <w:rFonts w:cs="Arial"/>
                <w:b/>
                <w:sz w:val="16"/>
                <w:szCs w:val="16"/>
              </w:rPr>
            </w:pPr>
            <w:r>
              <w:rPr>
                <w:b/>
                <w:sz w:val="16"/>
              </w:rPr>
              <w:t>X</w:t>
            </w:r>
          </w:p>
        </w:tc>
        <w:tc>
          <w:tcPr>
            <w:tcW w:w="596" w:type="dxa"/>
          </w:tcPr>
          <w:p w14:paraId="1F447BAE" w14:textId="77777777" w:rsidR="00C61276" w:rsidRPr="00093ECF" w:rsidRDefault="00C61276" w:rsidP="00B93868">
            <w:pPr>
              <w:spacing w:before="120" w:after="120" w:line="240" w:lineRule="auto"/>
              <w:rPr>
                <w:rFonts w:cs="Arial"/>
                <w:b/>
                <w:sz w:val="16"/>
                <w:szCs w:val="16"/>
              </w:rPr>
            </w:pPr>
            <w:r>
              <w:rPr>
                <w:b/>
                <w:sz w:val="16"/>
              </w:rPr>
              <w:t>X</w:t>
            </w:r>
          </w:p>
        </w:tc>
        <w:tc>
          <w:tcPr>
            <w:tcW w:w="596" w:type="dxa"/>
          </w:tcPr>
          <w:p w14:paraId="214985CC" w14:textId="77777777" w:rsidR="00C61276" w:rsidRPr="00093ECF" w:rsidRDefault="00C61276" w:rsidP="00B93868">
            <w:pPr>
              <w:spacing w:before="120" w:after="120" w:line="240" w:lineRule="auto"/>
              <w:rPr>
                <w:rFonts w:cs="Arial"/>
                <w:b/>
                <w:sz w:val="16"/>
                <w:szCs w:val="16"/>
              </w:rPr>
            </w:pPr>
            <w:r>
              <w:rPr>
                <w:b/>
                <w:sz w:val="16"/>
              </w:rPr>
              <w:t>X</w:t>
            </w:r>
          </w:p>
        </w:tc>
        <w:tc>
          <w:tcPr>
            <w:tcW w:w="673" w:type="dxa"/>
          </w:tcPr>
          <w:p w14:paraId="1C9EB6CF" w14:textId="77777777" w:rsidR="00C61276" w:rsidRPr="00093ECF" w:rsidRDefault="00C61276" w:rsidP="00B93868">
            <w:pPr>
              <w:spacing w:before="120" w:after="120" w:line="240" w:lineRule="auto"/>
              <w:rPr>
                <w:rFonts w:cs="Arial"/>
                <w:b/>
                <w:sz w:val="16"/>
                <w:szCs w:val="16"/>
              </w:rPr>
            </w:pPr>
            <w:r>
              <w:rPr>
                <w:b/>
                <w:sz w:val="16"/>
              </w:rPr>
              <w:t>(X)</w:t>
            </w:r>
            <w:r>
              <w:rPr>
                <w:rStyle w:val="Funotenzeichen"/>
                <w:b/>
              </w:rPr>
              <w:footnoteReference w:id="8"/>
            </w:r>
          </w:p>
        </w:tc>
        <w:tc>
          <w:tcPr>
            <w:tcW w:w="567" w:type="dxa"/>
            <w:shd w:val="clear" w:color="auto" w:fill="auto"/>
          </w:tcPr>
          <w:p w14:paraId="0FD7D28F" w14:textId="77777777" w:rsidR="00C61276" w:rsidRPr="00093ECF" w:rsidRDefault="00C61276" w:rsidP="00B93868">
            <w:pPr>
              <w:spacing w:before="120" w:after="120" w:line="240" w:lineRule="auto"/>
              <w:rPr>
                <w:rFonts w:cs="Arial"/>
                <w:b/>
                <w:sz w:val="16"/>
                <w:szCs w:val="16"/>
              </w:rPr>
            </w:pPr>
          </w:p>
        </w:tc>
        <w:tc>
          <w:tcPr>
            <w:tcW w:w="1531" w:type="dxa"/>
            <w:shd w:val="clear" w:color="auto" w:fill="auto"/>
          </w:tcPr>
          <w:p w14:paraId="65B563A1" w14:textId="77777777" w:rsidR="00C61276" w:rsidRPr="00A627BB" w:rsidRDefault="00C61276" w:rsidP="00B93868">
            <w:pPr>
              <w:spacing w:before="120" w:after="120" w:line="240" w:lineRule="auto"/>
              <w:rPr>
                <w:rFonts w:cs="Arial"/>
                <w:b/>
                <w:sz w:val="16"/>
                <w:szCs w:val="16"/>
              </w:rPr>
            </w:pPr>
            <w:r>
              <w:rPr>
                <w:b/>
                <w:sz w:val="16"/>
              </w:rPr>
              <w:t>Meilleure exécution</w:t>
            </w:r>
          </w:p>
        </w:tc>
        <w:tc>
          <w:tcPr>
            <w:tcW w:w="3856" w:type="dxa"/>
            <w:shd w:val="clear" w:color="auto" w:fill="auto"/>
          </w:tcPr>
          <w:p w14:paraId="7ABC13B7" w14:textId="77777777" w:rsidR="00C61276" w:rsidRPr="006C1090" w:rsidRDefault="00C61276" w:rsidP="00B93868">
            <w:pPr>
              <w:pStyle w:val="Bullet"/>
              <w:spacing w:before="120" w:after="120"/>
            </w:pPr>
            <w:r w:rsidRPr="006C1090">
              <w:t>Evaluer au moyen d'enquêtes et d'analyses de documents pertinents l'adéquation des directives internes (documentation), des systèmes et processus de contrôle pour la meilleure exécution des mandats de clients.</w:t>
            </w:r>
          </w:p>
        </w:tc>
        <w:tc>
          <w:tcPr>
            <w:tcW w:w="3656" w:type="dxa"/>
            <w:shd w:val="clear" w:color="auto" w:fill="auto"/>
          </w:tcPr>
          <w:p w14:paraId="1C4D59D4" w14:textId="77777777" w:rsidR="00C61276" w:rsidRPr="006C1090" w:rsidRDefault="00C61276" w:rsidP="00B91414">
            <w:pPr>
              <w:autoSpaceDE w:val="0"/>
              <w:autoSpaceDN w:val="0"/>
              <w:adjustRightInd w:val="0"/>
              <w:spacing w:before="120" w:after="120" w:line="240" w:lineRule="auto"/>
              <w:rPr>
                <w:sz w:val="16"/>
                <w:szCs w:val="16"/>
              </w:rPr>
            </w:pPr>
            <w:r w:rsidRPr="006C1090">
              <w:rPr>
                <w:sz w:val="16"/>
              </w:rPr>
              <w:t xml:space="preserve">Obtenir les documents pertinents et inspecter un échantillon d'exécutions </w:t>
            </w:r>
            <w:r w:rsidR="00B91414" w:rsidRPr="006C1090">
              <w:rPr>
                <w:sz w:val="16"/>
              </w:rPr>
              <w:t>d'ordres</w:t>
            </w:r>
            <w:r w:rsidRPr="006C1090">
              <w:rPr>
                <w:sz w:val="16"/>
              </w:rPr>
              <w:t xml:space="preserve"> de clients. Recueillir </w:t>
            </w:r>
            <w:r w:rsidR="00B91414" w:rsidRPr="006C1090">
              <w:rPr>
                <w:sz w:val="16"/>
              </w:rPr>
              <w:t>des éléments probants</w:t>
            </w:r>
            <w:r w:rsidRPr="006C1090">
              <w:rPr>
                <w:sz w:val="16"/>
              </w:rPr>
              <w:t xml:space="preserve"> de meilleure exécution en termes de place, temps et quantité.</w:t>
            </w:r>
          </w:p>
        </w:tc>
        <w:tc>
          <w:tcPr>
            <w:tcW w:w="2410" w:type="dxa"/>
            <w:shd w:val="clear" w:color="auto" w:fill="auto"/>
          </w:tcPr>
          <w:p w14:paraId="5E7BE7B7" w14:textId="77777777" w:rsidR="00C61276" w:rsidRPr="00EB30C0" w:rsidRDefault="00C61276" w:rsidP="00B93868">
            <w:pPr>
              <w:spacing w:before="120" w:after="120" w:line="240" w:lineRule="auto"/>
              <w:rPr>
                <w:rFonts w:cs="Arial"/>
                <w:sz w:val="16"/>
                <w:szCs w:val="16"/>
              </w:rPr>
            </w:pPr>
          </w:p>
        </w:tc>
        <w:tc>
          <w:tcPr>
            <w:tcW w:w="709" w:type="dxa"/>
            <w:shd w:val="clear" w:color="auto" w:fill="auto"/>
          </w:tcPr>
          <w:p w14:paraId="52753F2E" w14:textId="77777777" w:rsidR="00C61276" w:rsidRPr="00EB30C0" w:rsidRDefault="00C61276" w:rsidP="00B93868">
            <w:pPr>
              <w:spacing w:before="120" w:after="120" w:line="240" w:lineRule="auto"/>
              <w:rPr>
                <w:rFonts w:cs="Arial"/>
                <w:sz w:val="16"/>
                <w:szCs w:val="16"/>
              </w:rPr>
            </w:pPr>
          </w:p>
        </w:tc>
      </w:tr>
      <w:tr w:rsidR="00C61276" w:rsidRPr="00573E72" w14:paraId="09515E07" w14:textId="77777777" w:rsidTr="00B93868">
        <w:trPr>
          <w:cantSplit/>
        </w:trPr>
        <w:tc>
          <w:tcPr>
            <w:tcW w:w="596" w:type="dxa"/>
          </w:tcPr>
          <w:p w14:paraId="30525608" w14:textId="77777777" w:rsidR="00C61276" w:rsidRPr="00093ECF" w:rsidRDefault="00C61276" w:rsidP="00B93868">
            <w:pPr>
              <w:spacing w:before="120" w:after="120" w:line="240" w:lineRule="auto"/>
              <w:rPr>
                <w:rFonts w:cs="Arial"/>
                <w:b/>
                <w:sz w:val="16"/>
                <w:szCs w:val="16"/>
              </w:rPr>
            </w:pPr>
            <w:r>
              <w:rPr>
                <w:b/>
                <w:sz w:val="16"/>
              </w:rPr>
              <w:lastRenderedPageBreak/>
              <w:t>X</w:t>
            </w:r>
          </w:p>
        </w:tc>
        <w:tc>
          <w:tcPr>
            <w:tcW w:w="596" w:type="dxa"/>
          </w:tcPr>
          <w:p w14:paraId="61BB37DD" w14:textId="77777777" w:rsidR="00C61276" w:rsidRPr="00093ECF" w:rsidRDefault="00C61276" w:rsidP="00B93868">
            <w:pPr>
              <w:spacing w:before="120" w:after="120" w:line="240" w:lineRule="auto"/>
              <w:rPr>
                <w:rFonts w:cs="Arial"/>
                <w:b/>
                <w:sz w:val="16"/>
                <w:szCs w:val="16"/>
              </w:rPr>
            </w:pPr>
            <w:r>
              <w:rPr>
                <w:b/>
                <w:sz w:val="16"/>
              </w:rPr>
              <w:t>X</w:t>
            </w:r>
          </w:p>
        </w:tc>
        <w:tc>
          <w:tcPr>
            <w:tcW w:w="596" w:type="dxa"/>
          </w:tcPr>
          <w:p w14:paraId="665AF3A6" w14:textId="77777777" w:rsidR="00C61276" w:rsidRPr="00093ECF" w:rsidRDefault="00C61276" w:rsidP="00B93868">
            <w:pPr>
              <w:spacing w:before="120" w:after="120" w:line="240" w:lineRule="auto"/>
              <w:rPr>
                <w:rFonts w:cs="Arial"/>
                <w:b/>
                <w:sz w:val="16"/>
                <w:szCs w:val="16"/>
              </w:rPr>
            </w:pPr>
            <w:r>
              <w:rPr>
                <w:b/>
                <w:sz w:val="16"/>
              </w:rPr>
              <w:t>X</w:t>
            </w:r>
          </w:p>
        </w:tc>
        <w:tc>
          <w:tcPr>
            <w:tcW w:w="673" w:type="dxa"/>
          </w:tcPr>
          <w:p w14:paraId="4A420364" w14:textId="77777777" w:rsidR="00C61276" w:rsidRPr="00093ECF" w:rsidRDefault="00C61276" w:rsidP="00B93868">
            <w:pPr>
              <w:spacing w:before="120" w:after="120" w:line="240" w:lineRule="auto"/>
              <w:rPr>
                <w:rFonts w:cs="Arial"/>
                <w:b/>
                <w:sz w:val="16"/>
                <w:szCs w:val="16"/>
              </w:rPr>
            </w:pPr>
          </w:p>
        </w:tc>
        <w:tc>
          <w:tcPr>
            <w:tcW w:w="567" w:type="dxa"/>
            <w:shd w:val="clear" w:color="auto" w:fill="auto"/>
          </w:tcPr>
          <w:p w14:paraId="6188F63B" w14:textId="77777777" w:rsidR="00C61276" w:rsidRPr="00093ECF" w:rsidRDefault="00C61276" w:rsidP="00B93868">
            <w:pPr>
              <w:spacing w:before="120" w:after="120" w:line="240" w:lineRule="auto"/>
              <w:rPr>
                <w:rFonts w:cs="Arial"/>
                <w:b/>
                <w:sz w:val="16"/>
                <w:szCs w:val="16"/>
              </w:rPr>
            </w:pPr>
          </w:p>
        </w:tc>
        <w:tc>
          <w:tcPr>
            <w:tcW w:w="1531" w:type="dxa"/>
            <w:shd w:val="clear" w:color="auto" w:fill="auto"/>
          </w:tcPr>
          <w:p w14:paraId="5E5B2CA5" w14:textId="77777777" w:rsidR="00C61276" w:rsidRPr="00EB30C0" w:rsidRDefault="00C61276" w:rsidP="00B93868">
            <w:pPr>
              <w:spacing w:before="120" w:after="120" w:line="240" w:lineRule="auto"/>
              <w:rPr>
                <w:rFonts w:cs="Arial"/>
                <w:b/>
                <w:sz w:val="16"/>
                <w:szCs w:val="16"/>
              </w:rPr>
            </w:pPr>
            <w:r>
              <w:rPr>
                <w:b/>
                <w:sz w:val="16"/>
              </w:rPr>
              <w:t>Prêts et emprunts de titres (SLB)</w:t>
            </w:r>
          </w:p>
        </w:tc>
        <w:tc>
          <w:tcPr>
            <w:tcW w:w="3856" w:type="dxa"/>
            <w:shd w:val="clear" w:color="auto" w:fill="auto"/>
          </w:tcPr>
          <w:p w14:paraId="6ACC8F67" w14:textId="77777777" w:rsidR="00C61276" w:rsidRPr="006C1090" w:rsidRDefault="00C61276" w:rsidP="00BA4EBD">
            <w:pPr>
              <w:pStyle w:val="Bullet"/>
              <w:spacing w:before="120" w:after="120"/>
            </w:pPr>
            <w:r w:rsidRPr="006C1090">
              <w:t xml:space="preserve">Evaluer au moyen d'enquêtes et d'analyses de documents pertinents l'adéquation des processus et modèles de contrat en termes de respect </w:t>
            </w:r>
            <w:r w:rsidR="00BA4EBD" w:rsidRPr="006C1090">
              <w:t>des</w:t>
            </w:r>
            <w:r w:rsidRPr="006C1090">
              <w:t xml:space="preserve"> exigences et </w:t>
            </w:r>
            <w:r w:rsidR="00BA4EBD" w:rsidRPr="006C1090">
              <w:t xml:space="preserve">des </w:t>
            </w:r>
            <w:r w:rsidRPr="006C1090">
              <w:t xml:space="preserve">interdictions </w:t>
            </w:r>
            <w:r w:rsidR="00BA4EBD" w:rsidRPr="006C1090">
              <w:t xml:space="preserve">en matière de </w:t>
            </w:r>
            <w:r w:rsidRPr="006C1090">
              <w:t>SLB.</w:t>
            </w:r>
          </w:p>
        </w:tc>
        <w:tc>
          <w:tcPr>
            <w:tcW w:w="3656" w:type="dxa"/>
            <w:shd w:val="clear" w:color="auto" w:fill="auto"/>
          </w:tcPr>
          <w:p w14:paraId="44A65DFA" w14:textId="77777777" w:rsidR="00C61276" w:rsidRPr="006C1090" w:rsidRDefault="00C61276" w:rsidP="00B91414">
            <w:pPr>
              <w:autoSpaceDE w:val="0"/>
              <w:autoSpaceDN w:val="0"/>
              <w:adjustRightInd w:val="0"/>
              <w:spacing w:before="120" w:after="120" w:line="240" w:lineRule="auto"/>
              <w:rPr>
                <w:sz w:val="16"/>
                <w:szCs w:val="16"/>
              </w:rPr>
            </w:pPr>
            <w:r w:rsidRPr="006C1090">
              <w:rPr>
                <w:sz w:val="16"/>
              </w:rPr>
              <w:t xml:space="preserve">Examiner les contrats de SLB, les relevés comptables et les relevés de comptes de dépôt </w:t>
            </w:r>
            <w:r w:rsidR="00BA4EBD" w:rsidRPr="006C1090">
              <w:rPr>
                <w:sz w:val="16"/>
              </w:rPr>
              <w:t xml:space="preserve">SLB </w:t>
            </w:r>
            <w:r w:rsidRPr="006C1090">
              <w:rPr>
                <w:sz w:val="16"/>
              </w:rPr>
              <w:t xml:space="preserve">sur la base d'un échantillon pour vérifier le respect </w:t>
            </w:r>
            <w:r w:rsidR="00B91414" w:rsidRPr="006C1090">
              <w:rPr>
                <w:sz w:val="16"/>
              </w:rPr>
              <w:t xml:space="preserve">de </w:t>
            </w:r>
            <w:r w:rsidRPr="006C1090">
              <w:rPr>
                <w:sz w:val="16"/>
              </w:rPr>
              <w:t>la réglementation.</w:t>
            </w:r>
          </w:p>
        </w:tc>
        <w:tc>
          <w:tcPr>
            <w:tcW w:w="2410" w:type="dxa"/>
            <w:shd w:val="clear" w:color="auto" w:fill="auto"/>
          </w:tcPr>
          <w:p w14:paraId="3D700787" w14:textId="77777777" w:rsidR="00C61276" w:rsidRPr="00EB30C0" w:rsidRDefault="00C61276" w:rsidP="00B93868">
            <w:pPr>
              <w:spacing w:before="120" w:after="120" w:line="240" w:lineRule="auto"/>
              <w:rPr>
                <w:rFonts w:cs="Arial"/>
                <w:sz w:val="16"/>
                <w:szCs w:val="16"/>
              </w:rPr>
            </w:pPr>
          </w:p>
        </w:tc>
        <w:tc>
          <w:tcPr>
            <w:tcW w:w="709" w:type="dxa"/>
            <w:shd w:val="clear" w:color="auto" w:fill="auto"/>
          </w:tcPr>
          <w:p w14:paraId="0DDD995E" w14:textId="77777777" w:rsidR="00C61276" w:rsidRPr="00EB30C0" w:rsidRDefault="00C61276" w:rsidP="00B93868">
            <w:pPr>
              <w:spacing w:before="120" w:after="120" w:line="240" w:lineRule="auto"/>
              <w:rPr>
                <w:rFonts w:cs="Arial"/>
                <w:sz w:val="16"/>
                <w:szCs w:val="16"/>
              </w:rPr>
            </w:pPr>
          </w:p>
        </w:tc>
      </w:tr>
      <w:tr w:rsidR="00C61276" w:rsidRPr="00573E72" w14:paraId="125C4F4D" w14:textId="77777777" w:rsidTr="00B93868">
        <w:trPr>
          <w:cantSplit/>
        </w:trPr>
        <w:tc>
          <w:tcPr>
            <w:tcW w:w="596" w:type="dxa"/>
          </w:tcPr>
          <w:p w14:paraId="1190F2D6" w14:textId="77777777" w:rsidR="00C61276" w:rsidRPr="00093ECF" w:rsidRDefault="00C61276" w:rsidP="00B93868">
            <w:pPr>
              <w:spacing w:before="120" w:after="120" w:line="240" w:lineRule="auto"/>
              <w:rPr>
                <w:rFonts w:cs="Arial"/>
                <w:b/>
                <w:sz w:val="16"/>
                <w:szCs w:val="16"/>
              </w:rPr>
            </w:pPr>
            <w:r>
              <w:rPr>
                <w:b/>
                <w:sz w:val="16"/>
              </w:rPr>
              <w:t>X</w:t>
            </w:r>
          </w:p>
        </w:tc>
        <w:tc>
          <w:tcPr>
            <w:tcW w:w="596" w:type="dxa"/>
          </w:tcPr>
          <w:p w14:paraId="00C0A961" w14:textId="77777777" w:rsidR="00C61276" w:rsidRPr="00093ECF" w:rsidRDefault="00C61276" w:rsidP="00B93868">
            <w:pPr>
              <w:spacing w:before="120" w:after="120" w:line="240" w:lineRule="auto"/>
              <w:rPr>
                <w:rFonts w:cs="Arial"/>
                <w:b/>
                <w:sz w:val="16"/>
                <w:szCs w:val="16"/>
              </w:rPr>
            </w:pPr>
            <w:r>
              <w:rPr>
                <w:b/>
                <w:sz w:val="16"/>
              </w:rPr>
              <w:t>X</w:t>
            </w:r>
          </w:p>
        </w:tc>
        <w:tc>
          <w:tcPr>
            <w:tcW w:w="596" w:type="dxa"/>
          </w:tcPr>
          <w:p w14:paraId="7A2E931A" w14:textId="77777777" w:rsidR="00C61276" w:rsidRPr="00093ECF" w:rsidRDefault="00C61276" w:rsidP="00B93868">
            <w:pPr>
              <w:spacing w:before="120" w:after="120" w:line="240" w:lineRule="auto"/>
              <w:rPr>
                <w:rFonts w:cs="Arial"/>
                <w:b/>
                <w:sz w:val="16"/>
                <w:szCs w:val="16"/>
              </w:rPr>
            </w:pPr>
            <w:r>
              <w:rPr>
                <w:b/>
                <w:sz w:val="16"/>
              </w:rPr>
              <w:t>X</w:t>
            </w:r>
          </w:p>
        </w:tc>
        <w:tc>
          <w:tcPr>
            <w:tcW w:w="673" w:type="dxa"/>
          </w:tcPr>
          <w:p w14:paraId="67CE345F" w14:textId="77777777" w:rsidR="00C61276" w:rsidRPr="00093ECF" w:rsidRDefault="00C61276" w:rsidP="00B93868">
            <w:pPr>
              <w:spacing w:before="120" w:after="120" w:line="240" w:lineRule="auto"/>
              <w:rPr>
                <w:rFonts w:cs="Arial"/>
                <w:b/>
                <w:sz w:val="16"/>
                <w:szCs w:val="16"/>
              </w:rPr>
            </w:pPr>
            <w:r>
              <w:rPr>
                <w:b/>
                <w:sz w:val="16"/>
              </w:rPr>
              <w:t>X</w:t>
            </w:r>
          </w:p>
        </w:tc>
        <w:tc>
          <w:tcPr>
            <w:tcW w:w="567" w:type="dxa"/>
            <w:shd w:val="clear" w:color="auto" w:fill="auto"/>
          </w:tcPr>
          <w:p w14:paraId="6CBC037D" w14:textId="77777777" w:rsidR="00C61276" w:rsidRPr="00093ECF" w:rsidRDefault="00C61276" w:rsidP="00B93868">
            <w:pPr>
              <w:spacing w:before="120" w:after="120" w:line="240" w:lineRule="auto"/>
              <w:rPr>
                <w:rFonts w:cs="Arial"/>
                <w:b/>
                <w:sz w:val="16"/>
                <w:szCs w:val="16"/>
              </w:rPr>
            </w:pPr>
          </w:p>
        </w:tc>
        <w:tc>
          <w:tcPr>
            <w:tcW w:w="1531" w:type="dxa"/>
            <w:shd w:val="clear" w:color="auto" w:fill="auto"/>
          </w:tcPr>
          <w:p w14:paraId="03DED098" w14:textId="77777777" w:rsidR="00C61276" w:rsidRPr="00EB30C0" w:rsidRDefault="00C61276" w:rsidP="00B93868">
            <w:pPr>
              <w:spacing w:before="120" w:after="120" w:line="240" w:lineRule="auto"/>
              <w:rPr>
                <w:rFonts w:cs="Arial"/>
                <w:b/>
                <w:sz w:val="16"/>
                <w:szCs w:val="16"/>
              </w:rPr>
            </w:pPr>
            <w:r>
              <w:rPr>
                <w:b/>
                <w:sz w:val="16"/>
              </w:rPr>
              <w:t>Informations sur les risques</w:t>
            </w:r>
          </w:p>
          <w:p w14:paraId="15F50634" w14:textId="77777777" w:rsidR="00C61276" w:rsidRPr="00EB30C0" w:rsidRDefault="00C61276" w:rsidP="00B93868">
            <w:pPr>
              <w:spacing w:before="120" w:after="120" w:line="240" w:lineRule="auto"/>
              <w:rPr>
                <w:rFonts w:cs="Arial"/>
                <w:b/>
                <w:sz w:val="16"/>
                <w:szCs w:val="16"/>
              </w:rPr>
            </w:pPr>
          </w:p>
        </w:tc>
        <w:tc>
          <w:tcPr>
            <w:tcW w:w="3856" w:type="dxa"/>
            <w:shd w:val="clear" w:color="auto" w:fill="auto"/>
          </w:tcPr>
          <w:p w14:paraId="73FBA818" w14:textId="77777777" w:rsidR="00C61276" w:rsidRPr="006C1090" w:rsidRDefault="00C61276" w:rsidP="00B93868">
            <w:pPr>
              <w:pStyle w:val="Bullet"/>
              <w:spacing w:before="120" w:after="120"/>
            </w:pPr>
            <w:r w:rsidRPr="006C1090">
              <w:t>Evaluer au moyen d'enquêtes et d'analyses de documents pertinents l'adéquation des instruments et processus standardisés pour informer les clients sur les risques, y c. la documentation (processus de vente et de conseil).</w:t>
            </w:r>
          </w:p>
        </w:tc>
        <w:tc>
          <w:tcPr>
            <w:tcW w:w="3656" w:type="dxa"/>
            <w:shd w:val="clear" w:color="auto" w:fill="auto"/>
          </w:tcPr>
          <w:p w14:paraId="186C8B32" w14:textId="77777777" w:rsidR="00C61276" w:rsidRPr="006C1090" w:rsidRDefault="001C249B" w:rsidP="001C249B">
            <w:pPr>
              <w:autoSpaceDE w:val="0"/>
              <w:autoSpaceDN w:val="0"/>
              <w:adjustRightInd w:val="0"/>
              <w:spacing w:before="120" w:after="120" w:line="240" w:lineRule="auto"/>
              <w:rPr>
                <w:rFonts w:cs="Arial"/>
                <w:sz w:val="16"/>
                <w:szCs w:val="16"/>
              </w:rPr>
            </w:pPr>
            <w:r w:rsidRPr="006C1090">
              <w:rPr>
                <w:sz w:val="16"/>
              </w:rPr>
              <w:t xml:space="preserve">Tester </w:t>
            </w:r>
            <w:r w:rsidR="00C61276" w:rsidRPr="006C1090">
              <w:rPr>
                <w:sz w:val="16"/>
              </w:rPr>
              <w:t xml:space="preserve">sur la base d'un échantillon </w:t>
            </w:r>
            <w:r w:rsidRPr="006C1090">
              <w:rPr>
                <w:sz w:val="16"/>
              </w:rPr>
              <w:t xml:space="preserve">l'existence d'une </w:t>
            </w:r>
            <w:r w:rsidR="00C61276" w:rsidRPr="006C1090">
              <w:rPr>
                <w:sz w:val="16"/>
              </w:rPr>
              <w:t xml:space="preserve">information correcte et complète sur les risques. </w:t>
            </w:r>
          </w:p>
        </w:tc>
        <w:tc>
          <w:tcPr>
            <w:tcW w:w="2410" w:type="dxa"/>
            <w:shd w:val="clear" w:color="auto" w:fill="auto"/>
          </w:tcPr>
          <w:p w14:paraId="1724B4FD" w14:textId="77777777" w:rsidR="00C61276" w:rsidRPr="00EB30C0" w:rsidRDefault="00C61276" w:rsidP="00B93868">
            <w:pPr>
              <w:spacing w:before="120" w:after="120" w:line="240" w:lineRule="auto"/>
              <w:rPr>
                <w:rFonts w:cs="Arial"/>
                <w:sz w:val="16"/>
                <w:szCs w:val="16"/>
              </w:rPr>
            </w:pPr>
          </w:p>
        </w:tc>
        <w:tc>
          <w:tcPr>
            <w:tcW w:w="709" w:type="dxa"/>
            <w:shd w:val="clear" w:color="auto" w:fill="auto"/>
          </w:tcPr>
          <w:p w14:paraId="76400DBF" w14:textId="77777777" w:rsidR="00C61276" w:rsidRPr="00EB30C0" w:rsidRDefault="00C61276" w:rsidP="00B93868">
            <w:pPr>
              <w:spacing w:before="120" w:after="120" w:line="240" w:lineRule="auto"/>
              <w:rPr>
                <w:rFonts w:cs="Arial"/>
                <w:sz w:val="16"/>
                <w:szCs w:val="16"/>
              </w:rPr>
            </w:pPr>
          </w:p>
        </w:tc>
      </w:tr>
      <w:tr w:rsidR="00C61276" w:rsidRPr="00EB30C0" w14:paraId="0F7BE848" w14:textId="77777777" w:rsidTr="00B93868">
        <w:trPr>
          <w:cantSplit/>
        </w:trPr>
        <w:tc>
          <w:tcPr>
            <w:tcW w:w="596" w:type="dxa"/>
          </w:tcPr>
          <w:p w14:paraId="7A5AFAA3" w14:textId="77777777" w:rsidR="00C61276" w:rsidRPr="00093ECF" w:rsidRDefault="00C61276" w:rsidP="00B93868">
            <w:pPr>
              <w:spacing w:before="120" w:after="120" w:line="240" w:lineRule="auto"/>
              <w:rPr>
                <w:rFonts w:cs="Arial"/>
                <w:b/>
                <w:sz w:val="16"/>
                <w:szCs w:val="16"/>
              </w:rPr>
            </w:pPr>
          </w:p>
        </w:tc>
        <w:tc>
          <w:tcPr>
            <w:tcW w:w="596" w:type="dxa"/>
          </w:tcPr>
          <w:p w14:paraId="0F4E2BDD" w14:textId="77777777" w:rsidR="00C61276" w:rsidRPr="00093ECF" w:rsidRDefault="00C61276" w:rsidP="00B93868">
            <w:pPr>
              <w:spacing w:before="120" w:after="120" w:line="240" w:lineRule="auto"/>
              <w:rPr>
                <w:rFonts w:cs="Arial"/>
                <w:b/>
                <w:sz w:val="16"/>
                <w:szCs w:val="16"/>
              </w:rPr>
            </w:pPr>
            <w:r>
              <w:rPr>
                <w:b/>
                <w:sz w:val="16"/>
              </w:rPr>
              <w:t>(X)</w:t>
            </w:r>
            <w:r>
              <w:rPr>
                <w:rStyle w:val="Funotenzeichen"/>
                <w:b/>
              </w:rPr>
              <w:footnoteReference w:id="9"/>
            </w:r>
          </w:p>
        </w:tc>
        <w:tc>
          <w:tcPr>
            <w:tcW w:w="596" w:type="dxa"/>
          </w:tcPr>
          <w:p w14:paraId="44F57F72" w14:textId="77777777" w:rsidR="00C61276" w:rsidRPr="00093ECF" w:rsidRDefault="00C61276" w:rsidP="00B93868">
            <w:pPr>
              <w:spacing w:before="120" w:after="120" w:line="240" w:lineRule="auto"/>
              <w:rPr>
                <w:rFonts w:cs="Arial"/>
                <w:b/>
                <w:sz w:val="16"/>
                <w:szCs w:val="16"/>
              </w:rPr>
            </w:pPr>
          </w:p>
        </w:tc>
        <w:tc>
          <w:tcPr>
            <w:tcW w:w="673" w:type="dxa"/>
          </w:tcPr>
          <w:p w14:paraId="1927212B" w14:textId="77777777" w:rsidR="00C61276" w:rsidRPr="00093ECF" w:rsidRDefault="00C61276" w:rsidP="00B93868">
            <w:pPr>
              <w:spacing w:before="120" w:after="120" w:line="240" w:lineRule="auto"/>
              <w:rPr>
                <w:rFonts w:cs="Arial"/>
                <w:b/>
                <w:sz w:val="16"/>
                <w:szCs w:val="16"/>
              </w:rPr>
            </w:pPr>
            <w:r>
              <w:rPr>
                <w:b/>
                <w:sz w:val="16"/>
              </w:rPr>
              <w:t>X</w:t>
            </w:r>
          </w:p>
        </w:tc>
        <w:tc>
          <w:tcPr>
            <w:tcW w:w="567" w:type="dxa"/>
            <w:shd w:val="clear" w:color="auto" w:fill="auto"/>
          </w:tcPr>
          <w:p w14:paraId="0D301F8D" w14:textId="77777777" w:rsidR="00C61276" w:rsidRPr="00093ECF" w:rsidRDefault="00C61276" w:rsidP="00B93868">
            <w:pPr>
              <w:spacing w:before="120" w:after="120" w:line="240" w:lineRule="auto"/>
              <w:rPr>
                <w:rFonts w:cs="Arial"/>
                <w:b/>
                <w:sz w:val="16"/>
                <w:szCs w:val="16"/>
              </w:rPr>
            </w:pPr>
          </w:p>
        </w:tc>
        <w:tc>
          <w:tcPr>
            <w:tcW w:w="1531" w:type="dxa"/>
            <w:shd w:val="clear" w:color="auto" w:fill="auto"/>
          </w:tcPr>
          <w:p w14:paraId="0A372F28" w14:textId="77777777" w:rsidR="00C61276" w:rsidRPr="00EB30C0" w:rsidRDefault="00C61276" w:rsidP="00B93868">
            <w:pPr>
              <w:spacing w:before="120" w:after="120" w:line="240" w:lineRule="auto"/>
              <w:rPr>
                <w:rFonts w:cs="Arial"/>
                <w:b/>
                <w:sz w:val="16"/>
                <w:szCs w:val="16"/>
              </w:rPr>
            </w:pPr>
            <w:r>
              <w:rPr>
                <w:b/>
                <w:sz w:val="16"/>
              </w:rPr>
              <w:t>Rapports écrits</w:t>
            </w:r>
          </w:p>
        </w:tc>
        <w:tc>
          <w:tcPr>
            <w:tcW w:w="3856" w:type="dxa"/>
            <w:shd w:val="clear" w:color="auto" w:fill="auto"/>
          </w:tcPr>
          <w:p w14:paraId="0218B739" w14:textId="77777777" w:rsidR="009760D1" w:rsidRPr="006C1090" w:rsidRDefault="00C61276" w:rsidP="00B93868">
            <w:pPr>
              <w:pStyle w:val="Bullet"/>
              <w:spacing w:before="120" w:after="120"/>
            </w:pPr>
            <w:r w:rsidRPr="006C1090">
              <w:t xml:space="preserve">Evaluer au moyen d'analyses de documents pertinents l'adéquation des instruments et processus standardisés pour l'établissement </w:t>
            </w:r>
            <w:r w:rsidR="00340B0A" w:rsidRPr="006C1090">
              <w:t>des consignations</w:t>
            </w:r>
            <w:r w:rsidRPr="006C1090">
              <w:t xml:space="preserve"> écrit</w:t>
            </w:r>
            <w:r w:rsidR="00340B0A" w:rsidRPr="006C1090">
              <w:t>e</w:t>
            </w:r>
            <w:r w:rsidRPr="006C1090">
              <w:t>s selon l'art. 24, al. 3, LPCC</w:t>
            </w:r>
            <w:r w:rsidR="009760D1" w:rsidRPr="006C1090">
              <w:t>, art. 34a OPCC</w:t>
            </w:r>
            <w:r w:rsidRPr="006C1090">
              <w:t>.</w:t>
            </w:r>
          </w:p>
        </w:tc>
        <w:tc>
          <w:tcPr>
            <w:tcW w:w="3656" w:type="dxa"/>
            <w:shd w:val="clear" w:color="auto" w:fill="auto"/>
          </w:tcPr>
          <w:p w14:paraId="0939C733" w14:textId="77777777" w:rsidR="00C61276" w:rsidRPr="006C1090" w:rsidRDefault="001C249B" w:rsidP="00B93868">
            <w:pPr>
              <w:autoSpaceDE w:val="0"/>
              <w:autoSpaceDN w:val="0"/>
              <w:adjustRightInd w:val="0"/>
              <w:spacing w:before="120" w:after="120" w:line="240" w:lineRule="auto"/>
              <w:rPr>
                <w:sz w:val="16"/>
              </w:rPr>
            </w:pPr>
            <w:r w:rsidRPr="006C1090">
              <w:rPr>
                <w:sz w:val="16"/>
              </w:rPr>
              <w:t xml:space="preserve">Sur la base d'un échantillon, tester l'adéquation des </w:t>
            </w:r>
            <w:r w:rsidR="00340B0A" w:rsidRPr="006C1090">
              <w:rPr>
                <w:sz w:val="16"/>
              </w:rPr>
              <w:t>consignations</w:t>
            </w:r>
            <w:r w:rsidRPr="006C1090">
              <w:rPr>
                <w:sz w:val="16"/>
              </w:rPr>
              <w:t xml:space="preserve"> écrit</w:t>
            </w:r>
            <w:r w:rsidR="00340B0A" w:rsidRPr="006C1090">
              <w:rPr>
                <w:sz w:val="16"/>
              </w:rPr>
              <w:t>e</w:t>
            </w:r>
            <w:r w:rsidRPr="006C1090">
              <w:rPr>
                <w:sz w:val="16"/>
              </w:rPr>
              <w:t>s</w:t>
            </w:r>
            <w:r w:rsidR="00C61276" w:rsidRPr="006C1090">
              <w:rPr>
                <w:sz w:val="16"/>
              </w:rPr>
              <w:t xml:space="preserve"> (art. 24, al. 3, LPCC</w:t>
            </w:r>
            <w:r w:rsidR="00C279BE" w:rsidRPr="006C1090">
              <w:rPr>
                <w:sz w:val="16"/>
              </w:rPr>
              <w:t>, art.</w:t>
            </w:r>
            <w:r w:rsidR="009760D1" w:rsidRPr="006C1090">
              <w:rPr>
                <w:sz w:val="16"/>
              </w:rPr>
              <w:t>34a OPCC).</w:t>
            </w:r>
          </w:p>
          <w:p w14:paraId="089B9991" w14:textId="77777777" w:rsidR="00C61276" w:rsidRPr="006C1090" w:rsidRDefault="00C61276" w:rsidP="00B93868">
            <w:pPr>
              <w:autoSpaceDE w:val="0"/>
              <w:autoSpaceDN w:val="0"/>
              <w:adjustRightInd w:val="0"/>
              <w:spacing w:before="120" w:after="120" w:line="240" w:lineRule="auto"/>
              <w:rPr>
                <w:sz w:val="16"/>
                <w:szCs w:val="16"/>
              </w:rPr>
            </w:pPr>
          </w:p>
        </w:tc>
        <w:tc>
          <w:tcPr>
            <w:tcW w:w="2410" w:type="dxa"/>
            <w:shd w:val="clear" w:color="auto" w:fill="auto"/>
          </w:tcPr>
          <w:p w14:paraId="545F1653" w14:textId="77777777" w:rsidR="00C61276" w:rsidRPr="00EB30C0" w:rsidRDefault="00C61276" w:rsidP="00B93868">
            <w:pPr>
              <w:spacing w:before="120" w:after="120" w:line="240" w:lineRule="auto"/>
              <w:rPr>
                <w:rFonts w:cs="Arial"/>
                <w:sz w:val="16"/>
                <w:szCs w:val="16"/>
              </w:rPr>
            </w:pPr>
          </w:p>
        </w:tc>
        <w:tc>
          <w:tcPr>
            <w:tcW w:w="709" w:type="dxa"/>
            <w:shd w:val="clear" w:color="auto" w:fill="auto"/>
          </w:tcPr>
          <w:p w14:paraId="5EE843BF" w14:textId="77777777" w:rsidR="00C61276" w:rsidRPr="00EB30C0" w:rsidRDefault="00C61276" w:rsidP="00B93868">
            <w:pPr>
              <w:spacing w:before="120" w:after="120" w:line="240" w:lineRule="auto"/>
              <w:rPr>
                <w:rFonts w:cs="Arial"/>
                <w:sz w:val="16"/>
                <w:szCs w:val="16"/>
              </w:rPr>
            </w:pPr>
          </w:p>
        </w:tc>
      </w:tr>
      <w:tr w:rsidR="00C61276" w:rsidRPr="00573E72" w14:paraId="7EA27765" w14:textId="77777777" w:rsidTr="00B93868">
        <w:trPr>
          <w:cantSplit/>
        </w:trPr>
        <w:tc>
          <w:tcPr>
            <w:tcW w:w="596" w:type="dxa"/>
          </w:tcPr>
          <w:p w14:paraId="1F8AC93B" w14:textId="77777777" w:rsidR="00C61276" w:rsidRPr="00093ECF" w:rsidRDefault="00C61276" w:rsidP="00B93868">
            <w:pPr>
              <w:spacing w:before="120" w:after="120" w:line="240" w:lineRule="auto"/>
              <w:rPr>
                <w:rFonts w:cs="Arial"/>
                <w:b/>
                <w:sz w:val="16"/>
                <w:szCs w:val="16"/>
              </w:rPr>
            </w:pPr>
          </w:p>
        </w:tc>
        <w:tc>
          <w:tcPr>
            <w:tcW w:w="596" w:type="dxa"/>
          </w:tcPr>
          <w:p w14:paraId="2A56A351" w14:textId="77777777" w:rsidR="00C61276" w:rsidRPr="00093ECF" w:rsidRDefault="00C61276" w:rsidP="00B93868">
            <w:pPr>
              <w:spacing w:before="120" w:after="120" w:line="240" w:lineRule="auto"/>
              <w:rPr>
                <w:rFonts w:cs="Arial"/>
                <w:b/>
                <w:sz w:val="16"/>
                <w:szCs w:val="16"/>
              </w:rPr>
            </w:pPr>
            <w:r>
              <w:rPr>
                <w:b/>
                <w:sz w:val="16"/>
              </w:rPr>
              <w:t>X</w:t>
            </w:r>
          </w:p>
        </w:tc>
        <w:tc>
          <w:tcPr>
            <w:tcW w:w="596" w:type="dxa"/>
          </w:tcPr>
          <w:p w14:paraId="58C42DD2" w14:textId="77777777" w:rsidR="00C61276" w:rsidRPr="00093ECF" w:rsidRDefault="00C61276" w:rsidP="00B93868">
            <w:pPr>
              <w:spacing w:before="120" w:after="120" w:line="240" w:lineRule="auto"/>
              <w:rPr>
                <w:rFonts w:cs="Arial"/>
                <w:b/>
                <w:sz w:val="16"/>
                <w:szCs w:val="16"/>
              </w:rPr>
            </w:pPr>
            <w:r>
              <w:rPr>
                <w:b/>
                <w:sz w:val="16"/>
              </w:rPr>
              <w:t>X</w:t>
            </w:r>
          </w:p>
        </w:tc>
        <w:tc>
          <w:tcPr>
            <w:tcW w:w="673" w:type="dxa"/>
          </w:tcPr>
          <w:p w14:paraId="791EB17E" w14:textId="77777777" w:rsidR="00C61276" w:rsidRPr="00093ECF" w:rsidRDefault="00C61276" w:rsidP="00B93868">
            <w:pPr>
              <w:spacing w:before="120" w:after="120" w:line="240" w:lineRule="auto"/>
              <w:rPr>
                <w:rFonts w:cs="Arial"/>
                <w:b/>
                <w:sz w:val="16"/>
                <w:szCs w:val="16"/>
              </w:rPr>
            </w:pPr>
          </w:p>
        </w:tc>
        <w:tc>
          <w:tcPr>
            <w:tcW w:w="567" w:type="dxa"/>
            <w:shd w:val="clear" w:color="auto" w:fill="auto"/>
          </w:tcPr>
          <w:p w14:paraId="298C37AB" w14:textId="77777777" w:rsidR="00C61276" w:rsidRPr="00093ECF" w:rsidRDefault="00C61276" w:rsidP="00B93868">
            <w:pPr>
              <w:spacing w:before="120" w:after="120" w:line="240" w:lineRule="auto"/>
              <w:rPr>
                <w:rFonts w:cs="Arial"/>
                <w:b/>
                <w:sz w:val="16"/>
                <w:szCs w:val="16"/>
              </w:rPr>
            </w:pPr>
          </w:p>
        </w:tc>
        <w:tc>
          <w:tcPr>
            <w:tcW w:w="1531" w:type="dxa"/>
            <w:shd w:val="clear" w:color="auto" w:fill="auto"/>
          </w:tcPr>
          <w:p w14:paraId="03406F92" w14:textId="77777777" w:rsidR="00C61276" w:rsidRPr="00EB30C0" w:rsidRDefault="00C61276" w:rsidP="00B93868">
            <w:pPr>
              <w:spacing w:before="120" w:after="120" w:line="240" w:lineRule="auto"/>
              <w:rPr>
                <w:rFonts w:cs="Arial"/>
                <w:b/>
                <w:sz w:val="16"/>
                <w:szCs w:val="16"/>
              </w:rPr>
            </w:pPr>
            <w:r>
              <w:rPr>
                <w:b/>
                <w:sz w:val="16"/>
              </w:rPr>
              <w:t xml:space="preserve">Prospectus simplifiés pour les produits structurés propres </w:t>
            </w:r>
          </w:p>
        </w:tc>
        <w:tc>
          <w:tcPr>
            <w:tcW w:w="3856" w:type="dxa"/>
            <w:shd w:val="clear" w:color="auto" w:fill="auto"/>
          </w:tcPr>
          <w:p w14:paraId="5A04DC59" w14:textId="77777777" w:rsidR="00C61276" w:rsidRPr="006C1090" w:rsidRDefault="00C61276" w:rsidP="00B93868">
            <w:pPr>
              <w:pStyle w:val="Bullet"/>
              <w:spacing w:before="120" w:after="120"/>
            </w:pPr>
            <w:r w:rsidRPr="006C1090">
              <w:t>Evaluer au moyen d'enquêtes et d'analyses de documents pertinents :</w:t>
            </w:r>
          </w:p>
          <w:p w14:paraId="078637E7" w14:textId="77777777" w:rsidR="00C61276" w:rsidRPr="006C1090" w:rsidRDefault="00C61276" w:rsidP="00AB611E">
            <w:pPr>
              <w:pStyle w:val="Bullet"/>
              <w:spacing w:before="120" w:after="120"/>
            </w:pPr>
            <w:r w:rsidRPr="006C1090">
              <w:t xml:space="preserve">La conformité légale au sens de l'art. 5, al. 2, LPCC et des </w:t>
            </w:r>
            <w:r w:rsidR="00AB611E" w:rsidRPr="006C1090">
              <w:t xml:space="preserve">règlementations </w:t>
            </w:r>
            <w:r w:rsidRPr="006C1090">
              <w:t>techniques sur les prospectus simplifiés pour les produits structurés propres. La mise à disposition gratuite conformément à l'art. 5, al. 3, LPCC.</w:t>
            </w:r>
          </w:p>
        </w:tc>
        <w:tc>
          <w:tcPr>
            <w:tcW w:w="3656" w:type="dxa"/>
            <w:shd w:val="clear" w:color="auto" w:fill="auto"/>
          </w:tcPr>
          <w:p w14:paraId="431B3CCF" w14:textId="77777777" w:rsidR="00C61276" w:rsidRPr="006C1090" w:rsidRDefault="00C61276" w:rsidP="00B93868">
            <w:pPr>
              <w:autoSpaceDE w:val="0"/>
              <w:autoSpaceDN w:val="0"/>
              <w:adjustRightInd w:val="0"/>
              <w:spacing w:before="120" w:after="120" w:line="240" w:lineRule="auto"/>
              <w:rPr>
                <w:sz w:val="16"/>
                <w:szCs w:val="16"/>
              </w:rPr>
            </w:pPr>
            <w:r w:rsidRPr="006C1090">
              <w:rPr>
                <w:sz w:val="16"/>
              </w:rPr>
              <w:t>Examiner un échantillon de prospectus simplifiés afin de vérifier leur conformité avec l'art. 5, al. 2, LPCC et les autorégulations techniques, et vérifier qu'ils sont proposés gratuitement.</w:t>
            </w:r>
          </w:p>
        </w:tc>
        <w:tc>
          <w:tcPr>
            <w:tcW w:w="2410" w:type="dxa"/>
            <w:shd w:val="clear" w:color="auto" w:fill="auto"/>
          </w:tcPr>
          <w:p w14:paraId="06F8AB44" w14:textId="77777777" w:rsidR="00C61276" w:rsidRPr="00EB30C0" w:rsidRDefault="00C61276" w:rsidP="00B93868">
            <w:pPr>
              <w:spacing w:before="120" w:after="120" w:line="240" w:lineRule="auto"/>
              <w:rPr>
                <w:rFonts w:cs="Arial"/>
                <w:sz w:val="16"/>
                <w:szCs w:val="16"/>
              </w:rPr>
            </w:pPr>
          </w:p>
        </w:tc>
        <w:tc>
          <w:tcPr>
            <w:tcW w:w="709" w:type="dxa"/>
            <w:shd w:val="clear" w:color="auto" w:fill="auto"/>
          </w:tcPr>
          <w:p w14:paraId="0CCF0FEC" w14:textId="77777777" w:rsidR="00C61276" w:rsidRPr="00EB30C0" w:rsidRDefault="00C61276" w:rsidP="00B93868">
            <w:pPr>
              <w:spacing w:before="120" w:after="120" w:line="240" w:lineRule="auto"/>
              <w:rPr>
                <w:rFonts w:cs="Arial"/>
                <w:sz w:val="16"/>
                <w:szCs w:val="16"/>
              </w:rPr>
            </w:pPr>
          </w:p>
        </w:tc>
      </w:tr>
      <w:tr w:rsidR="00C61276" w:rsidRPr="00573E72" w14:paraId="41EC4C61" w14:textId="77777777" w:rsidTr="00B93868">
        <w:trPr>
          <w:cantSplit/>
        </w:trPr>
        <w:tc>
          <w:tcPr>
            <w:tcW w:w="596" w:type="dxa"/>
          </w:tcPr>
          <w:p w14:paraId="39CB5368" w14:textId="77777777" w:rsidR="00C61276" w:rsidRPr="00093ECF" w:rsidRDefault="00C61276" w:rsidP="00B93868">
            <w:pPr>
              <w:spacing w:before="120" w:after="120" w:line="240" w:lineRule="auto"/>
              <w:rPr>
                <w:rFonts w:cs="Arial"/>
                <w:b/>
                <w:sz w:val="16"/>
                <w:szCs w:val="16"/>
              </w:rPr>
            </w:pPr>
          </w:p>
        </w:tc>
        <w:tc>
          <w:tcPr>
            <w:tcW w:w="596" w:type="dxa"/>
          </w:tcPr>
          <w:p w14:paraId="484B7E0B" w14:textId="77777777" w:rsidR="00C61276" w:rsidRPr="00093ECF" w:rsidRDefault="00C61276" w:rsidP="00B93868">
            <w:pPr>
              <w:spacing w:before="120" w:after="120" w:line="240" w:lineRule="auto"/>
              <w:rPr>
                <w:rFonts w:cs="Arial"/>
                <w:b/>
                <w:sz w:val="16"/>
                <w:szCs w:val="16"/>
              </w:rPr>
            </w:pPr>
            <w:r>
              <w:rPr>
                <w:b/>
                <w:sz w:val="16"/>
              </w:rPr>
              <w:t>X</w:t>
            </w:r>
          </w:p>
        </w:tc>
        <w:tc>
          <w:tcPr>
            <w:tcW w:w="596" w:type="dxa"/>
          </w:tcPr>
          <w:p w14:paraId="132F4DDB" w14:textId="77777777" w:rsidR="00C61276" w:rsidRPr="00093ECF" w:rsidRDefault="00C61276" w:rsidP="00B93868">
            <w:pPr>
              <w:spacing w:before="120" w:after="120" w:line="240" w:lineRule="auto"/>
              <w:rPr>
                <w:rFonts w:cs="Arial"/>
                <w:b/>
                <w:sz w:val="16"/>
                <w:szCs w:val="16"/>
              </w:rPr>
            </w:pPr>
          </w:p>
        </w:tc>
        <w:tc>
          <w:tcPr>
            <w:tcW w:w="673" w:type="dxa"/>
          </w:tcPr>
          <w:p w14:paraId="18CA8694" w14:textId="77777777" w:rsidR="00C61276" w:rsidRPr="00093ECF" w:rsidRDefault="00C61276" w:rsidP="00B93868">
            <w:pPr>
              <w:spacing w:before="120" w:after="120" w:line="240" w:lineRule="auto"/>
              <w:rPr>
                <w:rFonts w:cs="Arial"/>
                <w:b/>
                <w:sz w:val="16"/>
                <w:szCs w:val="16"/>
              </w:rPr>
            </w:pPr>
            <w:r>
              <w:rPr>
                <w:b/>
                <w:sz w:val="16"/>
              </w:rPr>
              <w:t>X</w:t>
            </w:r>
          </w:p>
        </w:tc>
        <w:tc>
          <w:tcPr>
            <w:tcW w:w="567" w:type="dxa"/>
            <w:shd w:val="clear" w:color="auto" w:fill="auto"/>
          </w:tcPr>
          <w:p w14:paraId="2C99A233" w14:textId="77777777" w:rsidR="00C61276" w:rsidRPr="00EB30C0" w:rsidRDefault="00C61276" w:rsidP="00B93868">
            <w:pPr>
              <w:spacing w:before="120" w:after="120" w:line="240" w:lineRule="auto"/>
              <w:rPr>
                <w:rFonts w:cs="Arial"/>
                <w:sz w:val="16"/>
                <w:szCs w:val="16"/>
              </w:rPr>
            </w:pPr>
          </w:p>
        </w:tc>
        <w:tc>
          <w:tcPr>
            <w:tcW w:w="1531" w:type="dxa"/>
            <w:shd w:val="clear" w:color="auto" w:fill="auto"/>
          </w:tcPr>
          <w:p w14:paraId="1CF04E7A" w14:textId="77777777" w:rsidR="00C61276" w:rsidRPr="00EB30C0" w:rsidRDefault="00C61276" w:rsidP="00B93868">
            <w:pPr>
              <w:spacing w:before="120" w:after="120" w:line="240" w:lineRule="auto"/>
              <w:rPr>
                <w:rFonts w:cs="Arial"/>
                <w:b/>
                <w:sz w:val="16"/>
                <w:szCs w:val="16"/>
              </w:rPr>
            </w:pPr>
            <w:r>
              <w:rPr>
                <w:b/>
                <w:sz w:val="16"/>
              </w:rPr>
              <w:t>Distribution conforme aux</w:t>
            </w:r>
            <w:r>
              <w:rPr>
                <w:rFonts w:cs="Arial"/>
                <w:b/>
                <w:sz w:val="16"/>
                <w:szCs w:val="16"/>
              </w:rPr>
              <w:br/>
            </w:r>
            <w:r>
              <w:rPr>
                <w:b/>
                <w:sz w:val="16"/>
              </w:rPr>
              <w:t>procédures d'autorisation</w:t>
            </w:r>
          </w:p>
        </w:tc>
        <w:tc>
          <w:tcPr>
            <w:tcW w:w="3856" w:type="dxa"/>
            <w:shd w:val="clear" w:color="auto" w:fill="auto"/>
          </w:tcPr>
          <w:p w14:paraId="49FF70E4" w14:textId="77777777" w:rsidR="00C61276" w:rsidRPr="00EB30C0" w:rsidRDefault="00C61276" w:rsidP="00B93868">
            <w:pPr>
              <w:pStyle w:val="Bullet"/>
              <w:spacing w:before="120" w:after="120"/>
            </w:pPr>
            <w:r>
              <w:t xml:space="preserve">Evaluer au moyen d'enquêtes et d'analyses de documents pertinents l'adéquation des directives d'autorisation pour la distribution des produits. Les instruments financiers complexes ne peuvent être distribués que par le personnel dûment qualifié. </w:t>
            </w:r>
          </w:p>
        </w:tc>
        <w:tc>
          <w:tcPr>
            <w:tcW w:w="3656" w:type="dxa"/>
            <w:shd w:val="clear" w:color="auto" w:fill="auto"/>
          </w:tcPr>
          <w:p w14:paraId="679ABB1C" w14:textId="77777777" w:rsidR="00C61276" w:rsidRPr="00EB30C0" w:rsidRDefault="00C61276" w:rsidP="007F2E3F">
            <w:pPr>
              <w:autoSpaceDE w:val="0"/>
              <w:autoSpaceDN w:val="0"/>
              <w:adjustRightInd w:val="0"/>
              <w:spacing w:before="120" w:after="120" w:line="240" w:lineRule="auto"/>
              <w:rPr>
                <w:sz w:val="16"/>
                <w:szCs w:val="16"/>
              </w:rPr>
            </w:pPr>
            <w:r>
              <w:rPr>
                <w:sz w:val="16"/>
              </w:rPr>
              <w:t xml:space="preserve">Effectuer un contrôle sur la base des risques afin d'obtenir des </w:t>
            </w:r>
            <w:r w:rsidR="007F2E3F">
              <w:rPr>
                <w:sz w:val="16"/>
              </w:rPr>
              <w:t xml:space="preserve">éléments probants </w:t>
            </w:r>
            <w:r>
              <w:rPr>
                <w:sz w:val="16"/>
              </w:rPr>
              <w:t>que les produits financiers complexes sont distribués par le personnel dûment qualifié.</w:t>
            </w:r>
          </w:p>
        </w:tc>
        <w:tc>
          <w:tcPr>
            <w:tcW w:w="2410" w:type="dxa"/>
            <w:shd w:val="clear" w:color="auto" w:fill="auto"/>
          </w:tcPr>
          <w:p w14:paraId="36090AAC" w14:textId="77777777" w:rsidR="00C61276" w:rsidRPr="00EB30C0" w:rsidRDefault="00C61276" w:rsidP="00B93868">
            <w:pPr>
              <w:spacing w:before="120" w:after="120" w:line="240" w:lineRule="auto"/>
              <w:rPr>
                <w:rFonts w:cs="Arial"/>
                <w:sz w:val="16"/>
                <w:szCs w:val="16"/>
              </w:rPr>
            </w:pPr>
          </w:p>
        </w:tc>
        <w:tc>
          <w:tcPr>
            <w:tcW w:w="709" w:type="dxa"/>
            <w:shd w:val="clear" w:color="auto" w:fill="auto"/>
          </w:tcPr>
          <w:p w14:paraId="13EB38BC" w14:textId="77777777" w:rsidR="00C61276" w:rsidRPr="00EB30C0" w:rsidRDefault="00C61276" w:rsidP="00B93868">
            <w:pPr>
              <w:spacing w:before="120" w:after="120" w:line="240" w:lineRule="auto"/>
              <w:rPr>
                <w:rFonts w:cs="Arial"/>
                <w:sz w:val="16"/>
                <w:szCs w:val="16"/>
              </w:rPr>
            </w:pPr>
          </w:p>
        </w:tc>
      </w:tr>
      <w:tr w:rsidR="00C61276" w:rsidRPr="00573E72" w14:paraId="250BAE44" w14:textId="77777777" w:rsidTr="00B93868">
        <w:trPr>
          <w:cantSplit/>
        </w:trPr>
        <w:tc>
          <w:tcPr>
            <w:tcW w:w="596" w:type="dxa"/>
          </w:tcPr>
          <w:p w14:paraId="213AF50A" w14:textId="77777777" w:rsidR="00C61276" w:rsidRPr="00093ECF" w:rsidRDefault="00C61276" w:rsidP="00B93868">
            <w:pPr>
              <w:spacing w:before="120" w:after="120" w:line="240" w:lineRule="auto"/>
              <w:rPr>
                <w:rFonts w:cs="Arial"/>
                <w:b/>
                <w:sz w:val="16"/>
                <w:szCs w:val="16"/>
              </w:rPr>
            </w:pPr>
            <w:r>
              <w:rPr>
                <w:b/>
                <w:sz w:val="16"/>
              </w:rPr>
              <w:lastRenderedPageBreak/>
              <w:t>X</w:t>
            </w:r>
          </w:p>
        </w:tc>
        <w:tc>
          <w:tcPr>
            <w:tcW w:w="596" w:type="dxa"/>
          </w:tcPr>
          <w:p w14:paraId="6DD74544" w14:textId="77777777" w:rsidR="00C61276" w:rsidRPr="00093ECF" w:rsidRDefault="00C61276" w:rsidP="00B93868">
            <w:pPr>
              <w:spacing w:before="120" w:after="120" w:line="240" w:lineRule="auto"/>
              <w:rPr>
                <w:rFonts w:cs="Arial"/>
                <w:b/>
                <w:sz w:val="16"/>
                <w:szCs w:val="16"/>
              </w:rPr>
            </w:pPr>
            <w:r>
              <w:rPr>
                <w:b/>
                <w:sz w:val="16"/>
              </w:rPr>
              <w:t>X</w:t>
            </w:r>
          </w:p>
        </w:tc>
        <w:tc>
          <w:tcPr>
            <w:tcW w:w="596" w:type="dxa"/>
          </w:tcPr>
          <w:p w14:paraId="76892A3A" w14:textId="77777777" w:rsidR="00C61276" w:rsidRPr="00093ECF" w:rsidRDefault="00C61276" w:rsidP="00B93868">
            <w:pPr>
              <w:spacing w:before="120" w:after="120" w:line="240" w:lineRule="auto"/>
              <w:rPr>
                <w:rFonts w:cs="Arial"/>
                <w:b/>
                <w:sz w:val="16"/>
                <w:szCs w:val="16"/>
              </w:rPr>
            </w:pPr>
          </w:p>
        </w:tc>
        <w:tc>
          <w:tcPr>
            <w:tcW w:w="673" w:type="dxa"/>
          </w:tcPr>
          <w:p w14:paraId="0725DBE6" w14:textId="77777777" w:rsidR="00C61276" w:rsidRPr="00093ECF" w:rsidRDefault="00C61276" w:rsidP="00B93868">
            <w:pPr>
              <w:spacing w:before="120" w:after="120" w:line="240" w:lineRule="auto"/>
              <w:rPr>
                <w:rFonts w:cs="Arial"/>
                <w:b/>
                <w:sz w:val="16"/>
                <w:szCs w:val="16"/>
              </w:rPr>
            </w:pPr>
            <w:r>
              <w:rPr>
                <w:b/>
                <w:sz w:val="16"/>
              </w:rPr>
              <w:t>X</w:t>
            </w:r>
          </w:p>
        </w:tc>
        <w:tc>
          <w:tcPr>
            <w:tcW w:w="567" w:type="dxa"/>
            <w:shd w:val="clear" w:color="auto" w:fill="auto"/>
          </w:tcPr>
          <w:p w14:paraId="5271BE86" w14:textId="77777777" w:rsidR="00C61276" w:rsidRPr="00EB30C0" w:rsidRDefault="00C61276" w:rsidP="00B93868">
            <w:pPr>
              <w:spacing w:before="120" w:after="120" w:line="240" w:lineRule="auto"/>
              <w:rPr>
                <w:rFonts w:cs="Arial"/>
                <w:sz w:val="16"/>
                <w:szCs w:val="16"/>
              </w:rPr>
            </w:pPr>
          </w:p>
        </w:tc>
        <w:tc>
          <w:tcPr>
            <w:tcW w:w="1531" w:type="dxa"/>
            <w:shd w:val="clear" w:color="auto" w:fill="auto"/>
          </w:tcPr>
          <w:p w14:paraId="70A70ED1" w14:textId="77777777" w:rsidR="00C61276" w:rsidRPr="00EB30C0" w:rsidRDefault="00C61276" w:rsidP="00B93868">
            <w:pPr>
              <w:spacing w:before="120" w:after="120" w:line="240" w:lineRule="auto"/>
              <w:rPr>
                <w:rFonts w:cs="Arial"/>
                <w:b/>
                <w:sz w:val="16"/>
                <w:szCs w:val="16"/>
              </w:rPr>
            </w:pPr>
            <w:r>
              <w:rPr>
                <w:b/>
                <w:sz w:val="16"/>
              </w:rPr>
              <w:t>Rétrocessions</w:t>
            </w:r>
          </w:p>
        </w:tc>
        <w:tc>
          <w:tcPr>
            <w:tcW w:w="3856" w:type="dxa"/>
            <w:shd w:val="clear" w:color="auto" w:fill="auto"/>
          </w:tcPr>
          <w:p w14:paraId="53F05698" w14:textId="77777777" w:rsidR="00C61276" w:rsidRPr="006C1090" w:rsidRDefault="00C61276" w:rsidP="00B93868">
            <w:pPr>
              <w:pStyle w:val="Bullet"/>
              <w:spacing w:before="120" w:after="120"/>
            </w:pPr>
            <w:r w:rsidRPr="006C1090">
              <w:t>Evaluer au moyen d'enquêtes et d'analyses de documents pertinents :</w:t>
            </w:r>
          </w:p>
          <w:p w14:paraId="4636E9FF" w14:textId="77777777" w:rsidR="00C61276" w:rsidRPr="006C1090" w:rsidRDefault="00C61276" w:rsidP="00B93868">
            <w:pPr>
              <w:pStyle w:val="Bullet"/>
              <w:numPr>
                <w:ilvl w:val="0"/>
                <w:numId w:val="11"/>
              </w:numPr>
              <w:spacing w:before="120" w:after="120"/>
              <w:ind w:left="201" w:hanging="201"/>
            </w:pPr>
            <w:r w:rsidRPr="006C1090">
              <w:t xml:space="preserve">la conformité avec les dispositions pertinentes énoncées dans les « Directives concernant le mandat de gestion de fortune » de </w:t>
            </w:r>
            <w:r w:rsidR="001C249B" w:rsidRPr="006C1090">
              <w:t xml:space="preserve">l'Association suisse des banquiers </w:t>
            </w:r>
            <w:r w:rsidRPr="006C1090">
              <w:t xml:space="preserve">sur </w:t>
            </w:r>
            <w:r w:rsidR="00E1458C" w:rsidRPr="006C1090">
              <w:t>les versements</w:t>
            </w:r>
            <w:r w:rsidRPr="006C1090">
              <w:t xml:space="preserve"> </w:t>
            </w:r>
            <w:r w:rsidR="00E1458C" w:rsidRPr="006C1090">
              <w:t xml:space="preserve">aux </w:t>
            </w:r>
            <w:r w:rsidRPr="006C1090">
              <w:t>gestionnaires de portefeuilles (rétrocessions)</w:t>
            </w:r>
          </w:p>
          <w:p w14:paraId="43BBC13D" w14:textId="77777777" w:rsidR="00C61276" w:rsidRPr="006C1090" w:rsidRDefault="00666F54" w:rsidP="00B93868">
            <w:pPr>
              <w:pStyle w:val="Bullet"/>
              <w:numPr>
                <w:ilvl w:val="0"/>
                <w:numId w:val="11"/>
              </w:numPr>
              <w:spacing w:before="120" w:after="120"/>
              <w:ind w:left="201" w:hanging="201"/>
            </w:pPr>
            <w:r w:rsidRPr="006C1090">
              <w:t>les mesures prises par l'établissement pour gérer les rétrocessions en cas de conseil en placement et/ou de services de simple exécution</w:t>
            </w:r>
          </w:p>
          <w:p w14:paraId="14F126B1" w14:textId="77777777" w:rsidR="00A55FCD" w:rsidRPr="006C1090" w:rsidRDefault="00C61276" w:rsidP="0059087C">
            <w:pPr>
              <w:pStyle w:val="Bullet"/>
              <w:numPr>
                <w:ilvl w:val="0"/>
                <w:numId w:val="11"/>
              </w:numPr>
              <w:spacing w:before="120" w:after="120"/>
              <w:ind w:left="201" w:hanging="201"/>
            </w:pPr>
            <w:r w:rsidRPr="006C1090">
              <w:t>la garantie d'une information transparente sur les rétrocessions perçues en tant que distributeur.</w:t>
            </w:r>
          </w:p>
        </w:tc>
        <w:tc>
          <w:tcPr>
            <w:tcW w:w="3656" w:type="dxa"/>
            <w:shd w:val="clear" w:color="auto" w:fill="auto"/>
          </w:tcPr>
          <w:p w14:paraId="02660C80" w14:textId="77777777" w:rsidR="00C61276" w:rsidRPr="006C1090" w:rsidRDefault="00C61276" w:rsidP="001C249B">
            <w:pPr>
              <w:autoSpaceDE w:val="0"/>
              <w:autoSpaceDN w:val="0"/>
              <w:adjustRightInd w:val="0"/>
              <w:spacing w:before="120" w:after="120" w:line="240" w:lineRule="auto"/>
              <w:rPr>
                <w:sz w:val="16"/>
                <w:szCs w:val="16"/>
              </w:rPr>
            </w:pPr>
            <w:r w:rsidRPr="006C1090">
              <w:rPr>
                <w:sz w:val="16"/>
              </w:rPr>
              <w:t xml:space="preserve">Evaluer </w:t>
            </w:r>
            <w:r w:rsidR="001C249B" w:rsidRPr="006C1090">
              <w:rPr>
                <w:sz w:val="16"/>
              </w:rPr>
              <w:t>au moyen d'un échantillon basé sur les risques</w:t>
            </w:r>
            <w:r w:rsidRPr="006C1090">
              <w:rPr>
                <w:sz w:val="16"/>
              </w:rPr>
              <w:t xml:space="preserve"> la documentation utilisée pour informer les clients de l'existence et l'étendue des rétrocessions perçues par la banque (y c. conditions générales) et vérifier leur adéquation et exactitude.</w:t>
            </w:r>
          </w:p>
        </w:tc>
        <w:tc>
          <w:tcPr>
            <w:tcW w:w="2410" w:type="dxa"/>
            <w:shd w:val="clear" w:color="auto" w:fill="auto"/>
          </w:tcPr>
          <w:p w14:paraId="1FFA46D2" w14:textId="77777777" w:rsidR="00C61276" w:rsidRPr="00EB30C0" w:rsidRDefault="00C61276" w:rsidP="00B93868">
            <w:pPr>
              <w:spacing w:before="120" w:after="120" w:line="240" w:lineRule="auto"/>
              <w:rPr>
                <w:rFonts w:cs="Arial"/>
                <w:sz w:val="16"/>
                <w:szCs w:val="16"/>
              </w:rPr>
            </w:pPr>
          </w:p>
        </w:tc>
        <w:tc>
          <w:tcPr>
            <w:tcW w:w="709" w:type="dxa"/>
            <w:shd w:val="clear" w:color="auto" w:fill="auto"/>
          </w:tcPr>
          <w:p w14:paraId="5F7BA23C" w14:textId="77777777" w:rsidR="00C61276" w:rsidRPr="00EB30C0" w:rsidRDefault="00C61276" w:rsidP="00B93868">
            <w:pPr>
              <w:spacing w:before="120" w:after="120" w:line="240" w:lineRule="auto"/>
              <w:rPr>
                <w:rFonts w:cs="Arial"/>
                <w:sz w:val="16"/>
                <w:szCs w:val="16"/>
              </w:rPr>
            </w:pPr>
          </w:p>
        </w:tc>
      </w:tr>
      <w:tr w:rsidR="00C61276" w:rsidRPr="00573E72" w14:paraId="36F30E2B" w14:textId="77777777" w:rsidTr="00EF0539">
        <w:tc>
          <w:tcPr>
            <w:tcW w:w="15190" w:type="dxa"/>
            <w:gridSpan w:val="10"/>
            <w:shd w:val="pct10" w:color="auto" w:fill="auto"/>
          </w:tcPr>
          <w:p w14:paraId="4C2931B5" w14:textId="77777777" w:rsidR="00C61276" w:rsidRPr="0048295D" w:rsidRDefault="00C61276" w:rsidP="00CE337B">
            <w:pPr>
              <w:pageBreakBefore/>
              <w:spacing w:before="120" w:after="120" w:line="240" w:lineRule="auto"/>
              <w:rPr>
                <w:rFonts w:cs="Arial"/>
                <w:i/>
                <w:sz w:val="16"/>
                <w:szCs w:val="16"/>
                <w:highlight w:val="yellow"/>
                <w:lang w:val="en-US"/>
              </w:rPr>
            </w:pPr>
            <w:r w:rsidRPr="0048295D">
              <w:rPr>
                <w:i/>
                <w:sz w:val="16"/>
                <w:lang w:val="en-US"/>
              </w:rPr>
              <w:lastRenderedPageBreak/>
              <w:t xml:space="preserve">Confirmation of the appropriateness of the measures taken to provide training and further education in </w:t>
            </w:r>
            <w:r w:rsidRPr="0048295D">
              <w:rPr>
                <w:lang w:val="en-US"/>
              </w:rPr>
              <w:t xml:space="preserve">□ </w:t>
            </w:r>
            <w:r w:rsidRPr="0048295D">
              <w:rPr>
                <w:i/>
                <w:sz w:val="16"/>
                <w:lang w:val="en-US"/>
              </w:rPr>
              <w:t xml:space="preserve">individual portfolio management, </w:t>
            </w:r>
            <w:r w:rsidRPr="0048295D">
              <w:rPr>
                <w:lang w:val="en-US"/>
              </w:rPr>
              <w:t xml:space="preserve">□ </w:t>
            </w:r>
            <w:r w:rsidRPr="0048295D">
              <w:rPr>
                <w:i/>
                <w:sz w:val="16"/>
                <w:lang w:val="en-US"/>
              </w:rPr>
              <w:t xml:space="preserve">investment advisory services, </w:t>
            </w:r>
            <w:r w:rsidRPr="0048295D">
              <w:rPr>
                <w:lang w:val="en-US"/>
              </w:rPr>
              <w:t xml:space="preserve">□ </w:t>
            </w:r>
            <w:r w:rsidRPr="0048295D">
              <w:rPr>
                <w:i/>
                <w:sz w:val="16"/>
                <w:lang w:val="en-US"/>
              </w:rPr>
              <w:t xml:space="preserve">executing transactions and </w:t>
            </w:r>
            <w:r w:rsidRPr="0048295D">
              <w:rPr>
                <w:lang w:val="en-US"/>
              </w:rPr>
              <w:t xml:space="preserve">□ </w:t>
            </w:r>
            <w:r w:rsidRPr="0048295D">
              <w:rPr>
                <w:i/>
                <w:sz w:val="16"/>
                <w:lang w:val="en-US"/>
              </w:rPr>
              <w:t>distribution of collective investment schemes.</w:t>
            </w:r>
          </w:p>
          <w:p w14:paraId="6364BFC6" w14:textId="77777777" w:rsidR="00C61276" w:rsidRPr="0048295D" w:rsidRDefault="00C61276" w:rsidP="00CE337B">
            <w:pPr>
              <w:pStyle w:val="FINMAGliederungEbene1"/>
              <w:pageBreakBefore/>
              <w:numPr>
                <w:ilvl w:val="0"/>
                <w:numId w:val="0"/>
              </w:numPr>
              <w:spacing w:before="120" w:after="120" w:line="240" w:lineRule="auto"/>
              <w:rPr>
                <w:i/>
                <w:sz w:val="16"/>
                <w:szCs w:val="16"/>
                <w:highlight w:val="yellow"/>
                <w:lang w:val="de-CH"/>
              </w:rPr>
            </w:pPr>
            <w:r w:rsidRPr="0048295D">
              <w:rPr>
                <w:i/>
                <w:sz w:val="16"/>
                <w:lang w:val="de-CH"/>
              </w:rPr>
              <w:t xml:space="preserve">Bestätigung, dass die Massnahmen im Bereich der Aus- und Weiterbildung bezüglich </w:t>
            </w:r>
            <w:r w:rsidRPr="0048295D">
              <w:rPr>
                <w:lang w:val="de-CH"/>
              </w:rPr>
              <w:t xml:space="preserve">□ </w:t>
            </w:r>
            <w:r w:rsidRPr="0048295D">
              <w:rPr>
                <w:i/>
                <w:sz w:val="16"/>
                <w:lang w:val="de-CH"/>
              </w:rPr>
              <w:t xml:space="preserve">individueller Vermögensverwaltung, </w:t>
            </w:r>
            <w:r w:rsidRPr="0048295D">
              <w:rPr>
                <w:lang w:val="de-CH"/>
              </w:rPr>
              <w:t xml:space="preserve">□ </w:t>
            </w:r>
            <w:r w:rsidRPr="0048295D">
              <w:rPr>
                <w:i/>
                <w:sz w:val="16"/>
                <w:lang w:val="de-CH"/>
              </w:rPr>
              <w:t xml:space="preserve">Anlageberatung, </w:t>
            </w:r>
            <w:r w:rsidRPr="0048295D">
              <w:rPr>
                <w:lang w:val="de-CH"/>
              </w:rPr>
              <w:t xml:space="preserve">□ </w:t>
            </w:r>
            <w:r w:rsidRPr="0048295D">
              <w:rPr>
                <w:i/>
                <w:sz w:val="16"/>
                <w:lang w:val="de-CH"/>
              </w:rPr>
              <w:t xml:space="preserve">Transaktionsausführung und </w:t>
            </w:r>
            <w:r w:rsidRPr="0048295D">
              <w:rPr>
                <w:lang w:val="de-CH"/>
              </w:rPr>
              <w:t xml:space="preserve">□ </w:t>
            </w:r>
            <w:r w:rsidRPr="0048295D">
              <w:rPr>
                <w:i/>
                <w:sz w:val="16"/>
                <w:lang w:val="de-CH"/>
              </w:rPr>
              <w:t>Vertrieb kollektiver Kapitalanlagen angemessen waren.</w:t>
            </w:r>
          </w:p>
          <w:p w14:paraId="2B1DF2A9" w14:textId="77777777" w:rsidR="00C61276" w:rsidRPr="00FB1BE9" w:rsidRDefault="00C61276" w:rsidP="00CE337B">
            <w:pPr>
              <w:pStyle w:val="FINMAGliederungEbene1"/>
              <w:pageBreakBefore/>
              <w:numPr>
                <w:ilvl w:val="0"/>
                <w:numId w:val="0"/>
              </w:numPr>
              <w:spacing w:before="120" w:after="120" w:line="240" w:lineRule="auto"/>
              <w:rPr>
                <w:bCs/>
                <w:i/>
                <w:sz w:val="16"/>
                <w:szCs w:val="16"/>
                <w:highlight w:val="yellow"/>
              </w:rPr>
            </w:pPr>
            <w:r>
              <w:rPr>
                <w:i/>
                <w:sz w:val="16"/>
              </w:rPr>
              <w:t xml:space="preserve">Confirmation que les mesures portant sur la formation (initiale et continue) en matière de </w:t>
            </w:r>
            <w:r>
              <w:t xml:space="preserve">□ </w:t>
            </w:r>
            <w:r>
              <w:rPr>
                <w:i/>
                <w:sz w:val="16"/>
              </w:rPr>
              <w:t xml:space="preserve">gestion de fortune individuelle, </w:t>
            </w:r>
            <w:r>
              <w:t xml:space="preserve">□ </w:t>
            </w:r>
            <w:r>
              <w:rPr>
                <w:i/>
                <w:sz w:val="16"/>
              </w:rPr>
              <w:t xml:space="preserve">conseil en placement, </w:t>
            </w:r>
            <w:r>
              <w:t xml:space="preserve">□ </w:t>
            </w:r>
            <w:r>
              <w:rPr>
                <w:i/>
                <w:sz w:val="16"/>
              </w:rPr>
              <w:t xml:space="preserve">exécution de transactions et </w:t>
            </w:r>
            <w:r>
              <w:t xml:space="preserve">□ </w:t>
            </w:r>
            <w:r>
              <w:rPr>
                <w:i/>
                <w:sz w:val="16"/>
              </w:rPr>
              <w:t>distribution de placements collectifs étaient appropriées.</w:t>
            </w:r>
          </w:p>
        </w:tc>
      </w:tr>
      <w:tr w:rsidR="00C61276" w:rsidRPr="00573E72" w14:paraId="2ED24DD3" w14:textId="77777777" w:rsidTr="00B93868">
        <w:trPr>
          <w:trHeight w:val="623"/>
        </w:trPr>
        <w:tc>
          <w:tcPr>
            <w:tcW w:w="596" w:type="dxa"/>
          </w:tcPr>
          <w:p w14:paraId="25735A1E" w14:textId="77777777" w:rsidR="00C61276" w:rsidRPr="00093ECF" w:rsidRDefault="00C61276" w:rsidP="00B93868">
            <w:pPr>
              <w:spacing w:before="120" w:after="120" w:line="240" w:lineRule="auto"/>
              <w:rPr>
                <w:rFonts w:cs="Arial"/>
                <w:b/>
                <w:sz w:val="16"/>
                <w:szCs w:val="16"/>
              </w:rPr>
            </w:pPr>
            <w:r>
              <w:rPr>
                <w:b/>
                <w:sz w:val="16"/>
              </w:rPr>
              <w:t>X</w:t>
            </w:r>
          </w:p>
        </w:tc>
        <w:tc>
          <w:tcPr>
            <w:tcW w:w="596" w:type="dxa"/>
          </w:tcPr>
          <w:p w14:paraId="55550A36" w14:textId="77777777" w:rsidR="00C61276" w:rsidRPr="00093ECF" w:rsidRDefault="00C61276" w:rsidP="00B93868">
            <w:pPr>
              <w:spacing w:before="120" w:after="120" w:line="240" w:lineRule="auto"/>
              <w:rPr>
                <w:rFonts w:cs="Arial"/>
                <w:b/>
                <w:sz w:val="16"/>
                <w:szCs w:val="16"/>
              </w:rPr>
            </w:pPr>
            <w:r>
              <w:rPr>
                <w:b/>
                <w:sz w:val="16"/>
              </w:rPr>
              <w:t>X</w:t>
            </w:r>
          </w:p>
        </w:tc>
        <w:tc>
          <w:tcPr>
            <w:tcW w:w="596" w:type="dxa"/>
          </w:tcPr>
          <w:p w14:paraId="3A75A73D" w14:textId="77777777" w:rsidR="00C61276" w:rsidRPr="00093ECF" w:rsidRDefault="00C61276" w:rsidP="00B93868">
            <w:pPr>
              <w:spacing w:before="120" w:after="120" w:line="240" w:lineRule="auto"/>
              <w:rPr>
                <w:rFonts w:cs="Arial"/>
                <w:b/>
                <w:sz w:val="16"/>
                <w:szCs w:val="16"/>
              </w:rPr>
            </w:pPr>
            <w:r>
              <w:rPr>
                <w:b/>
                <w:sz w:val="16"/>
              </w:rPr>
              <w:t>X</w:t>
            </w:r>
          </w:p>
        </w:tc>
        <w:tc>
          <w:tcPr>
            <w:tcW w:w="673" w:type="dxa"/>
          </w:tcPr>
          <w:p w14:paraId="4E9D9F08" w14:textId="77777777" w:rsidR="00C61276" w:rsidRPr="00093ECF" w:rsidRDefault="00C61276" w:rsidP="00B93868">
            <w:pPr>
              <w:spacing w:before="120" w:after="120" w:line="240" w:lineRule="auto"/>
              <w:rPr>
                <w:rFonts w:cs="Arial"/>
                <w:b/>
                <w:sz w:val="16"/>
                <w:szCs w:val="16"/>
              </w:rPr>
            </w:pPr>
            <w:r>
              <w:rPr>
                <w:b/>
                <w:sz w:val="16"/>
              </w:rPr>
              <w:t>X</w:t>
            </w:r>
          </w:p>
        </w:tc>
        <w:tc>
          <w:tcPr>
            <w:tcW w:w="567" w:type="dxa"/>
            <w:vMerge w:val="restart"/>
            <w:shd w:val="clear" w:color="auto" w:fill="auto"/>
          </w:tcPr>
          <w:p w14:paraId="0FEAE7E0" w14:textId="77777777" w:rsidR="00C61276" w:rsidRPr="00EB30C0" w:rsidRDefault="00C61276" w:rsidP="00B93868">
            <w:pPr>
              <w:spacing w:before="120" w:after="120" w:line="240" w:lineRule="auto"/>
              <w:rPr>
                <w:rFonts w:cs="Arial"/>
                <w:sz w:val="16"/>
                <w:szCs w:val="16"/>
              </w:rPr>
            </w:pPr>
          </w:p>
        </w:tc>
        <w:tc>
          <w:tcPr>
            <w:tcW w:w="1531" w:type="dxa"/>
            <w:vMerge w:val="restart"/>
            <w:shd w:val="clear" w:color="auto" w:fill="auto"/>
          </w:tcPr>
          <w:p w14:paraId="41CE3A6A" w14:textId="77777777" w:rsidR="00C61276" w:rsidRPr="006C1090" w:rsidRDefault="00C61276" w:rsidP="001C249B">
            <w:pPr>
              <w:spacing w:before="120" w:after="120" w:line="240" w:lineRule="auto"/>
              <w:rPr>
                <w:rFonts w:cs="Arial"/>
                <w:b/>
                <w:sz w:val="16"/>
                <w:szCs w:val="16"/>
              </w:rPr>
            </w:pPr>
            <w:r w:rsidRPr="006C1090">
              <w:rPr>
                <w:b/>
                <w:sz w:val="16"/>
              </w:rPr>
              <w:t>Formation</w:t>
            </w:r>
            <w:r w:rsidR="007F2E3F" w:rsidRPr="006C1090">
              <w:rPr>
                <w:b/>
                <w:sz w:val="16"/>
              </w:rPr>
              <w:t xml:space="preserve"> / </w:t>
            </w:r>
            <w:r w:rsidR="001C249B" w:rsidRPr="006C1090">
              <w:rPr>
                <w:b/>
                <w:sz w:val="16"/>
              </w:rPr>
              <w:t>perfectionnement</w:t>
            </w:r>
          </w:p>
        </w:tc>
        <w:tc>
          <w:tcPr>
            <w:tcW w:w="3856" w:type="dxa"/>
            <w:shd w:val="clear" w:color="auto" w:fill="auto"/>
          </w:tcPr>
          <w:p w14:paraId="1FA3DDA2" w14:textId="77777777" w:rsidR="00C61276" w:rsidRPr="006C1090" w:rsidRDefault="00C61276" w:rsidP="00B93868">
            <w:pPr>
              <w:pStyle w:val="Bullet"/>
              <w:spacing w:before="120" w:after="120"/>
            </w:pPr>
            <w:r w:rsidRPr="006C1090">
              <w:t>Evaluer au moyen d'enquêtes et d'analyses de documents pertinents l'adéquation des programmes de formation</w:t>
            </w:r>
            <w:r w:rsidR="001C249B" w:rsidRPr="006C1090">
              <w:t xml:space="preserve"> et/ou les certifications</w:t>
            </w:r>
            <w:r w:rsidRPr="006C1090">
              <w:t xml:space="preserve"> pour les conseillers à la clientèle et pour les </w:t>
            </w:r>
            <w:r w:rsidR="007F2E3F" w:rsidRPr="006C1090">
              <w:t xml:space="preserve">autres employés en contact </w:t>
            </w:r>
            <w:r w:rsidRPr="006C1090">
              <w:t>avec la clientèle, y compris la transmission des connaissances spécialisées sur les :</w:t>
            </w:r>
          </w:p>
          <w:p w14:paraId="6C7A639E" w14:textId="77777777" w:rsidR="00C61276" w:rsidRPr="006C1090" w:rsidRDefault="00C61276" w:rsidP="00B93868">
            <w:pPr>
              <w:pStyle w:val="Bullet"/>
              <w:numPr>
                <w:ilvl w:val="0"/>
                <w:numId w:val="11"/>
              </w:numPr>
              <w:spacing w:before="120" w:after="120"/>
              <w:ind w:left="201" w:hanging="201"/>
            </w:pPr>
            <w:r w:rsidRPr="006C1090">
              <w:t xml:space="preserve">instruments financiers (y c. complexité des produits, risques liés aux produits, spécifications de produits) </w:t>
            </w:r>
          </w:p>
          <w:p w14:paraId="2E4CA773" w14:textId="77777777" w:rsidR="00C61276" w:rsidRPr="006C1090" w:rsidRDefault="00C61276" w:rsidP="00B93868">
            <w:pPr>
              <w:pStyle w:val="Bullet"/>
              <w:numPr>
                <w:ilvl w:val="0"/>
                <w:numId w:val="11"/>
              </w:numPr>
              <w:spacing w:before="120" w:after="120"/>
              <w:ind w:left="201" w:hanging="201"/>
            </w:pPr>
            <w:r w:rsidRPr="006C1090">
              <w:t xml:space="preserve">exigences de conduite (application des </w:t>
            </w:r>
            <w:r w:rsidR="007F2E3F" w:rsidRPr="006C1090">
              <w:t xml:space="preserve">règles </w:t>
            </w:r>
            <w:r w:rsidRPr="006C1090">
              <w:t>internes et externes), standards internes (normes éthiques, segmentation des clients, par ex.)</w:t>
            </w:r>
          </w:p>
          <w:p w14:paraId="4DC0B4C7" w14:textId="77777777" w:rsidR="00C61276" w:rsidRPr="006C1090" w:rsidRDefault="00C61276" w:rsidP="00B93868">
            <w:pPr>
              <w:pStyle w:val="Bullet"/>
              <w:numPr>
                <w:ilvl w:val="0"/>
                <w:numId w:val="11"/>
              </w:numPr>
              <w:spacing w:before="120" w:after="120"/>
              <w:ind w:left="201" w:hanging="201"/>
            </w:pPr>
            <w:r w:rsidRPr="006C1090">
              <w:t>processus internes et systèmes internes.</w:t>
            </w:r>
          </w:p>
          <w:p w14:paraId="74E41380" w14:textId="77777777" w:rsidR="00C61276" w:rsidRPr="006C1090" w:rsidRDefault="00C61276" w:rsidP="007F2E3F">
            <w:pPr>
              <w:pStyle w:val="Bullet"/>
              <w:spacing w:before="120" w:after="120"/>
            </w:pPr>
            <w:r w:rsidRPr="006C1090">
              <w:t>Evaluer au moyen d'enquêtes et d'analyses de documents pertinents l'adéquation de la stratégie visant à mettre régulièrement à jour</w:t>
            </w:r>
            <w:r w:rsidR="001C249B" w:rsidRPr="006C1090">
              <w:t>/perfectionner</w:t>
            </w:r>
            <w:r w:rsidRPr="006C1090">
              <w:t xml:space="preserve"> les connaissances </w:t>
            </w:r>
            <w:r w:rsidR="007F2E3F" w:rsidRPr="006C1090">
              <w:t>des personnes concernées</w:t>
            </w:r>
            <w:r w:rsidRPr="006C1090">
              <w:t>.</w:t>
            </w:r>
          </w:p>
        </w:tc>
        <w:tc>
          <w:tcPr>
            <w:tcW w:w="3656" w:type="dxa"/>
            <w:shd w:val="clear" w:color="auto" w:fill="auto"/>
          </w:tcPr>
          <w:p w14:paraId="6CCD1434" w14:textId="77777777" w:rsidR="00C61276" w:rsidRPr="00EB30C0" w:rsidRDefault="00C61276" w:rsidP="00B93868">
            <w:pPr>
              <w:autoSpaceDE w:val="0"/>
              <w:autoSpaceDN w:val="0"/>
              <w:adjustRightInd w:val="0"/>
              <w:spacing w:before="120" w:after="120" w:line="240" w:lineRule="auto"/>
              <w:rPr>
                <w:rFonts w:cs="Arial"/>
                <w:sz w:val="16"/>
                <w:szCs w:val="16"/>
              </w:rPr>
            </w:pPr>
          </w:p>
        </w:tc>
        <w:tc>
          <w:tcPr>
            <w:tcW w:w="2410" w:type="dxa"/>
            <w:shd w:val="clear" w:color="auto" w:fill="auto"/>
          </w:tcPr>
          <w:p w14:paraId="128CEEBA" w14:textId="77777777" w:rsidR="00C61276" w:rsidRPr="00EB30C0" w:rsidRDefault="00C61276" w:rsidP="00B93868">
            <w:pPr>
              <w:spacing w:before="120" w:after="120" w:line="240" w:lineRule="auto"/>
              <w:rPr>
                <w:rFonts w:cs="Arial"/>
                <w:sz w:val="16"/>
                <w:szCs w:val="16"/>
              </w:rPr>
            </w:pPr>
          </w:p>
        </w:tc>
        <w:tc>
          <w:tcPr>
            <w:tcW w:w="709" w:type="dxa"/>
            <w:shd w:val="clear" w:color="auto" w:fill="auto"/>
          </w:tcPr>
          <w:p w14:paraId="43AF1556" w14:textId="77777777" w:rsidR="00C61276" w:rsidRPr="00EB30C0" w:rsidRDefault="00C61276" w:rsidP="00B93868">
            <w:pPr>
              <w:spacing w:before="120" w:after="120" w:line="240" w:lineRule="auto"/>
              <w:rPr>
                <w:rFonts w:cs="Arial"/>
                <w:sz w:val="16"/>
                <w:szCs w:val="16"/>
              </w:rPr>
            </w:pPr>
          </w:p>
        </w:tc>
      </w:tr>
      <w:tr w:rsidR="00C61276" w:rsidRPr="00573E72" w14:paraId="4F188D7B" w14:textId="77777777" w:rsidTr="00B93868">
        <w:tc>
          <w:tcPr>
            <w:tcW w:w="596" w:type="dxa"/>
          </w:tcPr>
          <w:p w14:paraId="5500595D" w14:textId="77777777" w:rsidR="00C61276" w:rsidRPr="00093ECF" w:rsidRDefault="00C61276" w:rsidP="00B93868">
            <w:pPr>
              <w:spacing w:before="120" w:after="120" w:line="240" w:lineRule="auto"/>
              <w:rPr>
                <w:rFonts w:cs="Arial"/>
                <w:b/>
                <w:sz w:val="16"/>
                <w:szCs w:val="16"/>
              </w:rPr>
            </w:pPr>
            <w:r>
              <w:rPr>
                <w:b/>
                <w:sz w:val="16"/>
              </w:rPr>
              <w:t>X</w:t>
            </w:r>
          </w:p>
        </w:tc>
        <w:tc>
          <w:tcPr>
            <w:tcW w:w="596" w:type="dxa"/>
          </w:tcPr>
          <w:p w14:paraId="09712A18" w14:textId="77777777" w:rsidR="00C61276" w:rsidRPr="00093ECF" w:rsidRDefault="00C61276" w:rsidP="00B93868">
            <w:pPr>
              <w:spacing w:before="120" w:after="120" w:line="240" w:lineRule="auto"/>
              <w:rPr>
                <w:rFonts w:cs="Arial"/>
                <w:b/>
                <w:sz w:val="16"/>
                <w:szCs w:val="16"/>
              </w:rPr>
            </w:pPr>
            <w:r>
              <w:rPr>
                <w:b/>
                <w:sz w:val="16"/>
              </w:rPr>
              <w:t>X</w:t>
            </w:r>
          </w:p>
        </w:tc>
        <w:tc>
          <w:tcPr>
            <w:tcW w:w="596" w:type="dxa"/>
          </w:tcPr>
          <w:p w14:paraId="55687E02" w14:textId="77777777" w:rsidR="00C61276" w:rsidRPr="00093ECF" w:rsidRDefault="00C61276" w:rsidP="00B93868">
            <w:pPr>
              <w:spacing w:before="120" w:after="120" w:line="240" w:lineRule="auto"/>
              <w:rPr>
                <w:rFonts w:cs="Arial"/>
                <w:b/>
                <w:sz w:val="16"/>
                <w:szCs w:val="16"/>
              </w:rPr>
            </w:pPr>
            <w:r>
              <w:rPr>
                <w:b/>
                <w:sz w:val="16"/>
              </w:rPr>
              <w:t>X</w:t>
            </w:r>
          </w:p>
        </w:tc>
        <w:tc>
          <w:tcPr>
            <w:tcW w:w="673" w:type="dxa"/>
          </w:tcPr>
          <w:p w14:paraId="24B701C6" w14:textId="77777777" w:rsidR="00C61276" w:rsidRPr="00093ECF" w:rsidRDefault="00C61276" w:rsidP="00B93868">
            <w:pPr>
              <w:spacing w:before="120" w:after="120" w:line="240" w:lineRule="auto"/>
              <w:rPr>
                <w:rFonts w:cs="Arial"/>
                <w:b/>
                <w:sz w:val="16"/>
                <w:szCs w:val="16"/>
              </w:rPr>
            </w:pPr>
            <w:r>
              <w:rPr>
                <w:b/>
                <w:sz w:val="16"/>
              </w:rPr>
              <w:t>X</w:t>
            </w:r>
          </w:p>
        </w:tc>
        <w:tc>
          <w:tcPr>
            <w:tcW w:w="567" w:type="dxa"/>
            <w:vMerge/>
            <w:shd w:val="clear" w:color="auto" w:fill="auto"/>
          </w:tcPr>
          <w:p w14:paraId="1BCBC3C0" w14:textId="77777777" w:rsidR="00C61276" w:rsidRPr="00EB30C0" w:rsidRDefault="00C61276" w:rsidP="00B93868">
            <w:pPr>
              <w:spacing w:before="120" w:after="120" w:line="240" w:lineRule="auto"/>
              <w:rPr>
                <w:rFonts w:cs="Arial"/>
                <w:sz w:val="16"/>
                <w:szCs w:val="16"/>
              </w:rPr>
            </w:pPr>
          </w:p>
        </w:tc>
        <w:tc>
          <w:tcPr>
            <w:tcW w:w="1531" w:type="dxa"/>
            <w:vMerge/>
            <w:shd w:val="clear" w:color="auto" w:fill="auto"/>
          </w:tcPr>
          <w:p w14:paraId="732166C7" w14:textId="77777777" w:rsidR="00C61276" w:rsidRPr="00EB30C0" w:rsidRDefault="00C61276" w:rsidP="00B93868">
            <w:pPr>
              <w:spacing w:before="120" w:after="120" w:line="240" w:lineRule="auto"/>
              <w:rPr>
                <w:rFonts w:cs="Arial"/>
                <w:b/>
                <w:sz w:val="16"/>
                <w:szCs w:val="16"/>
              </w:rPr>
            </w:pPr>
          </w:p>
        </w:tc>
        <w:tc>
          <w:tcPr>
            <w:tcW w:w="3856" w:type="dxa"/>
            <w:shd w:val="clear" w:color="auto" w:fill="auto"/>
          </w:tcPr>
          <w:p w14:paraId="6370CBD0" w14:textId="77777777" w:rsidR="00C61276" w:rsidRPr="006C1090" w:rsidRDefault="00C61276" w:rsidP="00B93868">
            <w:pPr>
              <w:pStyle w:val="Bullet"/>
              <w:spacing w:before="120" w:after="120"/>
            </w:pPr>
            <w:r w:rsidRPr="006C1090">
              <w:t xml:space="preserve">Evaluer au moyen d'enquêtes et d'analyses de documents pertinents si la participation du personnel </w:t>
            </w:r>
            <w:r w:rsidRPr="006C1090">
              <w:lastRenderedPageBreak/>
              <w:t>aux formations internes et externes est documentée et vérifiée.</w:t>
            </w:r>
          </w:p>
        </w:tc>
        <w:tc>
          <w:tcPr>
            <w:tcW w:w="3656" w:type="dxa"/>
            <w:shd w:val="clear" w:color="auto" w:fill="auto"/>
          </w:tcPr>
          <w:p w14:paraId="7947DD93" w14:textId="77777777" w:rsidR="00C61276" w:rsidRPr="006C1090" w:rsidRDefault="00C61276" w:rsidP="001C249B">
            <w:pPr>
              <w:autoSpaceDE w:val="0"/>
              <w:autoSpaceDN w:val="0"/>
              <w:adjustRightInd w:val="0"/>
              <w:spacing w:before="120" w:after="120" w:line="240" w:lineRule="auto"/>
              <w:rPr>
                <w:rFonts w:cs="Arial"/>
                <w:sz w:val="16"/>
                <w:szCs w:val="16"/>
              </w:rPr>
            </w:pPr>
            <w:r w:rsidRPr="006C1090">
              <w:rPr>
                <w:sz w:val="16"/>
              </w:rPr>
              <w:lastRenderedPageBreak/>
              <w:t xml:space="preserve">Effectuer des contrôles </w:t>
            </w:r>
            <w:r w:rsidR="001C249B" w:rsidRPr="006C1090">
              <w:rPr>
                <w:sz w:val="16"/>
              </w:rPr>
              <w:t>au moyen d'un échantillon basé sur les risques</w:t>
            </w:r>
            <w:r w:rsidRPr="006C1090">
              <w:rPr>
                <w:sz w:val="16"/>
              </w:rPr>
              <w:t>.</w:t>
            </w:r>
          </w:p>
        </w:tc>
        <w:tc>
          <w:tcPr>
            <w:tcW w:w="2410" w:type="dxa"/>
            <w:shd w:val="clear" w:color="auto" w:fill="auto"/>
          </w:tcPr>
          <w:p w14:paraId="550C49A3" w14:textId="77777777" w:rsidR="00C61276" w:rsidRPr="00EB30C0" w:rsidRDefault="00C61276" w:rsidP="00B93868">
            <w:pPr>
              <w:spacing w:before="120" w:after="120" w:line="240" w:lineRule="auto"/>
              <w:rPr>
                <w:rFonts w:cs="Arial"/>
                <w:sz w:val="16"/>
                <w:szCs w:val="16"/>
              </w:rPr>
            </w:pPr>
          </w:p>
        </w:tc>
        <w:tc>
          <w:tcPr>
            <w:tcW w:w="709" w:type="dxa"/>
            <w:shd w:val="clear" w:color="auto" w:fill="auto"/>
          </w:tcPr>
          <w:p w14:paraId="5371C828" w14:textId="77777777" w:rsidR="00C61276" w:rsidRPr="00EB30C0" w:rsidRDefault="00C61276" w:rsidP="00B93868">
            <w:pPr>
              <w:spacing w:before="120" w:after="120" w:line="240" w:lineRule="auto"/>
              <w:rPr>
                <w:rFonts w:cs="Arial"/>
                <w:sz w:val="16"/>
                <w:szCs w:val="16"/>
              </w:rPr>
            </w:pPr>
          </w:p>
        </w:tc>
      </w:tr>
    </w:tbl>
    <w:p w14:paraId="7BF8978C" w14:textId="77777777" w:rsidR="00C61276" w:rsidRPr="004B2F5C" w:rsidRDefault="00C61276" w:rsidP="00B93868">
      <w:pPr>
        <w:spacing w:before="120" w:after="120" w:line="240" w:lineRule="auto"/>
        <w:jc w:val="center"/>
        <w:rPr>
          <w:rFonts w:cs="Arial"/>
          <w:sz w:val="16"/>
          <w:szCs w:val="16"/>
        </w:rPr>
      </w:pPr>
    </w:p>
    <w:p w14:paraId="0ADADD55" w14:textId="77777777" w:rsidR="002A48CF" w:rsidRPr="00573E72" w:rsidRDefault="00C61276" w:rsidP="00A55FCD">
      <w:pPr>
        <w:spacing w:before="120" w:after="120" w:line="240" w:lineRule="auto"/>
        <w:jc w:val="center"/>
        <w:rPr>
          <w:sz w:val="2"/>
        </w:rPr>
      </w:pPr>
      <w:r>
        <w:rPr>
          <w:sz w:val="16"/>
        </w:rPr>
        <w:t>********************************</w:t>
      </w:r>
      <w:bookmarkEnd w:id="0"/>
    </w:p>
    <w:sectPr w:rsidR="002A48CF" w:rsidRPr="00573E72" w:rsidSect="003613AB">
      <w:headerReference w:type="default" r:id="rId16"/>
      <w:footerReference w:type="default" r:id="rId17"/>
      <w:headerReference w:type="first" r:id="rId18"/>
      <w:footerReference w:type="first" r:id="rId19"/>
      <w:type w:val="continuous"/>
      <w:pgSz w:w="16838" w:h="11906" w:orient="landscape" w:code="9"/>
      <w:pgMar w:top="2098" w:right="1134" w:bottom="1134" w:left="1134" w:header="198" w:footer="26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BF6DF" w14:textId="77777777" w:rsidR="00A61830" w:rsidRDefault="00A61830">
      <w:r>
        <w:separator/>
      </w:r>
    </w:p>
  </w:endnote>
  <w:endnote w:type="continuationSeparator" w:id="0">
    <w:p w14:paraId="6D8B0111" w14:textId="77777777" w:rsidR="00A61830" w:rsidRDefault="00A61830">
      <w:r>
        <w:continuationSeparator/>
      </w:r>
    </w:p>
  </w:endnote>
  <w:endnote w:type="continuationNotice" w:id="1">
    <w:p w14:paraId="1E812A8A" w14:textId="77777777" w:rsidR="00A61830" w:rsidRDefault="00A618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70" w:type="pct"/>
      <w:tblCellMar>
        <w:right w:w="0" w:type="dxa"/>
      </w:tblCellMar>
      <w:tblLook w:val="04A0" w:firstRow="1" w:lastRow="0" w:firstColumn="1" w:lastColumn="0" w:noHBand="0" w:noVBand="1"/>
    </w:tblPr>
    <w:tblGrid>
      <w:gridCol w:w="14744"/>
      <w:gridCol w:w="8165"/>
      <w:gridCol w:w="2355"/>
    </w:tblGrid>
    <w:tr w:rsidR="000D113E" w14:paraId="7ABF2EB1" w14:textId="77777777" w:rsidTr="00554E71">
      <w:tc>
        <w:tcPr>
          <w:tcW w:w="2917" w:type="pct"/>
          <w:tcMar>
            <w:left w:w="0" w:type="dxa"/>
          </w:tcMar>
        </w:tcPr>
        <w:p w14:paraId="3EBF9AAA" w14:textId="77777777" w:rsidR="00CE337B" w:rsidRDefault="00CA1BE5" w:rsidP="003613AB">
          <w:pPr>
            <w:tabs>
              <w:tab w:val="left" w:pos="1859"/>
            </w:tabs>
            <w:spacing w:line="240" w:lineRule="auto"/>
            <w:rPr>
              <w:sz w:val="16"/>
            </w:rPr>
          </w:pPr>
          <w:r w:rsidRPr="00E11E7B">
            <w:rPr>
              <w:sz w:val="16"/>
              <w:szCs w:val="16"/>
            </w:rPr>
            <w:t xml:space="preserve">Procédures </w:t>
          </w:r>
          <w:r>
            <w:rPr>
              <w:sz w:val="16"/>
              <w:szCs w:val="16"/>
            </w:rPr>
            <w:t>relatives au domaine d'audit</w:t>
          </w:r>
          <w:r w:rsidR="000D113E">
            <w:rPr>
              <w:sz w:val="16"/>
            </w:rPr>
            <w:t xml:space="preserve"> « Risques d'affaires / gestion des risques : risques liés aux opérations indifférentes / règles de conduite à l'égard des clients»</w:t>
          </w:r>
        </w:p>
        <w:p w14:paraId="381A68AF" w14:textId="03334951" w:rsidR="000D113E" w:rsidRPr="003C4F72" w:rsidRDefault="000D113E" w:rsidP="003613AB">
          <w:pPr>
            <w:tabs>
              <w:tab w:val="left" w:pos="1859"/>
              <w:tab w:val="right" w:pos="14742"/>
            </w:tabs>
            <w:spacing w:line="240" w:lineRule="auto"/>
            <w:rPr>
              <w:sz w:val="16"/>
              <w:szCs w:val="16"/>
            </w:rPr>
          </w:pPr>
          <w:r>
            <w:rPr>
              <w:sz w:val="16"/>
            </w:rPr>
            <w:t xml:space="preserve">Version </w:t>
          </w:r>
          <w:r w:rsidR="00CE337B">
            <w:rPr>
              <w:sz w:val="16"/>
            </w:rPr>
            <w:t xml:space="preserve">du 31 mars 2020, applicable dès la période d'audit 2020 (année d'audit débutant au plus tôt le 01.01.2020) si </w:t>
          </w:r>
          <w:r w:rsidR="00CE337B" w:rsidRPr="00CE337B">
            <w:rPr>
              <w:sz w:val="16"/>
            </w:rPr>
            <w:t>l'établissement</w:t>
          </w:r>
          <w:r w:rsidR="00CE337B">
            <w:rPr>
              <w:sz w:val="16"/>
            </w:rPr>
            <w:t xml:space="preserve"> </w:t>
          </w:r>
          <w:r w:rsidR="00CE337B" w:rsidRPr="003613AB">
            <w:rPr>
              <w:b/>
              <w:sz w:val="16"/>
            </w:rPr>
            <w:t>n'applique pas</w:t>
          </w:r>
          <w:r w:rsidR="00CE337B">
            <w:rPr>
              <w:sz w:val="16"/>
            </w:rPr>
            <w:t xml:space="preserve"> les règles de conduite </w:t>
          </w:r>
          <w:r w:rsidR="003613AB">
            <w:rPr>
              <w:sz w:val="16"/>
            </w:rPr>
            <w:t xml:space="preserve">de la </w:t>
          </w:r>
          <w:r w:rsidR="00CE337B">
            <w:rPr>
              <w:sz w:val="16"/>
            </w:rPr>
            <w:t xml:space="preserve">LSFin </w:t>
          </w:r>
          <w:r w:rsidR="003613AB">
            <w:rPr>
              <w:sz w:val="16"/>
            </w:rPr>
            <w:t>avant l'expiration du délai transitoire (art. 105 al. 2 OSFin)</w:t>
          </w:r>
          <w:r>
            <w:tab/>
          </w:r>
          <w:r>
            <w:rPr>
              <w:sz w:val="16"/>
            </w:rPr>
            <w:t xml:space="preserve">Page </w:t>
          </w:r>
          <w:r w:rsidRPr="005061E9">
            <w:rPr>
              <w:sz w:val="16"/>
              <w:szCs w:val="16"/>
            </w:rPr>
            <w:fldChar w:fldCharType="begin"/>
          </w:r>
          <w:r w:rsidRPr="005061E9">
            <w:rPr>
              <w:sz w:val="16"/>
              <w:szCs w:val="16"/>
            </w:rPr>
            <w:instrText xml:space="preserve"> PAGE   \* MERGEFORMAT </w:instrText>
          </w:r>
          <w:r w:rsidRPr="005061E9">
            <w:rPr>
              <w:sz w:val="16"/>
              <w:szCs w:val="16"/>
            </w:rPr>
            <w:fldChar w:fldCharType="separate"/>
          </w:r>
          <w:r w:rsidR="003613AB">
            <w:rPr>
              <w:noProof/>
              <w:sz w:val="16"/>
              <w:szCs w:val="16"/>
            </w:rPr>
            <w:t>13</w:t>
          </w:r>
          <w:r w:rsidRPr="005061E9">
            <w:rPr>
              <w:noProof/>
              <w:sz w:val="16"/>
              <w:szCs w:val="16"/>
            </w:rPr>
            <w:fldChar w:fldCharType="end"/>
          </w:r>
        </w:p>
      </w:tc>
      <w:tc>
        <w:tcPr>
          <w:tcW w:w="1616" w:type="pct"/>
          <w:tcMar>
            <w:left w:w="0" w:type="dxa"/>
          </w:tcMar>
        </w:tcPr>
        <w:p w14:paraId="682EDD0F" w14:textId="77777777" w:rsidR="000D113E" w:rsidRDefault="000D113E" w:rsidP="00455E44">
          <w:pPr>
            <w:pStyle w:val="Fuzeile"/>
            <w:tabs>
              <w:tab w:val="clear" w:pos="8618"/>
            </w:tabs>
          </w:pPr>
        </w:p>
      </w:tc>
      <w:tc>
        <w:tcPr>
          <w:tcW w:w="466" w:type="pct"/>
          <w:tcMar>
            <w:left w:w="0" w:type="dxa"/>
          </w:tcMar>
        </w:tcPr>
        <w:p w14:paraId="68E38055" w14:textId="29D43839" w:rsidR="000D113E" w:rsidRPr="00D81961" w:rsidRDefault="000D113E" w:rsidP="00D81961">
          <w:pPr>
            <w:pStyle w:val="Fuzeile"/>
            <w:tabs>
              <w:tab w:val="clear" w:pos="8618"/>
              <w:tab w:val="left" w:pos="1473"/>
            </w:tabs>
            <w:ind w:right="29"/>
            <w:rPr>
              <w:sz w:val="15"/>
              <w:szCs w:val="15"/>
            </w:rPr>
          </w:pPr>
          <w:r w:rsidRPr="00D81961">
            <w:rPr>
              <w:sz w:val="15"/>
              <w:szCs w:val="15"/>
            </w:rPr>
            <w:fldChar w:fldCharType="begin"/>
          </w:r>
          <w:r w:rsidRPr="00D81961">
            <w:rPr>
              <w:sz w:val="15"/>
              <w:szCs w:val="15"/>
            </w:rPr>
            <w:instrText xml:space="preserve"> PAGE </w:instrText>
          </w:r>
          <w:r w:rsidRPr="00D81961">
            <w:rPr>
              <w:sz w:val="15"/>
              <w:szCs w:val="15"/>
            </w:rPr>
            <w:fldChar w:fldCharType="separate"/>
          </w:r>
          <w:r w:rsidR="003613AB">
            <w:rPr>
              <w:noProof/>
              <w:sz w:val="15"/>
              <w:szCs w:val="15"/>
            </w:rPr>
            <w:t>13</w:t>
          </w:r>
          <w:r w:rsidRPr="00D81961">
            <w:rPr>
              <w:noProof/>
              <w:sz w:val="15"/>
              <w:szCs w:val="15"/>
            </w:rPr>
            <w:fldChar w:fldCharType="end"/>
          </w:r>
          <w:r>
            <w:rPr>
              <w:sz w:val="15"/>
            </w:rPr>
            <w:t>/</w:t>
          </w:r>
          <w:r w:rsidRPr="00D81961">
            <w:rPr>
              <w:sz w:val="15"/>
              <w:szCs w:val="15"/>
            </w:rPr>
            <w:fldChar w:fldCharType="begin"/>
          </w:r>
          <w:r w:rsidRPr="00D81961">
            <w:rPr>
              <w:sz w:val="15"/>
              <w:szCs w:val="15"/>
            </w:rPr>
            <w:instrText xml:space="preserve"> NUMPAGES </w:instrText>
          </w:r>
          <w:r w:rsidRPr="00D81961">
            <w:rPr>
              <w:sz w:val="15"/>
              <w:szCs w:val="15"/>
            </w:rPr>
            <w:fldChar w:fldCharType="separate"/>
          </w:r>
          <w:r w:rsidR="003613AB">
            <w:rPr>
              <w:noProof/>
              <w:sz w:val="15"/>
              <w:szCs w:val="15"/>
            </w:rPr>
            <w:t>13</w:t>
          </w:r>
          <w:r w:rsidRPr="00D81961">
            <w:rPr>
              <w:noProof/>
              <w:sz w:val="15"/>
              <w:szCs w:val="15"/>
            </w:rPr>
            <w:fldChar w:fldCharType="end"/>
          </w:r>
        </w:p>
      </w:tc>
    </w:tr>
  </w:tbl>
  <w:p w14:paraId="136F3922" w14:textId="77777777" w:rsidR="000D113E" w:rsidRPr="003613AB" w:rsidRDefault="000D113E" w:rsidP="003613AB">
    <w:pPr>
      <w:pStyle w:val="Fuzeile"/>
      <w:tabs>
        <w:tab w:val="clear" w:pos="8618"/>
        <w:tab w:val="right" w:pos="1460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1590"/>
      <w:gridCol w:w="2487"/>
    </w:tblGrid>
    <w:tr w:rsidR="000D113E" w:rsidRPr="006C1090" w14:paraId="0371EE25" w14:textId="77777777" w:rsidTr="009D0C4E">
      <w:tc>
        <w:tcPr>
          <w:tcW w:w="11590" w:type="dxa"/>
          <w:shd w:val="clear" w:color="auto" w:fill="auto"/>
        </w:tcPr>
        <w:bookmarkStart w:id="2" w:name="BkmBarcode01" w:colFirst="1" w:colLast="1"/>
        <w:p w14:paraId="6E122285" w14:textId="77777777" w:rsidR="000D113E" w:rsidRPr="009D0C4E" w:rsidRDefault="000D113E" w:rsidP="009D0C4E">
          <w:pPr>
            <w:pStyle w:val="Fuzeile"/>
            <w:spacing w:line="240" w:lineRule="auto"/>
            <w:rPr>
              <w:lang w:val="de-CH"/>
            </w:rPr>
          </w:pPr>
          <w:r w:rsidRPr="009D0C4E">
            <w:rPr>
              <w:sz w:val="15"/>
              <w:szCs w:val="15"/>
            </w:rPr>
            <w:fldChar w:fldCharType="begin"/>
          </w:r>
          <w:r w:rsidRPr="009D0C4E">
            <w:rPr>
              <w:sz w:val="15"/>
              <w:szCs w:val="15"/>
              <w:lang w:val="de-CH"/>
            </w:rPr>
            <w:instrText>IF "</w:instrText>
          </w:r>
          <w:r w:rsidRPr="009D0C4E">
            <w:rPr>
              <w:sz w:val="15"/>
              <w:szCs w:val="15"/>
            </w:rPr>
            <w:fldChar w:fldCharType="begin"/>
          </w:r>
          <w:r w:rsidRPr="009D0C4E">
            <w:rPr>
              <w:sz w:val="15"/>
              <w:szCs w:val="15"/>
              <w:lang w:val="de-CH"/>
            </w:rPr>
            <w:instrText xml:space="preserve"> DOCPROPERTY "firma_adresse1" </w:instrText>
          </w:r>
          <w:r w:rsidRPr="009D0C4E">
            <w:rPr>
              <w:sz w:val="15"/>
              <w:szCs w:val="15"/>
            </w:rPr>
            <w:fldChar w:fldCharType="separate"/>
          </w:r>
          <w:r w:rsidR="00091E98">
            <w:rPr>
              <w:sz w:val="15"/>
              <w:szCs w:val="15"/>
              <w:lang w:val="de-CH"/>
            </w:rPr>
            <w:instrText>Laupenstrasse 27</w:instrText>
          </w:r>
          <w:r w:rsidRPr="009D0C4E">
            <w:rPr>
              <w:sz w:val="15"/>
              <w:szCs w:val="15"/>
            </w:rPr>
            <w:fldChar w:fldCharType="end"/>
          </w:r>
          <w:r w:rsidRPr="009D0C4E">
            <w:rPr>
              <w:sz w:val="15"/>
              <w:szCs w:val="15"/>
              <w:lang w:val="de-CH"/>
            </w:rPr>
            <w:instrText>"="" "" "</w:instrText>
          </w:r>
          <w:r w:rsidRPr="009D0C4E">
            <w:rPr>
              <w:sz w:val="15"/>
              <w:szCs w:val="15"/>
            </w:rPr>
            <w:fldChar w:fldCharType="begin"/>
          </w:r>
          <w:r w:rsidRPr="009D0C4E">
            <w:rPr>
              <w:sz w:val="15"/>
              <w:szCs w:val="15"/>
              <w:lang w:val="de-CH"/>
            </w:rPr>
            <w:instrText xml:space="preserve"> DOCPROPERTY "firma_adresse1" </w:instrText>
          </w:r>
          <w:r w:rsidRPr="009D0C4E">
            <w:rPr>
              <w:sz w:val="15"/>
              <w:szCs w:val="15"/>
            </w:rPr>
            <w:fldChar w:fldCharType="separate"/>
          </w:r>
          <w:r w:rsidR="00091E98">
            <w:rPr>
              <w:sz w:val="15"/>
              <w:szCs w:val="15"/>
              <w:lang w:val="de-CH"/>
            </w:rPr>
            <w:instrText>Laupenstrasse 27</w:instrText>
          </w:r>
          <w:r w:rsidRPr="009D0C4E">
            <w:rPr>
              <w:sz w:val="15"/>
              <w:szCs w:val="15"/>
            </w:rPr>
            <w:fldChar w:fldCharType="end"/>
          </w:r>
          <w:r w:rsidRPr="009D0C4E">
            <w:rPr>
              <w:sz w:val="15"/>
              <w:szCs w:val="15"/>
              <w:lang w:val="de-CH"/>
            </w:rPr>
            <w:instrText xml:space="preserve">" </w:instrText>
          </w:r>
          <w:r w:rsidRPr="009D0C4E">
            <w:rPr>
              <w:sz w:val="15"/>
              <w:szCs w:val="15"/>
            </w:rPr>
            <w:fldChar w:fldCharType="separate"/>
          </w:r>
          <w:r w:rsidR="00091E98">
            <w:rPr>
              <w:noProof/>
              <w:sz w:val="15"/>
              <w:szCs w:val="15"/>
              <w:lang w:val="de-CH"/>
            </w:rPr>
            <w:t>Laupenstrasse 27</w:t>
          </w:r>
          <w:r w:rsidRPr="009D0C4E">
            <w:rPr>
              <w:sz w:val="15"/>
              <w:szCs w:val="15"/>
            </w:rPr>
            <w:fldChar w:fldCharType="end"/>
          </w:r>
          <w:r w:rsidRPr="009D0C4E">
            <w:rPr>
              <w:sz w:val="15"/>
              <w:szCs w:val="15"/>
              <w:lang w:val="de-CH"/>
            </w:rPr>
            <w:br/>
          </w:r>
          <w:r w:rsidRPr="009D0C4E">
            <w:rPr>
              <w:sz w:val="15"/>
              <w:szCs w:val="15"/>
            </w:rPr>
            <w:fldChar w:fldCharType="begin"/>
          </w:r>
          <w:r w:rsidRPr="009D0C4E">
            <w:rPr>
              <w:sz w:val="15"/>
              <w:szCs w:val="15"/>
              <w:lang w:val="de-CH"/>
            </w:rPr>
            <w:instrText xml:space="preserve"> DOCPROPERTY "firma_plz" </w:instrText>
          </w:r>
          <w:r w:rsidRPr="009D0C4E">
            <w:rPr>
              <w:sz w:val="15"/>
              <w:szCs w:val="15"/>
            </w:rPr>
            <w:fldChar w:fldCharType="separate"/>
          </w:r>
          <w:r w:rsidR="00091E98">
            <w:rPr>
              <w:sz w:val="15"/>
              <w:szCs w:val="15"/>
              <w:lang w:val="de-CH"/>
            </w:rPr>
            <w:t>3003</w:t>
          </w:r>
          <w:r w:rsidRPr="009D0C4E">
            <w:rPr>
              <w:sz w:val="15"/>
              <w:szCs w:val="15"/>
            </w:rPr>
            <w:fldChar w:fldCharType="end"/>
          </w:r>
          <w:r w:rsidRPr="009D0C4E">
            <w:rPr>
              <w:sz w:val="15"/>
              <w:lang w:val="de-CH"/>
            </w:rPr>
            <w:t xml:space="preserve"> </w:t>
          </w:r>
          <w:r w:rsidRPr="009D0C4E">
            <w:rPr>
              <w:sz w:val="15"/>
              <w:szCs w:val="15"/>
            </w:rPr>
            <w:fldChar w:fldCharType="begin"/>
          </w:r>
          <w:r w:rsidRPr="009D0C4E">
            <w:rPr>
              <w:sz w:val="15"/>
              <w:szCs w:val="15"/>
              <w:lang w:val="de-CH"/>
            </w:rPr>
            <w:instrText xml:space="preserve"> DOCPROPERTY "firma_ort_de" </w:instrText>
          </w:r>
          <w:r w:rsidRPr="009D0C4E">
            <w:rPr>
              <w:sz w:val="15"/>
              <w:szCs w:val="15"/>
            </w:rPr>
            <w:fldChar w:fldCharType="separate"/>
          </w:r>
          <w:r w:rsidR="00091E98">
            <w:rPr>
              <w:sz w:val="15"/>
              <w:szCs w:val="15"/>
              <w:lang w:val="de-CH"/>
            </w:rPr>
            <w:t>Bern</w:t>
          </w:r>
          <w:r w:rsidRPr="009D0C4E">
            <w:rPr>
              <w:sz w:val="15"/>
              <w:szCs w:val="15"/>
            </w:rPr>
            <w:fldChar w:fldCharType="end"/>
          </w:r>
          <w:r w:rsidRPr="009D0C4E">
            <w:rPr>
              <w:sz w:val="15"/>
              <w:szCs w:val="15"/>
              <w:lang w:val="de-CH"/>
            </w:rPr>
            <w:br/>
          </w:r>
          <w:r w:rsidRPr="009D0C4E">
            <w:rPr>
              <w:sz w:val="15"/>
              <w:szCs w:val="15"/>
            </w:rPr>
            <w:fldChar w:fldCharType="begin"/>
          </w:r>
          <w:r w:rsidRPr="009D0C4E">
            <w:rPr>
              <w:sz w:val="15"/>
              <w:szCs w:val="15"/>
              <w:lang w:val="de-CH"/>
            </w:rPr>
            <w:instrText xml:space="preserve"> IF "</w:instrText>
          </w:r>
          <w:r w:rsidRPr="009D0C4E">
            <w:rPr>
              <w:sz w:val="15"/>
              <w:szCs w:val="15"/>
            </w:rPr>
            <w:fldChar w:fldCharType="begin"/>
          </w:r>
          <w:r w:rsidRPr="009D0C4E">
            <w:rPr>
              <w:sz w:val="15"/>
              <w:szCs w:val="15"/>
              <w:lang w:val="de-CH"/>
            </w:rPr>
            <w:instrText xml:space="preserve"> DOCPROPERTY "firma_telefon" </w:instrText>
          </w:r>
          <w:r w:rsidRPr="009D0C4E">
            <w:rPr>
              <w:sz w:val="15"/>
              <w:szCs w:val="15"/>
            </w:rPr>
            <w:fldChar w:fldCharType="separate"/>
          </w:r>
          <w:r w:rsidR="00091E98">
            <w:rPr>
              <w:sz w:val="15"/>
              <w:szCs w:val="15"/>
              <w:lang w:val="de-CH"/>
            </w:rPr>
            <w:instrText>+41 (0)31 327 91 00</w:instrText>
          </w:r>
          <w:r w:rsidRPr="009D0C4E">
            <w:rPr>
              <w:sz w:val="15"/>
              <w:szCs w:val="15"/>
            </w:rPr>
            <w:fldChar w:fldCharType="end"/>
          </w:r>
          <w:r w:rsidRPr="009D0C4E">
            <w:rPr>
              <w:sz w:val="15"/>
              <w:szCs w:val="15"/>
              <w:lang w:val="de-CH"/>
            </w:rPr>
            <w:instrText xml:space="preserve">"="" "" "Tel. </w:instrText>
          </w:r>
          <w:r w:rsidRPr="009D0C4E">
            <w:rPr>
              <w:sz w:val="15"/>
              <w:szCs w:val="15"/>
            </w:rPr>
            <w:fldChar w:fldCharType="begin"/>
          </w:r>
          <w:r w:rsidRPr="009D0C4E">
            <w:rPr>
              <w:sz w:val="15"/>
              <w:szCs w:val="15"/>
              <w:lang w:val="de-CH"/>
            </w:rPr>
            <w:instrText xml:space="preserve"> DOCPROPERTY "firma_telefon" </w:instrText>
          </w:r>
          <w:r w:rsidRPr="009D0C4E">
            <w:rPr>
              <w:sz w:val="15"/>
              <w:szCs w:val="15"/>
            </w:rPr>
            <w:fldChar w:fldCharType="separate"/>
          </w:r>
          <w:r w:rsidR="00091E98">
            <w:rPr>
              <w:sz w:val="15"/>
              <w:szCs w:val="15"/>
              <w:lang w:val="de-CH"/>
            </w:rPr>
            <w:instrText>+41 (0)31 327 91 00</w:instrText>
          </w:r>
          <w:r w:rsidRPr="009D0C4E">
            <w:rPr>
              <w:sz w:val="15"/>
              <w:szCs w:val="15"/>
            </w:rPr>
            <w:fldChar w:fldCharType="end"/>
          </w:r>
          <w:r w:rsidRPr="009D0C4E">
            <w:rPr>
              <w:sz w:val="15"/>
              <w:szCs w:val="15"/>
              <w:lang w:val="de-CH"/>
            </w:rPr>
            <w:instrText>"</w:instrText>
          </w:r>
          <w:r w:rsidRPr="009D0C4E">
            <w:rPr>
              <w:sz w:val="15"/>
              <w:szCs w:val="15"/>
            </w:rPr>
            <w:fldChar w:fldCharType="separate"/>
          </w:r>
          <w:r w:rsidR="00091E98" w:rsidRPr="009D0C4E">
            <w:rPr>
              <w:noProof/>
              <w:sz w:val="15"/>
              <w:szCs w:val="15"/>
              <w:lang w:val="de-CH"/>
            </w:rPr>
            <w:t xml:space="preserve">Tel. </w:t>
          </w:r>
          <w:r w:rsidR="00091E98">
            <w:rPr>
              <w:noProof/>
              <w:sz w:val="15"/>
              <w:szCs w:val="15"/>
              <w:lang w:val="de-CH"/>
            </w:rPr>
            <w:t>+41 (0)31 327 91 00</w:t>
          </w:r>
          <w:r w:rsidRPr="009D0C4E">
            <w:rPr>
              <w:sz w:val="15"/>
              <w:szCs w:val="15"/>
            </w:rPr>
            <w:fldChar w:fldCharType="end"/>
          </w:r>
          <w:r w:rsidRPr="009D0C4E">
            <w:rPr>
              <w:sz w:val="15"/>
              <w:szCs w:val="15"/>
              <w:lang w:val="de-CH"/>
            </w:rPr>
            <w:br/>
          </w:r>
          <w:r w:rsidRPr="009D0C4E">
            <w:rPr>
              <w:sz w:val="15"/>
              <w:szCs w:val="15"/>
            </w:rPr>
            <w:fldChar w:fldCharType="begin"/>
          </w:r>
          <w:r w:rsidRPr="009D0C4E">
            <w:rPr>
              <w:sz w:val="15"/>
              <w:szCs w:val="15"/>
              <w:lang w:val="de-CH"/>
            </w:rPr>
            <w:instrText>IF "</w:instrText>
          </w:r>
          <w:r w:rsidRPr="009D0C4E">
            <w:rPr>
              <w:sz w:val="15"/>
              <w:szCs w:val="15"/>
            </w:rPr>
            <w:fldChar w:fldCharType="begin"/>
          </w:r>
          <w:r w:rsidRPr="009D0C4E">
            <w:rPr>
              <w:sz w:val="15"/>
              <w:szCs w:val="15"/>
              <w:lang w:val="de-CH"/>
            </w:rPr>
            <w:instrText xml:space="preserve"> DOCPROPERTY "firma_telefax" </w:instrText>
          </w:r>
          <w:r w:rsidRPr="009D0C4E">
            <w:rPr>
              <w:sz w:val="15"/>
              <w:szCs w:val="15"/>
            </w:rPr>
            <w:fldChar w:fldCharType="separate"/>
          </w:r>
          <w:r w:rsidR="00091E98">
            <w:rPr>
              <w:sz w:val="15"/>
              <w:szCs w:val="15"/>
              <w:lang w:val="de-CH"/>
            </w:rPr>
            <w:instrText>+41 (0)31 327 91 01</w:instrText>
          </w:r>
          <w:r w:rsidRPr="009D0C4E">
            <w:rPr>
              <w:sz w:val="15"/>
              <w:szCs w:val="15"/>
            </w:rPr>
            <w:fldChar w:fldCharType="end"/>
          </w:r>
          <w:r w:rsidRPr="009D0C4E">
            <w:rPr>
              <w:sz w:val="15"/>
              <w:szCs w:val="15"/>
              <w:lang w:val="de-CH"/>
            </w:rPr>
            <w:instrText xml:space="preserve">"="" "" "Fax </w:instrText>
          </w:r>
          <w:r w:rsidRPr="009D0C4E">
            <w:rPr>
              <w:sz w:val="15"/>
              <w:szCs w:val="15"/>
            </w:rPr>
            <w:fldChar w:fldCharType="begin"/>
          </w:r>
          <w:r w:rsidRPr="009D0C4E">
            <w:rPr>
              <w:sz w:val="15"/>
              <w:szCs w:val="15"/>
              <w:lang w:val="de-CH"/>
            </w:rPr>
            <w:instrText xml:space="preserve"> DOCPROPERTY "firma_telefax" </w:instrText>
          </w:r>
          <w:r w:rsidRPr="009D0C4E">
            <w:rPr>
              <w:sz w:val="15"/>
              <w:szCs w:val="15"/>
            </w:rPr>
            <w:fldChar w:fldCharType="separate"/>
          </w:r>
          <w:r w:rsidR="00091E98">
            <w:rPr>
              <w:sz w:val="15"/>
              <w:szCs w:val="15"/>
              <w:lang w:val="de-CH"/>
            </w:rPr>
            <w:instrText>+41 (0)31 327 91 01</w:instrText>
          </w:r>
          <w:r w:rsidRPr="009D0C4E">
            <w:rPr>
              <w:sz w:val="15"/>
              <w:szCs w:val="15"/>
            </w:rPr>
            <w:fldChar w:fldCharType="end"/>
          </w:r>
          <w:r w:rsidRPr="009D0C4E">
            <w:rPr>
              <w:sz w:val="15"/>
              <w:szCs w:val="15"/>
              <w:lang w:val="de-CH"/>
            </w:rPr>
            <w:instrText xml:space="preserve">" </w:instrText>
          </w:r>
          <w:r w:rsidRPr="009D0C4E">
            <w:rPr>
              <w:sz w:val="15"/>
              <w:szCs w:val="15"/>
            </w:rPr>
            <w:fldChar w:fldCharType="separate"/>
          </w:r>
          <w:r w:rsidR="00091E98" w:rsidRPr="009D0C4E">
            <w:rPr>
              <w:noProof/>
              <w:sz w:val="15"/>
              <w:szCs w:val="15"/>
              <w:lang w:val="de-CH"/>
            </w:rPr>
            <w:t xml:space="preserve">Fax </w:t>
          </w:r>
          <w:r w:rsidR="00091E98">
            <w:rPr>
              <w:noProof/>
              <w:sz w:val="15"/>
              <w:szCs w:val="15"/>
              <w:lang w:val="de-CH"/>
            </w:rPr>
            <w:t>+41 (0)31 327 91 01</w:t>
          </w:r>
          <w:r w:rsidRPr="009D0C4E">
            <w:rPr>
              <w:sz w:val="15"/>
              <w:szCs w:val="15"/>
            </w:rPr>
            <w:fldChar w:fldCharType="end"/>
          </w:r>
          <w:r w:rsidRPr="009D0C4E">
            <w:rPr>
              <w:sz w:val="15"/>
              <w:szCs w:val="15"/>
              <w:lang w:val="de-CH"/>
            </w:rPr>
            <w:br/>
          </w:r>
          <w:r w:rsidRPr="009D0C4E">
            <w:rPr>
              <w:b/>
              <w:sz w:val="15"/>
              <w:szCs w:val="15"/>
            </w:rPr>
            <w:fldChar w:fldCharType="begin"/>
          </w:r>
          <w:r w:rsidRPr="009D0C4E">
            <w:rPr>
              <w:b/>
              <w:sz w:val="15"/>
              <w:szCs w:val="15"/>
              <w:lang w:val="de-CH"/>
            </w:rPr>
            <w:instrText xml:space="preserve"> DOCPROPERTY "firma_internet" </w:instrText>
          </w:r>
          <w:r w:rsidRPr="009D0C4E">
            <w:rPr>
              <w:b/>
              <w:sz w:val="15"/>
              <w:szCs w:val="15"/>
            </w:rPr>
            <w:fldChar w:fldCharType="separate"/>
          </w:r>
          <w:r w:rsidR="00091E98">
            <w:rPr>
              <w:b/>
              <w:sz w:val="15"/>
              <w:szCs w:val="15"/>
              <w:lang w:val="de-CH"/>
            </w:rPr>
            <w:t>www.finma.ch</w:t>
          </w:r>
          <w:r w:rsidRPr="009D0C4E">
            <w:rPr>
              <w:b/>
              <w:sz w:val="15"/>
              <w:szCs w:val="15"/>
            </w:rPr>
            <w:fldChar w:fldCharType="end"/>
          </w:r>
        </w:p>
      </w:tc>
      <w:tc>
        <w:tcPr>
          <w:tcW w:w="2487" w:type="dxa"/>
          <w:vMerge w:val="restart"/>
          <w:shd w:val="clear" w:color="auto" w:fill="auto"/>
          <w:vAlign w:val="bottom"/>
        </w:tcPr>
        <w:p w14:paraId="48C3326A" w14:textId="77777777" w:rsidR="000D113E" w:rsidRPr="009D0C4E" w:rsidRDefault="000D113E" w:rsidP="009D0C4E">
          <w:pPr>
            <w:pStyle w:val="Fuzeile"/>
            <w:spacing w:line="240" w:lineRule="auto"/>
            <w:jc w:val="right"/>
            <w:rPr>
              <w:lang w:val="de-CH"/>
            </w:rPr>
          </w:pPr>
        </w:p>
      </w:tc>
    </w:tr>
    <w:tr w:rsidR="000D113E" w:rsidRPr="006C1090" w14:paraId="41B7D86D" w14:textId="77777777" w:rsidTr="009D0C4E">
      <w:tc>
        <w:tcPr>
          <w:tcW w:w="11590" w:type="dxa"/>
          <w:shd w:val="clear" w:color="auto" w:fill="auto"/>
        </w:tcPr>
        <w:p w14:paraId="44C9A88E" w14:textId="77777777" w:rsidR="000D113E" w:rsidRPr="009D0C4E" w:rsidRDefault="000D113E" w:rsidP="009D0C4E">
          <w:pPr>
            <w:pStyle w:val="Fuzeile"/>
            <w:spacing w:line="240" w:lineRule="auto"/>
            <w:rPr>
              <w:lang w:val="de-CH"/>
            </w:rPr>
          </w:pPr>
        </w:p>
      </w:tc>
      <w:tc>
        <w:tcPr>
          <w:tcW w:w="2487" w:type="dxa"/>
          <w:vMerge/>
          <w:shd w:val="clear" w:color="auto" w:fill="auto"/>
        </w:tcPr>
        <w:p w14:paraId="07542263" w14:textId="77777777" w:rsidR="000D113E" w:rsidRPr="009D0C4E" w:rsidRDefault="000D113E" w:rsidP="009D0C4E">
          <w:pPr>
            <w:pStyle w:val="Fuzeile"/>
            <w:spacing w:line="240" w:lineRule="auto"/>
            <w:rPr>
              <w:lang w:val="de-CH"/>
            </w:rPr>
          </w:pPr>
        </w:p>
      </w:tc>
    </w:tr>
    <w:tr w:rsidR="000D113E" w:rsidRPr="00680FFB" w14:paraId="25C5E701" w14:textId="77777777" w:rsidTr="009D0C4E">
      <w:tc>
        <w:tcPr>
          <w:tcW w:w="11590" w:type="dxa"/>
          <w:shd w:val="clear" w:color="auto" w:fill="auto"/>
        </w:tcPr>
        <w:p w14:paraId="44F6AABC" w14:textId="77777777" w:rsidR="000D113E" w:rsidRPr="009D0C4E" w:rsidRDefault="000D113E" w:rsidP="009D0C4E">
          <w:pPr>
            <w:pStyle w:val="Fuzeile"/>
            <w:spacing w:line="240" w:lineRule="auto"/>
            <w:rPr>
              <w:rFonts w:cs="Arial"/>
              <w:sz w:val="12"/>
              <w:szCs w:val="12"/>
            </w:rPr>
          </w:pPr>
          <w:r w:rsidRPr="009D0C4E">
            <w:rPr>
              <w:sz w:val="12"/>
              <w:szCs w:val="12"/>
            </w:rPr>
            <w:fldChar w:fldCharType="begin"/>
          </w:r>
          <w:r w:rsidRPr="009D0C4E">
            <w:rPr>
              <w:sz w:val="12"/>
              <w:szCs w:val="12"/>
            </w:rPr>
            <w:instrText xml:space="preserve"> IF "</w:instrText>
          </w:r>
          <w:r w:rsidRPr="009D0C4E">
            <w:rPr>
              <w:sz w:val="12"/>
              <w:szCs w:val="12"/>
            </w:rPr>
            <w:fldChar w:fldCharType="begin"/>
          </w:r>
          <w:r w:rsidRPr="009D0C4E">
            <w:rPr>
              <w:sz w:val="12"/>
              <w:szCs w:val="12"/>
            </w:rPr>
            <w:instrText xml:space="preserve"> DOCPROPERTY "geschaeft_id" </w:instrText>
          </w:r>
          <w:r w:rsidRPr="009D0C4E">
            <w:rPr>
              <w:sz w:val="12"/>
              <w:szCs w:val="12"/>
            </w:rPr>
            <w:fldChar w:fldCharType="end"/>
          </w:r>
          <w:r w:rsidRPr="009D0C4E">
            <w:rPr>
              <w:sz w:val="12"/>
              <w:szCs w:val="12"/>
            </w:rPr>
            <w:instrText>"="</w:instrText>
          </w:r>
          <w:r w:rsidRPr="009D0C4E">
            <w:rPr>
              <w:rStyle w:val="FINMARf-AktnrZchn"/>
              <w:sz w:val="12"/>
              <w:szCs w:val="12"/>
            </w:rPr>
            <w:fldChar w:fldCharType="begin"/>
          </w:r>
          <w:r w:rsidRPr="009D0C4E">
            <w:rPr>
              <w:rStyle w:val="FINMARf-AktnrZchn"/>
              <w:sz w:val="12"/>
              <w:szCs w:val="12"/>
            </w:rPr>
            <w:instrText xml:space="preserve"> DOCPROPERTY "NotExist" </w:instrText>
          </w:r>
          <w:r w:rsidRPr="009D0C4E">
            <w:rPr>
              <w:rStyle w:val="FINMARf-AktnrZchn"/>
              <w:sz w:val="12"/>
              <w:szCs w:val="12"/>
            </w:rPr>
            <w:fldChar w:fldCharType="separate"/>
          </w:r>
          <w:r w:rsidR="00091E98">
            <w:rPr>
              <w:rStyle w:val="FINMARf-AktnrZchn"/>
              <w:b/>
              <w:bCs/>
              <w:sz w:val="12"/>
              <w:szCs w:val="12"/>
              <w:lang w:val="fr-FR"/>
            </w:rPr>
            <w:instrText>Erreur ! Nom de propriété de document inconnu.</w:instrText>
          </w:r>
          <w:r w:rsidRPr="009D0C4E">
            <w:rPr>
              <w:rStyle w:val="FINMARf-AktnrZchn"/>
              <w:sz w:val="12"/>
              <w:szCs w:val="12"/>
            </w:rPr>
            <w:fldChar w:fldCharType="end"/>
          </w:r>
          <w:r w:rsidRPr="009D0C4E">
            <w:rPr>
              <w:sz w:val="12"/>
              <w:szCs w:val="12"/>
            </w:rPr>
            <w:instrText>" "" "</w:instrText>
          </w:r>
          <w:r w:rsidRPr="009D0C4E">
            <w:rPr>
              <w:sz w:val="12"/>
              <w:szCs w:val="12"/>
            </w:rPr>
            <w:fldChar w:fldCharType="begin"/>
          </w:r>
          <w:r w:rsidRPr="009D0C4E">
            <w:rPr>
              <w:sz w:val="12"/>
              <w:szCs w:val="12"/>
            </w:rPr>
            <w:instrText xml:space="preserve"> DOCPROPERTY "geschaeft_id" </w:instrText>
          </w:r>
          <w:r w:rsidRPr="009D0C4E">
            <w:rPr>
              <w:sz w:val="12"/>
              <w:szCs w:val="12"/>
            </w:rPr>
            <w:fldChar w:fldCharType="end"/>
          </w:r>
          <w:r w:rsidRPr="009D0C4E">
            <w:rPr>
              <w:sz w:val="12"/>
              <w:szCs w:val="12"/>
            </w:rPr>
            <w:instrText xml:space="preserve">" </w:instrText>
          </w:r>
          <w:r w:rsidR="00431C75">
            <w:rPr>
              <w:sz w:val="12"/>
              <w:szCs w:val="12"/>
            </w:rPr>
            <w:fldChar w:fldCharType="separate"/>
          </w:r>
          <w:r w:rsidRPr="009D0C4E">
            <w:rPr>
              <w:sz w:val="12"/>
              <w:szCs w:val="12"/>
            </w:rPr>
            <w:fldChar w:fldCharType="end"/>
          </w:r>
          <w:r w:rsidRPr="009D0C4E">
            <w:rPr>
              <w:sz w:val="12"/>
              <w:szCs w:val="12"/>
            </w:rPr>
            <w:fldChar w:fldCharType="begin"/>
          </w:r>
          <w:r w:rsidRPr="009D0C4E">
            <w:rPr>
              <w:sz w:val="12"/>
              <w:szCs w:val="12"/>
            </w:rPr>
            <w:instrText xml:space="preserve"> IF "</w:instrText>
          </w:r>
          <w:r w:rsidRPr="009D0C4E">
            <w:rPr>
              <w:sz w:val="12"/>
              <w:szCs w:val="12"/>
            </w:rPr>
            <w:fldChar w:fldCharType="begin"/>
          </w:r>
          <w:r w:rsidRPr="009D0C4E">
            <w:rPr>
              <w:sz w:val="12"/>
              <w:szCs w:val="12"/>
            </w:rPr>
            <w:instrText xml:space="preserve"> DOCPROPERTY "aktionswert" </w:instrText>
          </w:r>
          <w:r w:rsidRPr="009D0C4E">
            <w:rPr>
              <w:sz w:val="12"/>
              <w:szCs w:val="12"/>
            </w:rPr>
            <w:fldChar w:fldCharType="end"/>
          </w:r>
          <w:r w:rsidRPr="009D0C4E">
            <w:rPr>
              <w:sz w:val="12"/>
              <w:szCs w:val="12"/>
            </w:rPr>
            <w:instrText>"="</w:instrText>
          </w:r>
          <w:r w:rsidRPr="009D0C4E">
            <w:rPr>
              <w:rStyle w:val="FINMARf-AktnrZchn"/>
              <w:sz w:val="12"/>
              <w:szCs w:val="12"/>
            </w:rPr>
            <w:fldChar w:fldCharType="begin"/>
          </w:r>
          <w:r w:rsidRPr="009D0C4E">
            <w:rPr>
              <w:rStyle w:val="FINMARf-AktnrZchn"/>
              <w:sz w:val="12"/>
              <w:szCs w:val="12"/>
            </w:rPr>
            <w:instrText xml:space="preserve"> DOCPROPERTY "NotExist" </w:instrText>
          </w:r>
          <w:r w:rsidRPr="009D0C4E">
            <w:rPr>
              <w:rStyle w:val="FINMARf-AktnrZchn"/>
              <w:sz w:val="12"/>
              <w:szCs w:val="12"/>
            </w:rPr>
            <w:fldChar w:fldCharType="separate"/>
          </w:r>
          <w:r w:rsidR="00091E98">
            <w:rPr>
              <w:rStyle w:val="FINMARf-AktnrZchn"/>
              <w:b/>
              <w:bCs/>
              <w:sz w:val="12"/>
              <w:szCs w:val="12"/>
              <w:lang w:val="fr-FR"/>
            </w:rPr>
            <w:instrText>Erreur ! Nom de propriété de document inconnu.</w:instrText>
          </w:r>
          <w:r w:rsidRPr="009D0C4E">
            <w:rPr>
              <w:rStyle w:val="FINMARf-AktnrZchn"/>
              <w:sz w:val="12"/>
              <w:szCs w:val="12"/>
            </w:rPr>
            <w:fldChar w:fldCharType="end"/>
          </w:r>
          <w:r w:rsidRPr="009D0C4E">
            <w:rPr>
              <w:sz w:val="12"/>
              <w:szCs w:val="12"/>
            </w:rPr>
            <w:instrText>" "" "</w:instrText>
          </w:r>
          <w:r w:rsidRPr="009D0C4E">
            <w:rPr>
              <w:sz w:val="12"/>
              <w:szCs w:val="12"/>
            </w:rPr>
            <w:fldChar w:fldCharType="begin"/>
          </w:r>
          <w:r w:rsidRPr="009D0C4E">
            <w:rPr>
              <w:sz w:val="12"/>
              <w:szCs w:val="12"/>
            </w:rPr>
            <w:instrText xml:space="preserve"> DOCPROPERTY "aktionswert" </w:instrText>
          </w:r>
          <w:r w:rsidRPr="009D0C4E">
            <w:rPr>
              <w:sz w:val="12"/>
              <w:szCs w:val="12"/>
            </w:rPr>
            <w:fldChar w:fldCharType="end"/>
          </w:r>
          <w:r w:rsidRPr="009D0C4E">
            <w:rPr>
              <w:sz w:val="12"/>
              <w:szCs w:val="12"/>
            </w:rPr>
            <w:instrText xml:space="preserve">" </w:instrText>
          </w:r>
          <w:r w:rsidR="00431C75">
            <w:rPr>
              <w:sz w:val="12"/>
              <w:szCs w:val="12"/>
            </w:rPr>
            <w:fldChar w:fldCharType="separate"/>
          </w:r>
          <w:r w:rsidRPr="009D0C4E">
            <w:rPr>
              <w:sz w:val="12"/>
              <w:szCs w:val="12"/>
            </w:rPr>
            <w:fldChar w:fldCharType="end"/>
          </w:r>
          <w:r w:rsidRPr="009D0C4E">
            <w:rPr>
              <w:sz w:val="12"/>
              <w:szCs w:val="12"/>
            </w:rPr>
            <w:fldChar w:fldCharType="begin"/>
          </w:r>
          <w:r w:rsidRPr="009D0C4E">
            <w:rPr>
              <w:sz w:val="12"/>
              <w:szCs w:val="12"/>
            </w:rPr>
            <w:instrText xml:space="preserve"> IF "</w:instrText>
          </w:r>
          <w:r w:rsidRPr="009D0C4E">
            <w:rPr>
              <w:sz w:val="12"/>
              <w:szCs w:val="12"/>
            </w:rPr>
            <w:fldChar w:fldCharType="begin"/>
          </w:r>
          <w:r w:rsidRPr="009D0C4E">
            <w:rPr>
              <w:sz w:val="12"/>
              <w:szCs w:val="12"/>
            </w:rPr>
            <w:instrText xml:space="preserve"> DOCPROPERTY "aktionswert" </w:instrText>
          </w:r>
          <w:r w:rsidRPr="009D0C4E">
            <w:rPr>
              <w:sz w:val="12"/>
              <w:szCs w:val="12"/>
            </w:rPr>
            <w:fldChar w:fldCharType="end"/>
          </w:r>
          <w:r w:rsidRPr="009D0C4E">
            <w:rPr>
              <w:sz w:val="12"/>
              <w:szCs w:val="12"/>
            </w:rPr>
            <w:instrText xml:space="preserve">"="" ";" "" </w:instrText>
          </w:r>
          <w:r w:rsidRPr="009D0C4E">
            <w:rPr>
              <w:sz w:val="12"/>
              <w:szCs w:val="12"/>
            </w:rPr>
            <w:fldChar w:fldCharType="separate"/>
          </w:r>
          <w:r w:rsidR="00091E98" w:rsidRPr="009D0C4E">
            <w:rPr>
              <w:noProof/>
              <w:sz w:val="12"/>
              <w:szCs w:val="12"/>
            </w:rPr>
            <w:t>;</w:t>
          </w:r>
          <w:r w:rsidRPr="009D0C4E">
            <w:rPr>
              <w:sz w:val="12"/>
              <w:szCs w:val="12"/>
            </w:rPr>
            <w:fldChar w:fldCharType="end"/>
          </w:r>
          <w:r w:rsidRPr="009D0C4E">
            <w:rPr>
              <w:sz w:val="12"/>
              <w:szCs w:val="12"/>
            </w:rPr>
            <w:t>b1004961-0000568</w:t>
          </w:r>
        </w:p>
      </w:tc>
      <w:tc>
        <w:tcPr>
          <w:tcW w:w="2487" w:type="dxa"/>
          <w:vMerge/>
          <w:shd w:val="clear" w:color="auto" w:fill="auto"/>
        </w:tcPr>
        <w:p w14:paraId="4600BFAB" w14:textId="77777777" w:rsidR="000D113E" w:rsidRPr="00465386" w:rsidRDefault="000D113E" w:rsidP="009D0C4E">
          <w:pPr>
            <w:pStyle w:val="Fuzeile"/>
            <w:spacing w:line="240" w:lineRule="auto"/>
          </w:pPr>
        </w:p>
      </w:tc>
    </w:tr>
  </w:tbl>
  <w:bookmarkEnd w:id="2"/>
  <w:p w14:paraId="343BC9B6" w14:textId="77777777" w:rsidR="000D113E" w:rsidRPr="00F768F1" w:rsidRDefault="000D113E" w:rsidP="00F768F1">
    <w:pPr>
      <w:pStyle w:val="Fuzeile"/>
      <w:spacing w:line="240" w:lineRule="auto"/>
      <w:rPr>
        <w:sz w:val="2"/>
        <w:szCs w:val="2"/>
      </w:rPr>
    </w:pP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E8ED5" w14:textId="77777777" w:rsidR="00A61830" w:rsidRDefault="00A61830">
      <w:r>
        <w:separator/>
      </w:r>
    </w:p>
  </w:footnote>
  <w:footnote w:type="continuationSeparator" w:id="0">
    <w:p w14:paraId="560F1C8D" w14:textId="77777777" w:rsidR="00A61830" w:rsidRDefault="00A61830">
      <w:r>
        <w:continuationSeparator/>
      </w:r>
    </w:p>
  </w:footnote>
  <w:footnote w:type="continuationNotice" w:id="1">
    <w:p w14:paraId="224BBECB" w14:textId="77777777" w:rsidR="00A61830" w:rsidRDefault="00A61830">
      <w:pPr>
        <w:spacing w:line="240" w:lineRule="auto"/>
      </w:pPr>
    </w:p>
  </w:footnote>
  <w:footnote w:id="2">
    <w:p w14:paraId="0B5242C9" w14:textId="77777777" w:rsidR="000D113E" w:rsidRPr="0048295D" w:rsidRDefault="000D113E" w:rsidP="00C61276">
      <w:pPr>
        <w:pStyle w:val="Funotentext"/>
        <w:rPr>
          <w:sz w:val="16"/>
          <w:szCs w:val="16"/>
        </w:rPr>
      </w:pPr>
      <w:r>
        <w:rPr>
          <w:rStyle w:val="Funotenzeichen"/>
        </w:rPr>
        <w:footnoteRef/>
      </w:r>
      <w:r>
        <w:rPr>
          <w:sz w:val="16"/>
        </w:rPr>
        <w:t xml:space="preserve"> La confirmation s'applique pour les champs d'audit effectivement couverts. Veuillez cocher la case correspondante.</w:t>
      </w:r>
    </w:p>
  </w:footnote>
  <w:footnote w:id="3">
    <w:p w14:paraId="6DD8D64F" w14:textId="77777777" w:rsidR="000D113E" w:rsidRPr="0048295D" w:rsidRDefault="000D113E" w:rsidP="00C61276">
      <w:pPr>
        <w:pStyle w:val="Funotentext"/>
      </w:pPr>
      <w:r>
        <w:rPr>
          <w:rStyle w:val="Funotenzeichen"/>
        </w:rPr>
        <w:footnoteRef/>
      </w:r>
      <w:r>
        <w:rPr>
          <w:sz w:val="16"/>
        </w:rPr>
        <w:t xml:space="preserve"> La confirmation s'applique pour les champs d'audit effectivement couverts. Veuillez cocher la case correspondante.</w:t>
      </w:r>
    </w:p>
  </w:footnote>
  <w:footnote w:id="4">
    <w:p w14:paraId="32A284DE" w14:textId="77777777" w:rsidR="000D113E" w:rsidRPr="0048295D" w:rsidRDefault="000D113E" w:rsidP="00C61276">
      <w:pPr>
        <w:pStyle w:val="Funotentext"/>
      </w:pPr>
      <w:r>
        <w:rPr>
          <w:rStyle w:val="Funotenzeichen"/>
        </w:rPr>
        <w:footnoteRef/>
      </w:r>
      <w:r>
        <w:rPr>
          <w:sz w:val="16"/>
        </w:rPr>
        <w:t xml:space="preserve"> La confirmation s'applique pour les champs d'audit effectivement couverts. Veuillez cocher la case correspondante.</w:t>
      </w:r>
    </w:p>
  </w:footnote>
  <w:footnote w:id="5">
    <w:p w14:paraId="1FD00F58" w14:textId="77777777" w:rsidR="000D113E" w:rsidRPr="006C1090" w:rsidRDefault="000D113E">
      <w:pPr>
        <w:pStyle w:val="Funotentext"/>
        <w:rPr>
          <w:sz w:val="16"/>
          <w:szCs w:val="16"/>
        </w:rPr>
      </w:pPr>
      <w:r w:rsidRPr="006C1090">
        <w:rPr>
          <w:rStyle w:val="Funotenzeichen"/>
          <w:sz w:val="16"/>
          <w:szCs w:val="16"/>
        </w:rPr>
        <w:footnoteRef/>
      </w:r>
      <w:r w:rsidRPr="006C1090">
        <w:rPr>
          <w:sz w:val="16"/>
          <w:szCs w:val="16"/>
        </w:rPr>
        <w:t xml:space="preserve"> S'applique au conseil en placement si l'univers des actifs comprend des placements collectifs</w:t>
      </w:r>
    </w:p>
  </w:footnote>
  <w:footnote w:id="6">
    <w:p w14:paraId="0BE95C84" w14:textId="77777777" w:rsidR="000D113E" w:rsidRPr="006C1090" w:rsidRDefault="000D113E">
      <w:pPr>
        <w:pStyle w:val="Funotentext"/>
        <w:rPr>
          <w:sz w:val="16"/>
          <w:szCs w:val="16"/>
        </w:rPr>
      </w:pPr>
      <w:r w:rsidRPr="006C1090">
        <w:rPr>
          <w:rStyle w:val="Funotenzeichen"/>
          <w:sz w:val="16"/>
          <w:szCs w:val="16"/>
        </w:rPr>
        <w:footnoteRef/>
      </w:r>
      <w:r w:rsidRPr="006C1090">
        <w:rPr>
          <w:sz w:val="16"/>
          <w:szCs w:val="16"/>
        </w:rPr>
        <w:t xml:space="preserve"> S'applique au conseil en placement si l'univers des actifs comprend des placements collectifs</w:t>
      </w:r>
    </w:p>
  </w:footnote>
  <w:footnote w:id="7">
    <w:p w14:paraId="128EFA9D" w14:textId="77777777" w:rsidR="000D113E" w:rsidRPr="006C1090" w:rsidRDefault="000D113E">
      <w:pPr>
        <w:pStyle w:val="Funotentext"/>
        <w:rPr>
          <w:sz w:val="16"/>
          <w:szCs w:val="16"/>
        </w:rPr>
      </w:pPr>
      <w:r w:rsidRPr="006C1090">
        <w:rPr>
          <w:rStyle w:val="Funotenzeichen"/>
          <w:sz w:val="16"/>
          <w:szCs w:val="16"/>
        </w:rPr>
        <w:footnoteRef/>
      </w:r>
      <w:r w:rsidRPr="006C1090">
        <w:rPr>
          <w:sz w:val="16"/>
          <w:szCs w:val="16"/>
        </w:rPr>
        <w:t xml:space="preserve"> S'applique au conseil en placement si l'univers des actifs comprend des placements collectifs</w:t>
      </w:r>
    </w:p>
  </w:footnote>
  <w:footnote w:id="8">
    <w:p w14:paraId="12311787" w14:textId="77777777" w:rsidR="000D113E" w:rsidRPr="0048295D" w:rsidRDefault="000D113E" w:rsidP="00C61276">
      <w:pPr>
        <w:pStyle w:val="Funotentext"/>
        <w:rPr>
          <w:sz w:val="16"/>
          <w:szCs w:val="16"/>
        </w:rPr>
      </w:pPr>
      <w:r>
        <w:rPr>
          <w:rStyle w:val="Funotenzeichen"/>
        </w:rPr>
        <w:footnoteRef/>
      </w:r>
      <w:r>
        <w:rPr>
          <w:sz w:val="16"/>
        </w:rPr>
        <w:t>S'applique aux fonds cotés en bourse (</w:t>
      </w:r>
      <w:r w:rsidRPr="00175D65">
        <w:rPr>
          <w:i/>
          <w:sz w:val="16"/>
        </w:rPr>
        <w:t>Exchange Traded Funds</w:t>
      </w:r>
      <w:r>
        <w:rPr>
          <w:sz w:val="16"/>
        </w:rPr>
        <w:t xml:space="preserve"> ou ETF).</w:t>
      </w:r>
    </w:p>
  </w:footnote>
  <w:footnote w:id="9">
    <w:p w14:paraId="00605C41" w14:textId="77777777" w:rsidR="000D113E" w:rsidRPr="0048295D" w:rsidRDefault="000D113E" w:rsidP="00C61276">
      <w:pPr>
        <w:tabs>
          <w:tab w:val="left" w:pos="1859"/>
        </w:tabs>
        <w:rPr>
          <w:rFonts w:cs="Arial"/>
        </w:rPr>
      </w:pPr>
      <w:r>
        <w:rPr>
          <w:rStyle w:val="Funotenzeichen"/>
        </w:rPr>
        <w:footnoteRef/>
      </w:r>
      <w:r>
        <w:rPr>
          <w:sz w:val="16"/>
        </w:rPr>
        <w:t xml:space="preserve"> S'applique lorsqu'il n'y a pas de contrat de conseil écrit (voir circulaire 2013/9 « Distribution de placements collectifs de capitaux » de la FINMA).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756" w:type="dxa"/>
      <w:tblLook w:val="01E0" w:firstRow="1" w:lastRow="1" w:firstColumn="1" w:lastColumn="1" w:noHBand="0" w:noVBand="0"/>
    </w:tblPr>
    <w:tblGrid>
      <w:gridCol w:w="11057"/>
      <w:gridCol w:w="4699"/>
    </w:tblGrid>
    <w:tr w:rsidR="00CA1BE5" w:rsidRPr="00573E72" w14:paraId="2FCEEFC3" w14:textId="77777777" w:rsidTr="00CA1BE5">
      <w:trPr>
        <w:trHeight w:val="1277"/>
      </w:trPr>
      <w:tc>
        <w:tcPr>
          <w:tcW w:w="11057" w:type="dxa"/>
        </w:tcPr>
        <w:p w14:paraId="77E435E7" w14:textId="77777777" w:rsidR="00CA1BE5" w:rsidRDefault="00CA1BE5" w:rsidP="00CA1BE5">
          <w:pPr>
            <w:pStyle w:val="Kopfzeile"/>
            <w:tabs>
              <w:tab w:val="clear" w:pos="4536"/>
              <w:tab w:val="clear" w:pos="9072"/>
              <w:tab w:val="left" w:pos="3390"/>
              <w:tab w:val="right" w:pos="14317"/>
            </w:tabs>
            <w:rPr>
              <w:rFonts w:cs="Arial"/>
              <w:sz w:val="16"/>
              <w:szCs w:val="16"/>
            </w:rPr>
          </w:pPr>
          <w:r>
            <w:rPr>
              <w:b/>
              <w:sz w:val="32"/>
              <w:szCs w:val="32"/>
            </w:rPr>
            <w:br/>
          </w:r>
          <w:r>
            <w:rPr>
              <w:b/>
              <w:sz w:val="16"/>
              <w:highlight w:val="yellow"/>
            </w:rPr>
            <w:t>[Etablissement XY]</w:t>
          </w:r>
          <w:r>
            <w:rPr>
              <w:b/>
              <w:sz w:val="16"/>
            </w:rPr>
            <w:tab/>
          </w:r>
          <w:r>
            <w:rPr>
              <w:sz w:val="16"/>
            </w:rPr>
            <w:t xml:space="preserve">Référence : </w:t>
          </w:r>
          <w:r>
            <w:rPr>
              <w:sz w:val="16"/>
              <w:highlight w:val="yellow"/>
            </w:rPr>
            <w:t>[ajouter la référence]</w:t>
          </w:r>
        </w:p>
        <w:p w14:paraId="08F4DA67" w14:textId="77777777" w:rsidR="00CA1BE5" w:rsidRPr="00CA1BE5" w:rsidRDefault="00CA1BE5" w:rsidP="00CA1BE5">
          <w:pPr>
            <w:tabs>
              <w:tab w:val="left" w:pos="3390"/>
            </w:tabs>
            <w:rPr>
              <w:rFonts w:cs="Arial"/>
              <w:b/>
              <w:sz w:val="12"/>
              <w:szCs w:val="16"/>
            </w:rPr>
          </w:pPr>
          <w:r w:rsidRPr="0048295D">
            <w:rPr>
              <w:sz w:val="16"/>
              <w:szCs w:val="16"/>
            </w:rPr>
            <w:t>Période d'audit</w:t>
          </w:r>
          <w:r>
            <w:rPr>
              <w:sz w:val="16"/>
            </w:rPr>
            <w:t xml:space="preserve"> </w:t>
          </w:r>
          <w:r>
            <w:rPr>
              <w:sz w:val="16"/>
              <w:highlight w:val="yellow"/>
            </w:rPr>
            <w:t>20XX</w:t>
          </w:r>
          <w:r>
            <w:rPr>
              <w:sz w:val="16"/>
            </w:rPr>
            <w:tab/>
          </w:r>
          <w:r w:rsidRPr="00CA1BE5">
            <w:rPr>
              <w:b/>
              <w:sz w:val="16"/>
            </w:rPr>
            <w:t>Risques liés aux opérations indifférentes / règles de conduite à l'égard des clients</w:t>
          </w:r>
        </w:p>
        <w:p w14:paraId="169E901B" w14:textId="77777777" w:rsidR="00CA1BE5" w:rsidRPr="00573E72" w:rsidRDefault="00CA1BE5" w:rsidP="00CA1BE5">
          <w:pPr>
            <w:rPr>
              <w:b/>
              <w:sz w:val="32"/>
              <w:szCs w:val="32"/>
            </w:rPr>
          </w:pPr>
        </w:p>
      </w:tc>
      <w:tc>
        <w:tcPr>
          <w:tcW w:w="4699" w:type="dxa"/>
        </w:tcPr>
        <w:p w14:paraId="5C0B126E" w14:textId="77777777" w:rsidR="00CA1BE5" w:rsidRPr="00573E72" w:rsidRDefault="00CA1BE5" w:rsidP="00CA1BE5">
          <w:r>
            <w:rPr>
              <w:noProof/>
              <w:lang w:val="de-CH" w:eastAsia="de-CH" w:bidi="ar-SA"/>
            </w:rPr>
            <w:drawing>
              <wp:anchor distT="0" distB="0" distL="114300" distR="114300" simplePos="0" relativeHeight="251660288" behindDoc="0" locked="0" layoutInCell="1" allowOverlap="1" wp14:anchorId="30D0D199" wp14:editId="5605B88B">
                <wp:simplePos x="0" y="0"/>
                <wp:positionH relativeFrom="column">
                  <wp:posOffset>354965</wp:posOffset>
                </wp:positionH>
                <wp:positionV relativeFrom="paragraph">
                  <wp:posOffset>259715</wp:posOffset>
                </wp:positionV>
                <wp:extent cx="1799590" cy="791845"/>
                <wp:effectExtent l="0" t="0" r="0" b="8255"/>
                <wp:wrapNone/>
                <wp:docPr id="4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1845"/>
                        </a:xfrm>
                        <a:prstGeom prst="rect">
                          <a:avLst/>
                        </a:prstGeom>
                        <a:noFill/>
                      </pic:spPr>
                    </pic:pic>
                  </a:graphicData>
                </a:graphic>
                <wp14:sizeRelH relativeFrom="page">
                  <wp14:pctWidth>0</wp14:pctWidth>
                </wp14:sizeRelH>
                <wp14:sizeRelV relativeFrom="page">
                  <wp14:pctHeight>0</wp14:pctHeight>
                </wp14:sizeRelV>
              </wp:anchor>
            </w:drawing>
          </w:r>
        </w:p>
      </w:tc>
    </w:tr>
  </w:tbl>
  <w:p w14:paraId="5A1EFA20" w14:textId="77777777" w:rsidR="000D113E" w:rsidRPr="00110559" w:rsidRDefault="000D113E" w:rsidP="00F05C8A">
    <w:pPr>
      <w:spacing w:after="120" w:line="240" w:lineRule="auto"/>
      <w:ind w:right="11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756" w:type="dxa"/>
      <w:tblLook w:val="01E0" w:firstRow="1" w:lastRow="1" w:firstColumn="1" w:lastColumn="1" w:noHBand="0" w:noVBand="0"/>
    </w:tblPr>
    <w:tblGrid>
      <w:gridCol w:w="11057"/>
      <w:gridCol w:w="4699"/>
    </w:tblGrid>
    <w:tr w:rsidR="000D113E" w:rsidRPr="00573E72" w14:paraId="76F05DF5" w14:textId="77777777" w:rsidTr="00CA1BE5">
      <w:trPr>
        <w:trHeight w:val="1789"/>
      </w:trPr>
      <w:tc>
        <w:tcPr>
          <w:tcW w:w="11057" w:type="dxa"/>
        </w:tcPr>
        <w:p w14:paraId="69C1CA3C" w14:textId="77777777" w:rsidR="00CA1BE5" w:rsidRDefault="000D113E" w:rsidP="00CA1BE5">
          <w:pPr>
            <w:pStyle w:val="Kopfzeile"/>
            <w:tabs>
              <w:tab w:val="clear" w:pos="4536"/>
              <w:tab w:val="clear" w:pos="9072"/>
              <w:tab w:val="left" w:pos="3390"/>
              <w:tab w:val="right" w:pos="14317"/>
            </w:tabs>
            <w:rPr>
              <w:rFonts w:cs="Arial"/>
              <w:sz w:val="16"/>
              <w:szCs w:val="16"/>
            </w:rPr>
          </w:pPr>
          <w:r>
            <w:rPr>
              <w:b/>
              <w:sz w:val="32"/>
              <w:szCs w:val="32"/>
            </w:rPr>
            <w:br/>
          </w:r>
          <w:r>
            <w:rPr>
              <w:b/>
              <w:sz w:val="16"/>
              <w:highlight w:val="yellow"/>
            </w:rPr>
            <w:t>[Etablissement XY]</w:t>
          </w:r>
          <w:r w:rsidR="00CA1BE5">
            <w:rPr>
              <w:b/>
              <w:sz w:val="16"/>
            </w:rPr>
            <w:tab/>
          </w:r>
          <w:r w:rsidR="00CA1BE5">
            <w:rPr>
              <w:sz w:val="16"/>
            </w:rPr>
            <w:t xml:space="preserve">Référence : </w:t>
          </w:r>
          <w:r w:rsidR="00CA1BE5">
            <w:rPr>
              <w:sz w:val="16"/>
              <w:highlight w:val="yellow"/>
            </w:rPr>
            <w:t>[ajouter la référence]</w:t>
          </w:r>
        </w:p>
        <w:p w14:paraId="7EBA6DD1" w14:textId="2F8D3C5F" w:rsidR="000D113E" w:rsidRPr="00CA1BE5" w:rsidRDefault="000D113E" w:rsidP="00CA1BE5">
          <w:pPr>
            <w:tabs>
              <w:tab w:val="left" w:pos="3390"/>
            </w:tabs>
            <w:rPr>
              <w:rFonts w:cs="Arial"/>
              <w:b/>
              <w:sz w:val="12"/>
              <w:szCs w:val="16"/>
            </w:rPr>
          </w:pPr>
          <w:r w:rsidRPr="0048295D">
            <w:rPr>
              <w:sz w:val="16"/>
              <w:szCs w:val="16"/>
            </w:rPr>
            <w:t>Période d'audit</w:t>
          </w:r>
          <w:r>
            <w:rPr>
              <w:sz w:val="16"/>
            </w:rPr>
            <w:t xml:space="preserve"> </w:t>
          </w:r>
          <w:r>
            <w:rPr>
              <w:sz w:val="16"/>
              <w:highlight w:val="yellow"/>
            </w:rPr>
            <w:t>20XX</w:t>
          </w:r>
          <w:r w:rsidR="00CA1BE5">
            <w:rPr>
              <w:sz w:val="16"/>
            </w:rPr>
            <w:tab/>
          </w:r>
          <w:r w:rsidR="00CA1BE5" w:rsidRPr="00CA1BE5">
            <w:rPr>
              <w:b/>
              <w:sz w:val="16"/>
            </w:rPr>
            <w:t>Risques liés aux opérations indifférentes / règles de conduite à l'égard des clients</w:t>
          </w:r>
        </w:p>
        <w:p w14:paraId="046F5FE5" w14:textId="3D048689" w:rsidR="000D113E" w:rsidRPr="0045532C" w:rsidRDefault="000D113E" w:rsidP="00573E72">
          <w:pPr>
            <w:pStyle w:val="Kopfzeile"/>
            <w:tabs>
              <w:tab w:val="clear" w:pos="9072"/>
              <w:tab w:val="right" w:pos="14317"/>
            </w:tabs>
            <w:rPr>
              <w:rFonts w:cs="Arial"/>
              <w:sz w:val="14"/>
              <w:szCs w:val="16"/>
            </w:rPr>
          </w:pPr>
        </w:p>
        <w:p w14:paraId="3FBE8040" w14:textId="786E638A" w:rsidR="000D113E" w:rsidRPr="00573E72" w:rsidRDefault="000D113E" w:rsidP="00573E72">
          <w:pPr>
            <w:rPr>
              <w:b/>
              <w:sz w:val="32"/>
              <w:szCs w:val="32"/>
            </w:rPr>
          </w:pPr>
        </w:p>
      </w:tc>
      <w:tc>
        <w:tcPr>
          <w:tcW w:w="4699" w:type="dxa"/>
        </w:tcPr>
        <w:p w14:paraId="0A4AE99A" w14:textId="77777777" w:rsidR="000D113E" w:rsidRPr="00573E72" w:rsidRDefault="00BB01C9" w:rsidP="00455E44">
          <w:r>
            <w:rPr>
              <w:noProof/>
              <w:lang w:val="de-CH" w:eastAsia="de-CH" w:bidi="ar-SA"/>
            </w:rPr>
            <w:drawing>
              <wp:anchor distT="0" distB="0" distL="114300" distR="114300" simplePos="0" relativeHeight="251657216" behindDoc="0" locked="0" layoutInCell="1" allowOverlap="1" wp14:anchorId="3CE4E4C0" wp14:editId="7D2A5FD6">
                <wp:simplePos x="0" y="0"/>
                <wp:positionH relativeFrom="column">
                  <wp:posOffset>354965</wp:posOffset>
                </wp:positionH>
                <wp:positionV relativeFrom="paragraph">
                  <wp:posOffset>259715</wp:posOffset>
                </wp:positionV>
                <wp:extent cx="1799590" cy="791845"/>
                <wp:effectExtent l="0" t="0" r="0" b="8255"/>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1845"/>
                        </a:xfrm>
                        <a:prstGeom prst="rect">
                          <a:avLst/>
                        </a:prstGeom>
                        <a:noFill/>
                      </pic:spPr>
                    </pic:pic>
                  </a:graphicData>
                </a:graphic>
                <wp14:sizeRelH relativeFrom="page">
                  <wp14:pctWidth>0</wp14:pctWidth>
                </wp14:sizeRelH>
                <wp14:sizeRelV relativeFrom="page">
                  <wp14:pctHeight>0</wp14:pctHeight>
                </wp14:sizeRelV>
              </wp:anchor>
            </w:drawing>
          </w:r>
        </w:p>
      </w:tc>
    </w:tr>
  </w:tbl>
  <w:p w14:paraId="7E5175DD" w14:textId="77777777" w:rsidR="000D113E" w:rsidRPr="00573E72" w:rsidRDefault="000D113E" w:rsidP="00110559">
    <w:pPr>
      <w:pStyle w:val="Kopfzeile"/>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20E"/>
    <w:multiLevelType w:val="hybridMultilevel"/>
    <w:tmpl w:val="88C693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847116"/>
    <w:multiLevelType w:val="hybridMultilevel"/>
    <w:tmpl w:val="8162055C"/>
    <w:lvl w:ilvl="0" w:tplc="08070009">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 w15:restartNumberingAfterBreak="0">
    <w:nsid w:val="089C0827"/>
    <w:multiLevelType w:val="multilevel"/>
    <w:tmpl w:val="9DDA428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4" w15:restartNumberingAfterBreak="0">
    <w:nsid w:val="16FA25D5"/>
    <w:multiLevelType w:val="hybridMultilevel"/>
    <w:tmpl w:val="2376C3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6245C1D"/>
    <w:multiLevelType w:val="hybridMultilevel"/>
    <w:tmpl w:val="84BECC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2711F86"/>
    <w:multiLevelType w:val="hybridMultilevel"/>
    <w:tmpl w:val="2064E9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9"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0"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1"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2" w15:restartNumberingAfterBreak="0">
    <w:nsid w:val="6B613BCF"/>
    <w:multiLevelType w:val="hybridMultilevel"/>
    <w:tmpl w:val="077C92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8"/>
  </w:num>
  <w:num w:numId="5">
    <w:abstractNumId w:val="5"/>
  </w:num>
  <w:num w:numId="6">
    <w:abstractNumId w:val="2"/>
  </w:num>
  <w:num w:numId="7">
    <w:abstractNumId w:val="10"/>
  </w:num>
  <w:num w:numId="8">
    <w:abstractNumId w:val="4"/>
  </w:num>
  <w:num w:numId="9">
    <w:abstractNumId w:val="1"/>
  </w:num>
  <w:num w:numId="10">
    <w:abstractNumId w:val="12"/>
  </w:num>
  <w:num w:numId="11">
    <w:abstractNumId w:val="6"/>
  </w:num>
  <w:num w:numId="12">
    <w:abstractNumId w:val="0"/>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n-GB" w:vendorID="64" w:dllVersion="131078" w:nlCheck="1" w:checkStyle="0"/>
  <w:activeWritingStyle w:appName="MSWord" w:lang="en-CA" w:vendorID="64" w:dllVersion="131078" w:nlCheck="1" w:checkStyle="0"/>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stylePaneSortMethod w:val="0000"/>
  <w:revisionView w:inkAnnotations="0"/>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xml_1" w:val="&lt;?xml version=&quot;1.0&quot; encoding=&quot;utf-8&quot;?&gt;&lt;docugate ResetInterfaceCacheAfterDocCreation=&quot;false&quot; FreeDocumentSelection=&quot;true&quot; xmlns=&quot;http://www.docugate.com/2014/dgxml&quot;&gt;&lt;template doclanguage=&quot;Deutsch&quot; id=&quot;&quot; workflowdocumentid=&quot;f8ba1d52-560d-45fb-9901-1a5409497208&quot;&gt;&lt;docproperties&gt;&lt;saveaslocation&gt;https://org.finma.ch/sites/8010-T/Dossiers/Suitability/Neue Prüfprogramme Suitability&lt;/saveaslocation&gt;&lt;dossier_id&gt;8010-T-2-9515&lt;/dossier_id&gt;&lt;dossier_titel&gt;Suitability&lt;/dossier_titel&gt;&lt;dossier_aktenzeichen&gt;8010-T-2-9515 - 00 Allgemeines&lt;/dossier_aktenzeichen&gt;&lt;dossier_osp_nr&gt;00&lt;/dossier_osp_nr&gt;&lt;dossier_kategorie&gt;&lt;/dossier_kategorie&gt;&lt;geschaeft_id&gt;&lt;/geschaeft_id&gt;&lt;geschaeft_federfuehrende_oe&gt;M-GWS&lt;/geschaeft_federfuehrende_oe&gt;&lt;geschaeft_datum_eroeffnen&gt;&lt;/geschaeft_datum_eroeffnen&gt;&lt;aktionsname /&gt;&lt;aktionswert /&gt;&lt;addresses /&gt;&lt;/docproperties&gt;&lt;/template&gt;&lt;/docugate&gt;"/>
  </w:docVars>
  <w:rsids>
    <w:rsidRoot w:val="00DF574D"/>
    <w:rsid w:val="00001DEA"/>
    <w:rsid w:val="0001718E"/>
    <w:rsid w:val="00017F57"/>
    <w:rsid w:val="000239AE"/>
    <w:rsid w:val="00024D4C"/>
    <w:rsid w:val="000259BF"/>
    <w:rsid w:val="000339C7"/>
    <w:rsid w:val="0003730B"/>
    <w:rsid w:val="00044074"/>
    <w:rsid w:val="00054651"/>
    <w:rsid w:val="000550D5"/>
    <w:rsid w:val="000572FE"/>
    <w:rsid w:val="000632D8"/>
    <w:rsid w:val="00070974"/>
    <w:rsid w:val="00070A8C"/>
    <w:rsid w:val="00075CE8"/>
    <w:rsid w:val="00077666"/>
    <w:rsid w:val="000822DF"/>
    <w:rsid w:val="000837C2"/>
    <w:rsid w:val="000904A3"/>
    <w:rsid w:val="00091E98"/>
    <w:rsid w:val="00094E88"/>
    <w:rsid w:val="000A436A"/>
    <w:rsid w:val="000A4F31"/>
    <w:rsid w:val="000B4554"/>
    <w:rsid w:val="000B5284"/>
    <w:rsid w:val="000C2E06"/>
    <w:rsid w:val="000C66F6"/>
    <w:rsid w:val="000D10F4"/>
    <w:rsid w:val="000D113E"/>
    <w:rsid w:val="000D337E"/>
    <w:rsid w:val="000D6C35"/>
    <w:rsid w:val="000E18F2"/>
    <w:rsid w:val="000E40E6"/>
    <w:rsid w:val="000E612D"/>
    <w:rsid w:val="00102334"/>
    <w:rsid w:val="00110559"/>
    <w:rsid w:val="00115168"/>
    <w:rsid w:val="00122506"/>
    <w:rsid w:val="001226CC"/>
    <w:rsid w:val="00133196"/>
    <w:rsid w:val="0013549E"/>
    <w:rsid w:val="0014461A"/>
    <w:rsid w:val="001479FA"/>
    <w:rsid w:val="00150782"/>
    <w:rsid w:val="00150E8B"/>
    <w:rsid w:val="00164BF6"/>
    <w:rsid w:val="001656C2"/>
    <w:rsid w:val="0017124A"/>
    <w:rsid w:val="001749D6"/>
    <w:rsid w:val="00175D65"/>
    <w:rsid w:val="0018719C"/>
    <w:rsid w:val="00190D92"/>
    <w:rsid w:val="00192F5C"/>
    <w:rsid w:val="001A0D35"/>
    <w:rsid w:val="001A758E"/>
    <w:rsid w:val="001B0BA4"/>
    <w:rsid w:val="001B4054"/>
    <w:rsid w:val="001B76E5"/>
    <w:rsid w:val="001C249B"/>
    <w:rsid w:val="001C25B1"/>
    <w:rsid w:val="001C2ADC"/>
    <w:rsid w:val="001C303F"/>
    <w:rsid w:val="001C5E3A"/>
    <w:rsid w:val="001E78B6"/>
    <w:rsid w:val="001F0E1C"/>
    <w:rsid w:val="001F2706"/>
    <w:rsid w:val="001F5F4A"/>
    <w:rsid w:val="001F6403"/>
    <w:rsid w:val="001F7678"/>
    <w:rsid w:val="002001C9"/>
    <w:rsid w:val="002040C6"/>
    <w:rsid w:val="00204B23"/>
    <w:rsid w:val="00207AD4"/>
    <w:rsid w:val="0021274A"/>
    <w:rsid w:val="00217AA6"/>
    <w:rsid w:val="00221F14"/>
    <w:rsid w:val="00222AC5"/>
    <w:rsid w:val="00227FBC"/>
    <w:rsid w:val="002436E4"/>
    <w:rsid w:val="00245584"/>
    <w:rsid w:val="00245CAC"/>
    <w:rsid w:val="00246290"/>
    <w:rsid w:val="002476AC"/>
    <w:rsid w:val="00256539"/>
    <w:rsid w:val="00256FE8"/>
    <w:rsid w:val="00264805"/>
    <w:rsid w:val="00265230"/>
    <w:rsid w:val="002762D3"/>
    <w:rsid w:val="00282AA1"/>
    <w:rsid w:val="00283AA5"/>
    <w:rsid w:val="00284BA0"/>
    <w:rsid w:val="00284C59"/>
    <w:rsid w:val="002851F7"/>
    <w:rsid w:val="00286E08"/>
    <w:rsid w:val="00294A59"/>
    <w:rsid w:val="002A0835"/>
    <w:rsid w:val="002A48CF"/>
    <w:rsid w:val="002B0C66"/>
    <w:rsid w:val="002B137C"/>
    <w:rsid w:val="002B20EB"/>
    <w:rsid w:val="002B490E"/>
    <w:rsid w:val="002B4D96"/>
    <w:rsid w:val="002B7513"/>
    <w:rsid w:val="002C2BEB"/>
    <w:rsid w:val="002C5BC6"/>
    <w:rsid w:val="002C5C51"/>
    <w:rsid w:val="002D5975"/>
    <w:rsid w:val="002E20C7"/>
    <w:rsid w:val="002E2B5D"/>
    <w:rsid w:val="002E4B22"/>
    <w:rsid w:val="002E6021"/>
    <w:rsid w:val="002E6B63"/>
    <w:rsid w:val="002F1A39"/>
    <w:rsid w:val="003051D1"/>
    <w:rsid w:val="00316E19"/>
    <w:rsid w:val="003221A7"/>
    <w:rsid w:val="00322EF5"/>
    <w:rsid w:val="00330C32"/>
    <w:rsid w:val="0033442E"/>
    <w:rsid w:val="00336E1C"/>
    <w:rsid w:val="00340B0A"/>
    <w:rsid w:val="00346326"/>
    <w:rsid w:val="00346735"/>
    <w:rsid w:val="00347090"/>
    <w:rsid w:val="00355146"/>
    <w:rsid w:val="0036054A"/>
    <w:rsid w:val="003613AB"/>
    <w:rsid w:val="00363C7A"/>
    <w:rsid w:val="0037152B"/>
    <w:rsid w:val="0039235E"/>
    <w:rsid w:val="00392743"/>
    <w:rsid w:val="003979F8"/>
    <w:rsid w:val="003A7B8B"/>
    <w:rsid w:val="003B08C0"/>
    <w:rsid w:val="003B702C"/>
    <w:rsid w:val="003C4F72"/>
    <w:rsid w:val="003C79A3"/>
    <w:rsid w:val="003D247A"/>
    <w:rsid w:val="003D3866"/>
    <w:rsid w:val="003D4AA3"/>
    <w:rsid w:val="003D7D00"/>
    <w:rsid w:val="003E231A"/>
    <w:rsid w:val="003E3CDF"/>
    <w:rsid w:val="003E495A"/>
    <w:rsid w:val="003E5765"/>
    <w:rsid w:val="003F0C61"/>
    <w:rsid w:val="003F2BD8"/>
    <w:rsid w:val="004040EA"/>
    <w:rsid w:val="004118FB"/>
    <w:rsid w:val="00413781"/>
    <w:rsid w:val="00413E4A"/>
    <w:rsid w:val="00431C75"/>
    <w:rsid w:val="00433182"/>
    <w:rsid w:val="0043428C"/>
    <w:rsid w:val="00434D41"/>
    <w:rsid w:val="00434E66"/>
    <w:rsid w:val="00437412"/>
    <w:rsid w:val="00452A65"/>
    <w:rsid w:val="00455E44"/>
    <w:rsid w:val="004576AD"/>
    <w:rsid w:val="004622A6"/>
    <w:rsid w:val="00463F41"/>
    <w:rsid w:val="004653AF"/>
    <w:rsid w:val="00481503"/>
    <w:rsid w:val="0048295D"/>
    <w:rsid w:val="00483662"/>
    <w:rsid w:val="00486E38"/>
    <w:rsid w:val="00490FFE"/>
    <w:rsid w:val="00496E97"/>
    <w:rsid w:val="004A246D"/>
    <w:rsid w:val="004A5CA4"/>
    <w:rsid w:val="004A6911"/>
    <w:rsid w:val="004A6E1E"/>
    <w:rsid w:val="004A7D92"/>
    <w:rsid w:val="004B2A5D"/>
    <w:rsid w:val="004C6F48"/>
    <w:rsid w:val="004E0524"/>
    <w:rsid w:val="004E0892"/>
    <w:rsid w:val="004E1F00"/>
    <w:rsid w:val="004E2620"/>
    <w:rsid w:val="004E607E"/>
    <w:rsid w:val="004F0AAC"/>
    <w:rsid w:val="005002E7"/>
    <w:rsid w:val="00506263"/>
    <w:rsid w:val="005129AF"/>
    <w:rsid w:val="0051419D"/>
    <w:rsid w:val="00522BD0"/>
    <w:rsid w:val="00524470"/>
    <w:rsid w:val="005269AC"/>
    <w:rsid w:val="005270D9"/>
    <w:rsid w:val="0053429C"/>
    <w:rsid w:val="00554E71"/>
    <w:rsid w:val="00560231"/>
    <w:rsid w:val="00562E3C"/>
    <w:rsid w:val="00564295"/>
    <w:rsid w:val="00573E72"/>
    <w:rsid w:val="00577C59"/>
    <w:rsid w:val="0059087C"/>
    <w:rsid w:val="00591E6F"/>
    <w:rsid w:val="0059311E"/>
    <w:rsid w:val="00593545"/>
    <w:rsid w:val="005A1753"/>
    <w:rsid w:val="005A7056"/>
    <w:rsid w:val="005D5B0E"/>
    <w:rsid w:val="005D6470"/>
    <w:rsid w:val="005D6615"/>
    <w:rsid w:val="005D6D65"/>
    <w:rsid w:val="005E54C6"/>
    <w:rsid w:val="005E5E1B"/>
    <w:rsid w:val="005E60B5"/>
    <w:rsid w:val="005E7938"/>
    <w:rsid w:val="006019E5"/>
    <w:rsid w:val="00611174"/>
    <w:rsid w:val="00612B14"/>
    <w:rsid w:val="00615BBC"/>
    <w:rsid w:val="00620145"/>
    <w:rsid w:val="00623792"/>
    <w:rsid w:val="0063696E"/>
    <w:rsid w:val="0064230F"/>
    <w:rsid w:val="0064776F"/>
    <w:rsid w:val="00650307"/>
    <w:rsid w:val="00651D1C"/>
    <w:rsid w:val="00663F13"/>
    <w:rsid w:val="00666DEC"/>
    <w:rsid w:val="00666F54"/>
    <w:rsid w:val="0067305E"/>
    <w:rsid w:val="0067414F"/>
    <w:rsid w:val="00680FFB"/>
    <w:rsid w:val="00681A03"/>
    <w:rsid w:val="0068364B"/>
    <w:rsid w:val="00690971"/>
    <w:rsid w:val="0069568B"/>
    <w:rsid w:val="0069682B"/>
    <w:rsid w:val="006A78F1"/>
    <w:rsid w:val="006B79C7"/>
    <w:rsid w:val="006C1090"/>
    <w:rsid w:val="006D2EED"/>
    <w:rsid w:val="006D6960"/>
    <w:rsid w:val="006E437D"/>
    <w:rsid w:val="00704500"/>
    <w:rsid w:val="00704539"/>
    <w:rsid w:val="00713930"/>
    <w:rsid w:val="007143F3"/>
    <w:rsid w:val="00714E29"/>
    <w:rsid w:val="00717ED2"/>
    <w:rsid w:val="00726258"/>
    <w:rsid w:val="00726BF6"/>
    <w:rsid w:val="00727481"/>
    <w:rsid w:val="007311D6"/>
    <w:rsid w:val="00734124"/>
    <w:rsid w:val="00735F1E"/>
    <w:rsid w:val="00737AE2"/>
    <w:rsid w:val="00740752"/>
    <w:rsid w:val="00743E6C"/>
    <w:rsid w:val="00746B4B"/>
    <w:rsid w:val="00751F04"/>
    <w:rsid w:val="00753103"/>
    <w:rsid w:val="0075484F"/>
    <w:rsid w:val="007616DB"/>
    <w:rsid w:val="00770DD1"/>
    <w:rsid w:val="0078347C"/>
    <w:rsid w:val="00792048"/>
    <w:rsid w:val="00793A68"/>
    <w:rsid w:val="007959C0"/>
    <w:rsid w:val="007967C9"/>
    <w:rsid w:val="0079791A"/>
    <w:rsid w:val="007A6ACA"/>
    <w:rsid w:val="007D125C"/>
    <w:rsid w:val="007E6551"/>
    <w:rsid w:val="007E67C6"/>
    <w:rsid w:val="007F2E3F"/>
    <w:rsid w:val="007F3A3E"/>
    <w:rsid w:val="007F726C"/>
    <w:rsid w:val="00804CA6"/>
    <w:rsid w:val="0080672E"/>
    <w:rsid w:val="00811A09"/>
    <w:rsid w:val="00812FC1"/>
    <w:rsid w:val="0081331F"/>
    <w:rsid w:val="008134A1"/>
    <w:rsid w:val="00816E00"/>
    <w:rsid w:val="00821DC3"/>
    <w:rsid w:val="00822FD8"/>
    <w:rsid w:val="00833A93"/>
    <w:rsid w:val="008340E6"/>
    <w:rsid w:val="00837421"/>
    <w:rsid w:val="008407CC"/>
    <w:rsid w:val="00841CE7"/>
    <w:rsid w:val="008513BA"/>
    <w:rsid w:val="00852539"/>
    <w:rsid w:val="00853200"/>
    <w:rsid w:val="008532AA"/>
    <w:rsid w:val="008620D4"/>
    <w:rsid w:val="00865782"/>
    <w:rsid w:val="0086701C"/>
    <w:rsid w:val="0086720C"/>
    <w:rsid w:val="008727E7"/>
    <w:rsid w:val="00880A2C"/>
    <w:rsid w:val="00890536"/>
    <w:rsid w:val="00890BCB"/>
    <w:rsid w:val="00892992"/>
    <w:rsid w:val="008929EC"/>
    <w:rsid w:val="008D051F"/>
    <w:rsid w:val="008D1152"/>
    <w:rsid w:val="008D5F59"/>
    <w:rsid w:val="008D7B74"/>
    <w:rsid w:val="008E1FE5"/>
    <w:rsid w:val="008E3C27"/>
    <w:rsid w:val="0090503F"/>
    <w:rsid w:val="009127DB"/>
    <w:rsid w:val="0093350E"/>
    <w:rsid w:val="00947854"/>
    <w:rsid w:val="0095032D"/>
    <w:rsid w:val="0095322B"/>
    <w:rsid w:val="009549EA"/>
    <w:rsid w:val="0095577C"/>
    <w:rsid w:val="00966ABD"/>
    <w:rsid w:val="0097124B"/>
    <w:rsid w:val="00973CB9"/>
    <w:rsid w:val="00974C5A"/>
    <w:rsid w:val="00975547"/>
    <w:rsid w:val="00975D0F"/>
    <w:rsid w:val="009760D1"/>
    <w:rsid w:val="0097764B"/>
    <w:rsid w:val="0098479B"/>
    <w:rsid w:val="00986438"/>
    <w:rsid w:val="009867E7"/>
    <w:rsid w:val="009922AF"/>
    <w:rsid w:val="00995791"/>
    <w:rsid w:val="00995A1B"/>
    <w:rsid w:val="0099609A"/>
    <w:rsid w:val="009A248F"/>
    <w:rsid w:val="009C519A"/>
    <w:rsid w:val="009D04F8"/>
    <w:rsid w:val="009D0C4E"/>
    <w:rsid w:val="009D4842"/>
    <w:rsid w:val="009E575B"/>
    <w:rsid w:val="009F7A84"/>
    <w:rsid w:val="00A00EE2"/>
    <w:rsid w:val="00A05608"/>
    <w:rsid w:val="00A31916"/>
    <w:rsid w:val="00A359AF"/>
    <w:rsid w:val="00A42E51"/>
    <w:rsid w:val="00A45466"/>
    <w:rsid w:val="00A55FCD"/>
    <w:rsid w:val="00A57519"/>
    <w:rsid w:val="00A61830"/>
    <w:rsid w:val="00A61F4F"/>
    <w:rsid w:val="00A67C00"/>
    <w:rsid w:val="00A739E8"/>
    <w:rsid w:val="00A75767"/>
    <w:rsid w:val="00A81D10"/>
    <w:rsid w:val="00A90F3A"/>
    <w:rsid w:val="00AA710D"/>
    <w:rsid w:val="00AB3066"/>
    <w:rsid w:val="00AB4C14"/>
    <w:rsid w:val="00AB611E"/>
    <w:rsid w:val="00AB7B8E"/>
    <w:rsid w:val="00AC0F58"/>
    <w:rsid w:val="00AC14A2"/>
    <w:rsid w:val="00AC4CA5"/>
    <w:rsid w:val="00AC6E60"/>
    <w:rsid w:val="00AD0E41"/>
    <w:rsid w:val="00AD31A1"/>
    <w:rsid w:val="00AD76C4"/>
    <w:rsid w:val="00AE3F6D"/>
    <w:rsid w:val="00AE5E7B"/>
    <w:rsid w:val="00AF10E0"/>
    <w:rsid w:val="00AF4DE5"/>
    <w:rsid w:val="00AF6669"/>
    <w:rsid w:val="00B05FC2"/>
    <w:rsid w:val="00B25686"/>
    <w:rsid w:val="00B307D3"/>
    <w:rsid w:val="00B32C19"/>
    <w:rsid w:val="00B32F56"/>
    <w:rsid w:val="00B33285"/>
    <w:rsid w:val="00B36C2C"/>
    <w:rsid w:val="00B406E3"/>
    <w:rsid w:val="00B5487B"/>
    <w:rsid w:val="00B76F2D"/>
    <w:rsid w:val="00B8153D"/>
    <w:rsid w:val="00B820E5"/>
    <w:rsid w:val="00B87DEA"/>
    <w:rsid w:val="00B91414"/>
    <w:rsid w:val="00B93868"/>
    <w:rsid w:val="00BA17F9"/>
    <w:rsid w:val="00BA1EE6"/>
    <w:rsid w:val="00BA4EBD"/>
    <w:rsid w:val="00BB01C9"/>
    <w:rsid w:val="00BB402D"/>
    <w:rsid w:val="00BB4DD3"/>
    <w:rsid w:val="00BB6FAF"/>
    <w:rsid w:val="00BB73D3"/>
    <w:rsid w:val="00BB7A46"/>
    <w:rsid w:val="00BC1A89"/>
    <w:rsid w:val="00BC38B2"/>
    <w:rsid w:val="00BE1352"/>
    <w:rsid w:val="00BE1601"/>
    <w:rsid w:val="00BE3929"/>
    <w:rsid w:val="00BE6BDC"/>
    <w:rsid w:val="00BF3715"/>
    <w:rsid w:val="00BF426A"/>
    <w:rsid w:val="00BF6DCC"/>
    <w:rsid w:val="00C008CD"/>
    <w:rsid w:val="00C027CB"/>
    <w:rsid w:val="00C028CE"/>
    <w:rsid w:val="00C03B9A"/>
    <w:rsid w:val="00C109AC"/>
    <w:rsid w:val="00C11981"/>
    <w:rsid w:val="00C24659"/>
    <w:rsid w:val="00C24948"/>
    <w:rsid w:val="00C279BE"/>
    <w:rsid w:val="00C34B23"/>
    <w:rsid w:val="00C405EB"/>
    <w:rsid w:val="00C40E27"/>
    <w:rsid w:val="00C50442"/>
    <w:rsid w:val="00C56743"/>
    <w:rsid w:val="00C5701C"/>
    <w:rsid w:val="00C57E63"/>
    <w:rsid w:val="00C61276"/>
    <w:rsid w:val="00C63247"/>
    <w:rsid w:val="00C67FD9"/>
    <w:rsid w:val="00C70711"/>
    <w:rsid w:val="00C76617"/>
    <w:rsid w:val="00C82116"/>
    <w:rsid w:val="00C82807"/>
    <w:rsid w:val="00C97F05"/>
    <w:rsid w:val="00CA1BE5"/>
    <w:rsid w:val="00CA3978"/>
    <w:rsid w:val="00CA4DC9"/>
    <w:rsid w:val="00CA6C7F"/>
    <w:rsid w:val="00CB49B0"/>
    <w:rsid w:val="00CC1787"/>
    <w:rsid w:val="00CC3C9E"/>
    <w:rsid w:val="00CC3EC5"/>
    <w:rsid w:val="00CC3F01"/>
    <w:rsid w:val="00CC4905"/>
    <w:rsid w:val="00CC4E68"/>
    <w:rsid w:val="00CD2D3D"/>
    <w:rsid w:val="00CD54EF"/>
    <w:rsid w:val="00CD55EB"/>
    <w:rsid w:val="00CD6272"/>
    <w:rsid w:val="00CE1FE0"/>
    <w:rsid w:val="00CE31DA"/>
    <w:rsid w:val="00CE337B"/>
    <w:rsid w:val="00CE4AC6"/>
    <w:rsid w:val="00CE6751"/>
    <w:rsid w:val="00D35EE7"/>
    <w:rsid w:val="00D373FA"/>
    <w:rsid w:val="00D40DE0"/>
    <w:rsid w:val="00D464C3"/>
    <w:rsid w:val="00D46B6D"/>
    <w:rsid w:val="00D64927"/>
    <w:rsid w:val="00D720D7"/>
    <w:rsid w:val="00D81961"/>
    <w:rsid w:val="00D87DBC"/>
    <w:rsid w:val="00D91816"/>
    <w:rsid w:val="00D923FD"/>
    <w:rsid w:val="00DA53FB"/>
    <w:rsid w:val="00DB62D8"/>
    <w:rsid w:val="00DD2F77"/>
    <w:rsid w:val="00DF0C3B"/>
    <w:rsid w:val="00DF37EB"/>
    <w:rsid w:val="00DF495F"/>
    <w:rsid w:val="00DF574D"/>
    <w:rsid w:val="00DF5F51"/>
    <w:rsid w:val="00E012B3"/>
    <w:rsid w:val="00E0267C"/>
    <w:rsid w:val="00E1348B"/>
    <w:rsid w:val="00E1458C"/>
    <w:rsid w:val="00E159AC"/>
    <w:rsid w:val="00E2573D"/>
    <w:rsid w:val="00E34E0D"/>
    <w:rsid w:val="00E41223"/>
    <w:rsid w:val="00E41B7A"/>
    <w:rsid w:val="00E64FFD"/>
    <w:rsid w:val="00E71FC5"/>
    <w:rsid w:val="00E76066"/>
    <w:rsid w:val="00E77764"/>
    <w:rsid w:val="00E86E5D"/>
    <w:rsid w:val="00E870F8"/>
    <w:rsid w:val="00EB2F65"/>
    <w:rsid w:val="00EB3925"/>
    <w:rsid w:val="00EB558B"/>
    <w:rsid w:val="00EB608A"/>
    <w:rsid w:val="00EC55FA"/>
    <w:rsid w:val="00EC6C49"/>
    <w:rsid w:val="00ED79E4"/>
    <w:rsid w:val="00ED7C06"/>
    <w:rsid w:val="00EF0539"/>
    <w:rsid w:val="00EF73D2"/>
    <w:rsid w:val="00F018A5"/>
    <w:rsid w:val="00F03866"/>
    <w:rsid w:val="00F05C8A"/>
    <w:rsid w:val="00F0628B"/>
    <w:rsid w:val="00F0725C"/>
    <w:rsid w:val="00F24906"/>
    <w:rsid w:val="00F31890"/>
    <w:rsid w:val="00F32C28"/>
    <w:rsid w:val="00F3344A"/>
    <w:rsid w:val="00F37A04"/>
    <w:rsid w:val="00F444DA"/>
    <w:rsid w:val="00F56F44"/>
    <w:rsid w:val="00F655EE"/>
    <w:rsid w:val="00F7199A"/>
    <w:rsid w:val="00F73EFE"/>
    <w:rsid w:val="00F75CB4"/>
    <w:rsid w:val="00F76057"/>
    <w:rsid w:val="00F768F1"/>
    <w:rsid w:val="00F905EB"/>
    <w:rsid w:val="00F954F7"/>
    <w:rsid w:val="00F968B0"/>
    <w:rsid w:val="00F9773B"/>
    <w:rsid w:val="00FA142A"/>
    <w:rsid w:val="00FB12A7"/>
    <w:rsid w:val="00FB1AAC"/>
    <w:rsid w:val="00FB4118"/>
    <w:rsid w:val="00FC26D9"/>
    <w:rsid w:val="00FC2C37"/>
    <w:rsid w:val="00FC34F9"/>
    <w:rsid w:val="00FC59FA"/>
    <w:rsid w:val="00FC5F69"/>
    <w:rsid w:val="00FD7B4C"/>
    <w:rsid w:val="00FE3758"/>
    <w:rsid w:val="00FE52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A3F445"/>
  <w15:docId w15:val="{A4E76A69-33E1-4972-89EC-FA5ECA3B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NMA Standard"/>
    <w:rsid w:val="00316E19"/>
    <w:pPr>
      <w:spacing w:line="260" w:lineRule="atLeast"/>
    </w:pPr>
    <w:rPr>
      <w:rFonts w:ascii="Arial" w:hAnsi="Arial"/>
      <w:lang w:val="fr-CH" w:eastAsia="fr-CH" w:bidi="fr-CH"/>
    </w:rPr>
  </w:style>
  <w:style w:type="paragraph" w:styleId="berschrift1">
    <w:name w:val="heading 1"/>
    <w:aliases w:val="FINMA Überschrift 1"/>
    <w:basedOn w:val="Standard"/>
    <w:next w:val="Standard"/>
    <w:qFormat/>
    <w:rsid w:val="00D87DBC"/>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Standard"/>
    <w:qFormat/>
    <w:rsid w:val="00D87DBC"/>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Standard"/>
    <w:qFormat/>
    <w:rsid w:val="00D87DBC"/>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Standard"/>
    <w:qFormat/>
    <w:rsid w:val="00D87DBC"/>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Standard"/>
    <w:qFormat/>
    <w:rsid w:val="00D87DBC"/>
    <w:pPr>
      <w:numPr>
        <w:ilvl w:val="4"/>
        <w:numId w:val="6"/>
      </w:numPr>
      <w:spacing w:before="360" w:after="240"/>
      <w:outlineLvl w:val="4"/>
    </w:pPr>
    <w:rPr>
      <w:bCs/>
      <w:szCs w:val="26"/>
    </w:rPr>
  </w:style>
  <w:style w:type="paragraph" w:styleId="berschrift6">
    <w:name w:val="heading 6"/>
    <w:aliases w:val="FINMA Überschrift 6"/>
    <w:basedOn w:val="Standard"/>
    <w:next w:val="Standard"/>
    <w:qFormat/>
    <w:rsid w:val="00D87DBC"/>
    <w:pPr>
      <w:numPr>
        <w:ilvl w:val="5"/>
        <w:numId w:val="6"/>
      </w:numPr>
      <w:spacing w:before="360" w:after="240"/>
      <w:outlineLvl w:val="5"/>
    </w:pPr>
    <w:rPr>
      <w:rFonts w:cs="Arial"/>
      <w:bCs/>
    </w:rPr>
  </w:style>
  <w:style w:type="paragraph" w:styleId="berschrift7">
    <w:name w:val="heading 7"/>
    <w:aliases w:val="FINMA Überschrift 7"/>
    <w:basedOn w:val="Standard"/>
    <w:next w:val="Standard"/>
    <w:qFormat/>
    <w:rsid w:val="00D87DBC"/>
    <w:pPr>
      <w:numPr>
        <w:ilvl w:val="6"/>
        <w:numId w:val="6"/>
      </w:numPr>
      <w:spacing w:before="360" w:after="240"/>
      <w:outlineLvl w:val="6"/>
    </w:pPr>
    <w:rPr>
      <w:rFonts w:cs="Arial"/>
      <w:bCs/>
      <w:szCs w:val="24"/>
    </w:rPr>
  </w:style>
  <w:style w:type="paragraph" w:styleId="berschrift8">
    <w:name w:val="heading 8"/>
    <w:aliases w:val="FINMA Überschrift 8"/>
    <w:basedOn w:val="Standard"/>
    <w:next w:val="Standard"/>
    <w:qFormat/>
    <w:rsid w:val="00D87DBC"/>
    <w:pPr>
      <w:numPr>
        <w:ilvl w:val="7"/>
        <w:numId w:val="6"/>
      </w:numPr>
      <w:spacing w:before="360" w:after="240"/>
      <w:outlineLvl w:val="7"/>
    </w:pPr>
    <w:rPr>
      <w:rFonts w:cs="Arial"/>
      <w:bCs/>
      <w:szCs w:val="24"/>
    </w:rPr>
  </w:style>
  <w:style w:type="paragraph" w:styleId="berschrift9">
    <w:name w:val="heading 9"/>
    <w:aliases w:val="FINMA Überschrift 9"/>
    <w:basedOn w:val="Standard"/>
    <w:next w:val="Standard"/>
    <w:qFormat/>
    <w:rsid w:val="00D87DBC"/>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NMA Anrede"/>
    <w:basedOn w:val="Standard"/>
    <w:next w:val="Standard"/>
    <w:link w:val="AnredeZchn"/>
    <w:rsid w:val="00D87DBC"/>
    <w:pPr>
      <w:spacing w:before="260" w:after="260"/>
    </w:pPr>
    <w:rPr>
      <w:noProof/>
    </w:rPr>
  </w:style>
  <w:style w:type="character" w:customStyle="1" w:styleId="AnredeZchn">
    <w:name w:val="Anrede Zchn"/>
    <w:aliases w:val="FINMA Anrede Zchn"/>
    <w:link w:val="Anrede"/>
    <w:rsid w:val="00D87DBC"/>
    <w:rPr>
      <w:rFonts w:ascii="Arial" w:hAnsi="Arial"/>
      <w:noProof/>
      <w:lang w:eastAsia="fr-CH"/>
    </w:rPr>
  </w:style>
  <w:style w:type="paragraph" w:customStyle="1" w:styleId="FINMAAufzhlungEbene1">
    <w:name w:val="FINMA Aufzählung Ebene 1"/>
    <w:basedOn w:val="Standard"/>
    <w:qFormat/>
    <w:rsid w:val="00483662"/>
    <w:pPr>
      <w:numPr>
        <w:numId w:val="1"/>
      </w:numPr>
      <w:spacing w:after="80"/>
    </w:pPr>
  </w:style>
  <w:style w:type="paragraph" w:customStyle="1" w:styleId="FINMAAufzhlungEbene2">
    <w:name w:val="FINMA Aufzählung Ebene 2"/>
    <w:basedOn w:val="Standard"/>
    <w:qFormat/>
    <w:rsid w:val="00483662"/>
    <w:pPr>
      <w:numPr>
        <w:numId w:val="2"/>
      </w:numPr>
      <w:tabs>
        <w:tab w:val="left" w:pos="312"/>
      </w:tabs>
      <w:spacing w:after="80"/>
      <w:ind w:left="765" w:hanging="357"/>
    </w:pPr>
  </w:style>
  <w:style w:type="paragraph" w:customStyle="1" w:styleId="FINMAAufzhlungEbene3">
    <w:name w:val="FINMA Aufzählung Ebene 3"/>
    <w:basedOn w:val="Standard"/>
    <w:qFormat/>
    <w:rsid w:val="00483662"/>
    <w:pPr>
      <w:numPr>
        <w:numId w:val="3"/>
      </w:numPr>
      <w:tabs>
        <w:tab w:val="left" w:pos="1038"/>
      </w:tabs>
      <w:spacing w:after="80"/>
      <w:ind w:left="1077" w:hanging="357"/>
    </w:pPr>
  </w:style>
  <w:style w:type="paragraph" w:customStyle="1" w:styleId="FINMAAufzhlungEbene4">
    <w:name w:val="FINMA Aufzählung Ebene 4"/>
    <w:basedOn w:val="FINMAAufzhlungEbene3"/>
    <w:rsid w:val="003051D1"/>
    <w:pPr>
      <w:numPr>
        <w:numId w:val="4"/>
      </w:numPr>
      <w:tabs>
        <w:tab w:val="clear" w:pos="1038"/>
        <w:tab w:val="left" w:pos="1315"/>
      </w:tabs>
      <w:ind w:left="1406" w:hanging="357"/>
    </w:pPr>
  </w:style>
  <w:style w:type="paragraph" w:customStyle="1" w:styleId="FINMABeilagen">
    <w:name w:val="FINMA Beilagen"/>
    <w:basedOn w:val="Standard"/>
    <w:next w:val="Standard"/>
    <w:rsid w:val="00D87DBC"/>
    <w:pPr>
      <w:tabs>
        <w:tab w:val="left" w:pos="1260"/>
      </w:tabs>
      <w:spacing w:before="840" w:after="260"/>
      <w:ind w:left="1259" w:hanging="1259"/>
    </w:pPr>
    <w:rPr>
      <w:szCs w:val="22"/>
    </w:rPr>
  </w:style>
  <w:style w:type="paragraph" w:customStyle="1" w:styleId="FINMABetreff">
    <w:name w:val="FINMA Betreff"/>
    <w:basedOn w:val="Standard"/>
    <w:rsid w:val="00D87DBC"/>
    <w:pPr>
      <w:spacing w:before="360"/>
    </w:pPr>
    <w:rPr>
      <w:rFonts w:cs="Arial"/>
      <w:b/>
      <w:szCs w:val="22"/>
    </w:rPr>
  </w:style>
  <w:style w:type="paragraph" w:customStyle="1" w:styleId="FINMAStandardAbsatz">
    <w:name w:val="FINMA Standard Absatz"/>
    <w:basedOn w:val="Standard"/>
    <w:qFormat/>
    <w:rsid w:val="00483662"/>
    <w:pPr>
      <w:spacing w:before="260" w:after="260"/>
    </w:pPr>
  </w:style>
  <w:style w:type="paragraph" w:customStyle="1" w:styleId="FINMAGeheim">
    <w:name w:val="FINMA Geheim"/>
    <w:basedOn w:val="FINMAStandardAbsatz"/>
    <w:next w:val="FINMAStandardAbsatz"/>
    <w:rsid w:val="00D87DBC"/>
    <w:pPr>
      <w:spacing w:after="0"/>
    </w:pPr>
    <w:rPr>
      <w:b/>
    </w:rPr>
  </w:style>
  <w:style w:type="paragraph" w:customStyle="1" w:styleId="FINMAGliederungEbene1">
    <w:name w:val="FINMA Gliederung Ebene 1"/>
    <w:basedOn w:val="Standard"/>
    <w:qFormat/>
    <w:rsid w:val="00483662"/>
    <w:pPr>
      <w:numPr>
        <w:numId w:val="5"/>
      </w:numPr>
      <w:spacing w:after="80"/>
    </w:pPr>
    <w:rPr>
      <w:rFonts w:cs="Arial"/>
      <w:szCs w:val="22"/>
    </w:rPr>
  </w:style>
  <w:style w:type="paragraph" w:customStyle="1" w:styleId="FINMAGliederungEbene2">
    <w:name w:val="FINMA Gliederung Ebene 2"/>
    <w:basedOn w:val="Standard"/>
    <w:qFormat/>
    <w:rsid w:val="00483662"/>
    <w:pPr>
      <w:numPr>
        <w:ilvl w:val="1"/>
        <w:numId w:val="5"/>
      </w:numPr>
      <w:spacing w:after="80"/>
    </w:pPr>
    <w:rPr>
      <w:rFonts w:cs="Arial"/>
      <w:szCs w:val="22"/>
    </w:rPr>
  </w:style>
  <w:style w:type="paragraph" w:customStyle="1" w:styleId="FINMAGliederungEbene3">
    <w:name w:val="FINMA Gliederung Ebene 3"/>
    <w:basedOn w:val="Standard"/>
    <w:qFormat/>
    <w:rsid w:val="00483662"/>
    <w:pPr>
      <w:numPr>
        <w:ilvl w:val="2"/>
        <w:numId w:val="5"/>
      </w:numPr>
      <w:spacing w:after="80"/>
    </w:pPr>
    <w:rPr>
      <w:rFonts w:cs="Arial"/>
      <w:szCs w:val="22"/>
    </w:rPr>
  </w:style>
  <w:style w:type="paragraph" w:customStyle="1" w:styleId="FINMAGliederungEbene4">
    <w:name w:val="FINMA Gliederung Ebene 4"/>
    <w:basedOn w:val="Standard"/>
    <w:rsid w:val="00483662"/>
    <w:pPr>
      <w:numPr>
        <w:ilvl w:val="3"/>
        <w:numId w:val="5"/>
      </w:numPr>
      <w:spacing w:after="80"/>
    </w:pPr>
    <w:rPr>
      <w:rFonts w:cs="Arial"/>
      <w:szCs w:val="22"/>
    </w:rPr>
  </w:style>
  <w:style w:type="paragraph" w:customStyle="1" w:styleId="FINMAGrussformelFINMA">
    <w:name w:val="FINMA Grussformel FINMA"/>
    <w:basedOn w:val="Standard"/>
    <w:next w:val="FINMABeilagen"/>
    <w:rsid w:val="00D87DBC"/>
    <w:pPr>
      <w:tabs>
        <w:tab w:val="left" w:pos="5400"/>
      </w:tabs>
      <w:spacing w:before="520"/>
    </w:pPr>
    <w:rPr>
      <w:rFonts w:cs="Arial"/>
      <w:szCs w:val="22"/>
    </w:rPr>
  </w:style>
  <w:style w:type="paragraph" w:customStyle="1" w:styleId="FINMAKopie">
    <w:name w:val="FINMA Kopie"/>
    <w:basedOn w:val="FINMAStandardAbsatz"/>
    <w:next w:val="Standard"/>
    <w:rsid w:val="00D87DBC"/>
    <w:pPr>
      <w:tabs>
        <w:tab w:val="left" w:pos="1260"/>
      </w:tabs>
      <w:spacing w:after="0"/>
      <w:ind w:left="1259" w:hanging="1259"/>
    </w:pPr>
  </w:style>
  <w:style w:type="paragraph" w:customStyle="1" w:styleId="FINMANameundFunktion">
    <w:name w:val="FINMA Name und Funktion"/>
    <w:basedOn w:val="Standard"/>
    <w:rsid w:val="00D87DBC"/>
  </w:style>
  <w:style w:type="paragraph" w:customStyle="1" w:styleId="FINMAReferenuValue">
    <w:name w:val="FINMA ReferenuValue"/>
    <w:basedOn w:val="Standard"/>
    <w:rsid w:val="00D87DBC"/>
    <w:rPr>
      <w:sz w:val="16"/>
    </w:rPr>
  </w:style>
  <w:style w:type="paragraph" w:customStyle="1" w:styleId="FINMAReferenz">
    <w:name w:val="FINMA Referenz"/>
    <w:basedOn w:val="Standard"/>
    <w:rsid w:val="00D87DBC"/>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D87DBC"/>
    <w:pPr>
      <w:framePr w:wrap="around"/>
    </w:pPr>
  </w:style>
  <w:style w:type="character" w:customStyle="1" w:styleId="FINMARf-AktnrZchn">
    <w:name w:val="FINMA Rf-Akt.nr. Zchn"/>
    <w:rsid w:val="00D87DBC"/>
    <w:rPr>
      <w:rFonts w:ascii="Arial" w:hAnsi="Arial"/>
      <w:sz w:val="16"/>
      <w:szCs w:val="16"/>
      <w:lang w:val="fr-CH" w:eastAsia="fr-CH" w:bidi="fr-CH"/>
    </w:rPr>
  </w:style>
  <w:style w:type="paragraph" w:customStyle="1" w:styleId="FINMAStandardAbsatznachAufzzeichen">
    <w:name w:val="FINMA Standard Absatz nach Aufz.zeichen"/>
    <w:basedOn w:val="FINMAStandardAbsatz"/>
    <w:next w:val="FINMAStandardAbsatz"/>
    <w:rsid w:val="00D87DBC"/>
  </w:style>
  <w:style w:type="paragraph" w:customStyle="1" w:styleId="FINMATabellemitAufzzeichen">
    <w:name w:val="FINMA Tabelle mit Aufz.zeichen"/>
    <w:basedOn w:val="Standard"/>
    <w:rsid w:val="00D87DBC"/>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D87DBC"/>
    <w:pPr>
      <w:widowControl w:val="0"/>
      <w:spacing w:before="60" w:after="60"/>
    </w:pPr>
    <w:rPr>
      <w:rFonts w:cs="Arial"/>
    </w:rPr>
  </w:style>
  <w:style w:type="paragraph" w:customStyle="1" w:styleId="FINMATabelleTitel">
    <w:name w:val="FINMA Tabelle Titel"/>
    <w:basedOn w:val="Standard"/>
    <w:next w:val="FINMATabellemitAufzzeichen"/>
    <w:rsid w:val="00D87DBC"/>
    <w:pPr>
      <w:spacing w:before="60" w:after="60"/>
    </w:pPr>
    <w:rPr>
      <w:b/>
      <w:bCs/>
      <w:szCs w:val="24"/>
    </w:rPr>
  </w:style>
  <w:style w:type="paragraph" w:customStyle="1" w:styleId="FINMATitel">
    <w:name w:val="FINMA Titel"/>
    <w:basedOn w:val="FINMAStandardAbsatz"/>
    <w:rsid w:val="001749D6"/>
    <w:rPr>
      <w:sz w:val="40"/>
    </w:rPr>
  </w:style>
  <w:style w:type="paragraph" w:customStyle="1" w:styleId="FINMAUntertitel">
    <w:name w:val="FINMA Untertitel"/>
    <w:basedOn w:val="Anrede"/>
    <w:rsid w:val="003E231A"/>
    <w:rPr>
      <w:sz w:val="36"/>
    </w:rPr>
  </w:style>
  <w:style w:type="paragraph" w:customStyle="1" w:styleId="FINMAVertraulichkeitsvermerk">
    <w:name w:val="FINMA Vertraulichkeitsvermerk"/>
    <w:basedOn w:val="Standard"/>
    <w:qFormat/>
    <w:rsid w:val="00D87DBC"/>
    <w:rPr>
      <w:b/>
      <w:sz w:val="16"/>
    </w:rPr>
  </w:style>
  <w:style w:type="paragraph" w:styleId="Fuzeile">
    <w:name w:val="footer"/>
    <w:aliases w:val="FINMA Fußzeile"/>
    <w:basedOn w:val="Standard"/>
    <w:link w:val="FuzeileZchn"/>
    <w:rsid w:val="00D87DBC"/>
    <w:pPr>
      <w:tabs>
        <w:tab w:val="right" w:pos="8618"/>
      </w:tabs>
    </w:pPr>
    <w:rPr>
      <w:sz w:val="16"/>
    </w:rPr>
  </w:style>
  <w:style w:type="character" w:customStyle="1" w:styleId="FuzeileZchn">
    <w:name w:val="Fußzeile Zchn"/>
    <w:aliases w:val="FINMA Fußzeile Zchn"/>
    <w:link w:val="Fuzeile"/>
    <w:rsid w:val="00D87DBC"/>
    <w:rPr>
      <w:rFonts w:ascii="Arial" w:hAnsi="Arial"/>
      <w:sz w:val="16"/>
      <w:lang w:eastAsia="fr-CH"/>
    </w:rPr>
  </w:style>
  <w:style w:type="paragraph" w:styleId="Kopfzeile">
    <w:name w:val="header"/>
    <w:aliases w:val="FINMA Kopfzeile"/>
    <w:basedOn w:val="Standard"/>
    <w:link w:val="KopfzeileZchn"/>
    <w:uiPriority w:val="99"/>
    <w:rsid w:val="00D87DBC"/>
    <w:pPr>
      <w:tabs>
        <w:tab w:val="center" w:pos="4536"/>
        <w:tab w:val="right" w:pos="9072"/>
      </w:tabs>
    </w:pPr>
  </w:style>
  <w:style w:type="character" w:customStyle="1" w:styleId="KopfzeileZchn">
    <w:name w:val="Kopfzeile Zchn"/>
    <w:aliases w:val="FINMA Kopfzeile Zchn"/>
    <w:link w:val="Kopfzeile"/>
    <w:uiPriority w:val="99"/>
    <w:rsid w:val="00D87DBC"/>
    <w:rPr>
      <w:rFonts w:ascii="Arial" w:hAnsi="Arial"/>
      <w:sz w:val="22"/>
      <w:lang w:eastAsia="fr-CH"/>
    </w:rPr>
  </w:style>
  <w:style w:type="paragraph" w:styleId="Verzeichnis1">
    <w:name w:val="toc 1"/>
    <w:basedOn w:val="Standard"/>
    <w:next w:val="Standard"/>
    <w:autoRedefine/>
    <w:rsid w:val="00D87DBC"/>
    <w:pPr>
      <w:tabs>
        <w:tab w:val="left" w:pos="360"/>
        <w:tab w:val="right" w:leader="dot" w:pos="8280"/>
      </w:tabs>
      <w:spacing w:before="480" w:after="240"/>
      <w:ind w:left="357" w:right="822" w:hanging="357"/>
    </w:pPr>
    <w:rPr>
      <w:rFonts w:cs="Arial"/>
      <w:b/>
      <w:bCs/>
      <w:noProof/>
      <w:szCs w:val="22"/>
    </w:rPr>
  </w:style>
  <w:style w:type="paragraph" w:styleId="Verzeichnis2">
    <w:name w:val="toc 2"/>
    <w:basedOn w:val="Standard"/>
    <w:next w:val="FINMAStandardAbsatz"/>
    <w:autoRedefine/>
    <w:rsid w:val="00D87DBC"/>
    <w:pPr>
      <w:tabs>
        <w:tab w:val="left" w:pos="900"/>
        <w:tab w:val="right" w:leader="dot" w:pos="8278"/>
      </w:tabs>
      <w:spacing w:after="120"/>
      <w:ind w:left="896" w:right="822" w:hanging="561"/>
    </w:pPr>
    <w:rPr>
      <w:rFonts w:cs="Arial"/>
      <w:iCs/>
      <w:noProof/>
    </w:rPr>
  </w:style>
  <w:style w:type="paragraph" w:styleId="Verzeichnis3">
    <w:name w:val="toc 3"/>
    <w:basedOn w:val="Standard"/>
    <w:next w:val="FINMAStandardAbsatz"/>
    <w:autoRedefine/>
    <w:rsid w:val="00D87DBC"/>
    <w:pPr>
      <w:tabs>
        <w:tab w:val="left" w:pos="1980"/>
        <w:tab w:val="right" w:leader="dot" w:pos="8278"/>
      </w:tabs>
      <w:spacing w:after="120"/>
      <w:ind w:left="1979" w:right="822" w:hanging="1077"/>
    </w:pPr>
    <w:rPr>
      <w:rFonts w:cs="Arial"/>
    </w:rPr>
  </w:style>
  <w:style w:type="paragraph" w:styleId="Verzeichnis4">
    <w:name w:val="toc 4"/>
    <w:basedOn w:val="Standard"/>
    <w:next w:val="FINMAStandardAbsatz"/>
    <w:autoRedefine/>
    <w:rsid w:val="00D87DBC"/>
    <w:pPr>
      <w:tabs>
        <w:tab w:val="left" w:pos="1980"/>
        <w:tab w:val="right" w:leader="dot" w:pos="8278"/>
      </w:tabs>
      <w:spacing w:after="120"/>
      <w:ind w:left="1979" w:right="822" w:hanging="1077"/>
    </w:pPr>
    <w:rPr>
      <w:rFonts w:cs="Arial"/>
    </w:rPr>
  </w:style>
  <w:style w:type="paragraph" w:styleId="Verzeichnis5">
    <w:name w:val="toc 5"/>
    <w:basedOn w:val="Standard"/>
    <w:next w:val="FINMAStandardAbsatz"/>
    <w:autoRedefine/>
    <w:rsid w:val="00D87DBC"/>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D87DBC"/>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D87DBC"/>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customStyle="1" w:styleId="FINMAGliederungEbene5">
    <w:name w:val="FINMA Gliederung Ebene 5"/>
    <w:basedOn w:val="Standard"/>
    <w:rsid w:val="00CC3C9E"/>
    <w:pPr>
      <w:numPr>
        <w:numId w:val="7"/>
      </w:numPr>
      <w:tabs>
        <w:tab w:val="left" w:pos="1004"/>
      </w:tabs>
      <w:spacing w:after="80" w:line="240" w:lineRule="auto"/>
      <w:outlineLvl w:val="4"/>
    </w:pPr>
    <w:rPr>
      <w:szCs w:val="16"/>
    </w:rPr>
  </w:style>
  <w:style w:type="paragraph" w:styleId="Sprechblasentext">
    <w:name w:val="Balloon Text"/>
    <w:basedOn w:val="Standard"/>
    <w:link w:val="SprechblasentextZchn"/>
    <w:rsid w:val="00413E4A"/>
    <w:pPr>
      <w:spacing w:line="240" w:lineRule="auto"/>
    </w:pPr>
    <w:rPr>
      <w:rFonts w:ascii="Tahoma" w:hAnsi="Tahoma" w:cs="Tahoma"/>
      <w:sz w:val="16"/>
      <w:szCs w:val="16"/>
    </w:rPr>
  </w:style>
  <w:style w:type="character" w:customStyle="1" w:styleId="SprechblasentextZchn">
    <w:name w:val="Sprechblasentext Zchn"/>
    <w:link w:val="Sprechblasentext"/>
    <w:rsid w:val="00413E4A"/>
    <w:rPr>
      <w:rFonts w:ascii="Tahoma" w:hAnsi="Tahoma" w:cs="Tahoma"/>
      <w:sz w:val="16"/>
      <w:szCs w:val="16"/>
      <w:lang w:val="fr-CH" w:eastAsia="fr-CH"/>
    </w:rPr>
  </w:style>
  <w:style w:type="table" w:styleId="Tabellenraster">
    <w:name w:val="Table Grid"/>
    <w:basedOn w:val="NormaleTabelle"/>
    <w:rsid w:val="008D11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NMAMarginalDocvalue">
    <w:name w:val="FINMA Marginal Docvalue"/>
    <w:basedOn w:val="Kopfzeile"/>
    <w:rsid w:val="00D81961"/>
    <w:pPr>
      <w:framePr w:w="2835" w:wrap="around" w:vAnchor="page" w:hAnchor="page" w:xAlign="right" w:y="1419" w:anchorLock="1"/>
      <w:spacing w:after="120" w:line="180" w:lineRule="exact"/>
    </w:pPr>
    <w:rPr>
      <w:sz w:val="15"/>
    </w:rPr>
  </w:style>
  <w:style w:type="paragraph" w:styleId="Listenabsatz">
    <w:name w:val="List Paragraph"/>
    <w:basedOn w:val="Standard"/>
    <w:uiPriority w:val="34"/>
    <w:qFormat/>
    <w:rsid w:val="00C61276"/>
    <w:pPr>
      <w:spacing w:before="60" w:after="60" w:line="276" w:lineRule="auto"/>
      <w:ind w:left="720"/>
      <w:contextualSpacing/>
    </w:pPr>
    <w:rPr>
      <w:rFonts w:eastAsia="Calibri"/>
      <w:szCs w:val="22"/>
    </w:rPr>
  </w:style>
  <w:style w:type="paragraph" w:customStyle="1" w:styleId="Bullet">
    <w:name w:val="Bullet"/>
    <w:basedOn w:val="Listenabsatz"/>
    <w:qFormat/>
    <w:rsid w:val="00C61276"/>
    <w:pPr>
      <w:spacing w:line="240" w:lineRule="auto"/>
      <w:ind w:left="0"/>
      <w:contextualSpacing w:val="0"/>
    </w:pPr>
    <w:rPr>
      <w:rFonts w:cs="Arial"/>
      <w:sz w:val="16"/>
      <w:szCs w:val="16"/>
    </w:rPr>
  </w:style>
  <w:style w:type="paragraph" w:styleId="Funotentext">
    <w:name w:val="footnote text"/>
    <w:basedOn w:val="Standard"/>
    <w:link w:val="FunotentextZchn"/>
    <w:uiPriority w:val="99"/>
    <w:semiHidden/>
    <w:unhideWhenUsed/>
    <w:rsid w:val="00C61276"/>
    <w:pPr>
      <w:spacing w:line="240" w:lineRule="auto"/>
    </w:pPr>
    <w:rPr>
      <w:rFonts w:eastAsia="Calibri"/>
    </w:rPr>
  </w:style>
  <w:style w:type="character" w:customStyle="1" w:styleId="FunotentextZchn">
    <w:name w:val="Fußnotentext Zchn"/>
    <w:link w:val="Funotentext"/>
    <w:uiPriority w:val="99"/>
    <w:semiHidden/>
    <w:rsid w:val="00C61276"/>
    <w:rPr>
      <w:rFonts w:ascii="Arial" w:eastAsia="Calibri" w:hAnsi="Arial"/>
      <w:lang w:eastAsia="fr-CH"/>
    </w:rPr>
  </w:style>
  <w:style w:type="character" w:styleId="Funotenzeichen">
    <w:name w:val="footnote reference"/>
    <w:uiPriority w:val="99"/>
    <w:semiHidden/>
    <w:unhideWhenUsed/>
    <w:rsid w:val="00C61276"/>
    <w:rPr>
      <w:vertAlign w:val="superscript"/>
    </w:rPr>
  </w:style>
  <w:style w:type="character" w:styleId="Kommentarzeichen">
    <w:name w:val="annotation reference"/>
    <w:semiHidden/>
    <w:unhideWhenUsed/>
    <w:rsid w:val="00AC14A2"/>
    <w:rPr>
      <w:sz w:val="16"/>
      <w:szCs w:val="16"/>
    </w:rPr>
  </w:style>
  <w:style w:type="paragraph" w:styleId="Kommentartext">
    <w:name w:val="annotation text"/>
    <w:basedOn w:val="Standard"/>
    <w:link w:val="KommentartextZchn"/>
    <w:semiHidden/>
    <w:unhideWhenUsed/>
    <w:rsid w:val="00AC14A2"/>
  </w:style>
  <w:style w:type="character" w:customStyle="1" w:styleId="KommentartextZchn">
    <w:name w:val="Kommentartext Zchn"/>
    <w:link w:val="Kommentartext"/>
    <w:semiHidden/>
    <w:rsid w:val="00AC14A2"/>
    <w:rPr>
      <w:rFonts w:ascii="Arial" w:hAnsi="Arial"/>
      <w:lang w:bidi="fr-CH"/>
    </w:rPr>
  </w:style>
  <w:style w:type="paragraph" w:styleId="Kommentarthema">
    <w:name w:val="annotation subject"/>
    <w:basedOn w:val="Kommentartext"/>
    <w:next w:val="Kommentartext"/>
    <w:link w:val="KommentarthemaZchn"/>
    <w:semiHidden/>
    <w:unhideWhenUsed/>
    <w:rsid w:val="00AC14A2"/>
    <w:rPr>
      <w:b/>
      <w:bCs/>
    </w:rPr>
  </w:style>
  <w:style w:type="character" w:customStyle="1" w:styleId="KommentarthemaZchn">
    <w:name w:val="Kommentarthema Zchn"/>
    <w:link w:val="Kommentarthema"/>
    <w:semiHidden/>
    <w:rsid w:val="00AC14A2"/>
    <w:rPr>
      <w:rFonts w:ascii="Arial" w:hAnsi="Arial"/>
      <w:b/>
      <w:bCs/>
      <w:lang w:bidi="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91849">
      <w:bodyDiv w:val="1"/>
      <w:marLeft w:val="0"/>
      <w:marRight w:val="0"/>
      <w:marTop w:val="0"/>
      <w:marBottom w:val="0"/>
      <w:divBdr>
        <w:top w:val="none" w:sz="0" w:space="0" w:color="auto"/>
        <w:left w:val="none" w:sz="0" w:space="0" w:color="auto"/>
        <w:bottom w:val="none" w:sz="0" w:space="0" w:color="auto"/>
        <w:right w:val="none" w:sz="0" w:space="0" w:color="auto"/>
      </w:divBdr>
    </w:div>
    <w:div w:id="112801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FinmaCaseDescription xmlns="e41ec083-eb60-4400-a1ca-8b175769cd15">Verantwortliche Koordination Prüfwesen (G01009336)</FinmaCaseDescription>
    <FinmaCaseID xmlns="e41ec083-eb60-4400-a1ca-8b175769cd15">G01009336</FinmaCaseID>
    <h5452bf913d342ef967d06fb0970c0a5 xmlns="e41ec083-eb60-4400-a1ca-8b175769cd15">
      <Terms xmlns="http://schemas.microsoft.com/office/infopath/2007/PartnerControls"/>
    </h5452bf913d342ef967d06fb0970c0a5>
    <_dlc_DocId xmlns="e41ec083-eb60-4400-a1ca-8b175769cd15">b164912-0047709</_dlc_DocId>
    <f6ac7f7711e24d149a1ab98f6cfad432 xmlns="e41ec083-eb60-4400-a1ca-8b175769cd15">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7439e81f-a110-4e88-a7af-acf8d4806223</TermId>
        </TermInfo>
      </Terms>
    </f6ac7f7711e24d149a1ab98f6cfad432>
    <FinmaObjectName xmlns="e41ec083-eb60-4400-a1ca-8b175769cd15">F00164912</FinmaObjectName>
    <FinmaDocumentDate xmlns="e41ec083-eb60-4400-a1ca-8b175769cd15">2020-04-22T06:53:30+00:00</FinmaDocumentDate>
    <Aktionswert xmlns="e41ec083-eb60-4400-a1ca-8b175769cd15" xsi:nil="true"/>
    <g1c9cab47ab34847b4ac830bba5063b0 xmlns="e41ec083-eb60-4400-a1ca-8b175769cd15">
      <Terms xmlns="http://schemas.microsoft.com/office/infopath/2007/PartnerControls"/>
    </g1c9cab47ab34847b4ac830bba5063b0>
    <FinmaObjectId xmlns="e41ec083-eb60-4400-a1ca-8b175769cd15">Eidgenössische Finanzmarktaufsicht FINMA (F00164912)</FinmaObjectId>
    <n1f5c6536ac648a38ad663cdf8bd44e6 xmlns="e41ec083-eb60-4400-a1ca-8b175769cd15">
      <Terms xmlns="http://schemas.microsoft.com/office/infopath/2007/PartnerControls"/>
    </n1f5c6536ac648a38ad663cdf8bd44e6>
    <TaxCatchAll xmlns="e41ec083-eb60-4400-a1ca-8b175769cd15">
      <Value>1</Value>
    </TaxCatchAll>
    <_dlc_DocIdUrl xmlns="e41ec083-eb60-4400-a1ca-8b175769cd15">
      <Url>http://dms.finma.ch/containers/164912/_layouts/DocIdRedir.aspx?ID=b164912-0047709</Url>
      <Description>b164912-0047709</Description>
    </_dlc_DocIdUrl>
    <FinmaPasswordProtected xmlns="e41ec083-eb60-4400-a1ca-8b175769cd15">false</FinmaPasswordProtected>
    <FinmaValidationDate xmlns="e41ec083-eb60-4400-a1ca-8b175769cd15">2020-04-22T06:53:31+00:00</FinmaValidationDate>
    <FinmaValidationResult xmlns="e41ec083-eb60-4400-a1ca-8b175769cd15" xsi:nil="true"/>
  </documentManagement>
</p:properties>
</file>

<file path=customXml/item2.xml><?xml version="1.0" encoding="utf-8"?>
<docugate xmlns="http://www.docugate.com/2014/dgxml" ResetInterfaceCacheAfterDocCreation="false" FreeDocumentSelection="true">
  <template doclanguage="Deutsch" id="" workflowdocumentid="f8ba1d52-560d-45fb-9901-1a5409497208">
    <docproperties>
      <saveaslocation>https://org.finma.ch/sites/8010-T/Dossiers/Suitability/Neue Prüfprogramme Suitability</saveaslocation>
      <dossier_id>8010-T-2-9515</dossier_id>
      <dossier_titel>Suitability</dossier_titel>
      <dossier_aktenzeichen>8010-T-2-9515 - 00 Allgemeines</dossier_aktenzeichen>
      <dossier_osp_nr>00</dossier_osp_nr>
      <dossier_kategorie>
      </dossier_kategorie>
      <geschaeft_id>
      </geschaeft_id>
      <geschaeft_federfuehrende_oe>M-GWS</geschaeft_federfuehrende_oe>
      <geschaeft_datum_eroeffnen>
      </geschaeft_datum_eroeffnen>
      <aktionsname/>
      <aktionswert/>
      <addresses/>
    </docproperties>
  </template>
</docugate>
</file>

<file path=customXml/item3.xml><?xml version="1.0" encoding="utf-8"?>
<LongProperties xmlns="http://schemas.microsoft.com/office/2006/metadata/longProperties"/>
</file>

<file path=customXml/item4.xml><?xml version="1.0" encoding="utf-8"?>
<document xmlns="http://www.docugate.com/2015/docugatedatastorexml">
  <snapins xmlns=""/>
</document>
</file>

<file path=customXml/item5.xml><?xml version="1.0" encoding="utf-8"?>
<?mso-contentType ?>
<FormUrls xmlns="http://schemas.microsoft.com/sharepoint/v3/contenttype/forms/url">
  <Edit>_layouts/finma.portal.dms/EditFinmaDocumentProperties.aspx</Edit>
</FormUrls>
</file>

<file path=customXml/item6.xml><?xml version="1.0" encoding="utf-8"?>
<?mso-contentType ?>
<SharedContentType xmlns="Microsoft.SharePoint.Taxonomy.ContentTypeSync" SourceId="b0c6d588-e963-47ff-a8de-5cb02962fb18" ContentTypeId="0x0101004F8CB72C5020684296180AE4B309ADAF" PreviousValue="false"/>
</file>

<file path=customXml/item7.xml><?xml version="1.0" encoding="utf-8"?>
<ct:contentTypeSchema xmlns:ct="http://schemas.microsoft.com/office/2006/metadata/contentType" xmlns:ma="http://schemas.microsoft.com/office/2006/metadata/properties/metaAttributes" ct:_="" ma:_="" ma:contentTypeName="GDok Document" ma:contentTypeID="0x0101003A499141982C43AFAF241BDE541C18D500F5B3EB93A2E6FC40BDA27E9A03F99C52" ma:contentTypeVersion="18" ma:contentTypeDescription="Create a new document." ma:contentTypeScope="" ma:versionID="04eebac017c0ff8e67ba2371f1f5ae67">
  <xsd:schema xmlns:xsd="http://www.w3.org/2001/XMLSchema" xmlns:xs="http://www.w3.org/2001/XMLSchema" xmlns:p="http://schemas.microsoft.com/office/2006/metadata/properties" xmlns:ns2="e41ec083-eb60-4400-a1ca-8b175769cd15" targetNamespace="http://schemas.microsoft.com/office/2006/metadata/properties" ma:root="true" ma:fieldsID="717c16d44b7eff26d5d25af0687c82f9" ns2:_="">
    <xsd:import namespace="e41ec083-eb60-4400-a1ca-8b175769cd15"/>
    <xsd:element name="properties">
      <xsd:complexType>
        <xsd:sequence>
          <xsd:element name="documentManagement">
            <xsd:complexType>
              <xsd:all>
                <xsd:element ref="ns2:_dlc_DocId" minOccurs="0"/>
                <xsd:element ref="ns2:_dlc_DocIdUrl" minOccurs="0"/>
                <xsd:element ref="ns2:_dlc_DocIdPersistId" minOccurs="0"/>
                <xsd:element ref="ns2:FinmaDocumentDate" minOccurs="0"/>
                <xsd:element ref="ns2:FinmaCaseDescription" minOccurs="0"/>
                <xsd:element ref="ns2:f6ac7f7711e24d149a1ab98f6cfad432" minOccurs="0"/>
                <xsd:element ref="ns2:TaxCatchAll" minOccurs="0"/>
                <xsd:element ref="ns2:TaxCatchAllLabel" minOccurs="0"/>
                <xsd:element ref="ns2:FinmaCaseID" minOccurs="0"/>
                <xsd:element ref="ns2:g1c9cab47ab34847b4ac830bba5063b0" minOccurs="0"/>
                <xsd:element ref="ns2:h5452bf913d342ef967d06fb0970c0a5" minOccurs="0"/>
                <xsd:element ref="ns2:n1f5c6536ac648a38ad663cdf8bd44e6" minOccurs="0"/>
                <xsd:element ref="ns2:FinmaPasswordProtected" minOccurs="0"/>
                <xsd:element ref="ns2:FinmaValidationDate" minOccurs="0"/>
                <xsd:element ref="ns2:FinmaValidationResult" minOccurs="0"/>
                <xsd:element ref="ns2:FinmaObjectId" minOccurs="0"/>
                <xsd:element ref="ns2:FinmaObjectName" minOccurs="0"/>
                <xsd:element ref="ns2:Aktionsw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ec083-eb60-4400-a1ca-8b175769c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maDocumentDate" ma:index="11" nillable="true" ma:displayName="Dokument Datum" ma:format="DateOnly" ma:internalName="FinmaDocumentDate">
      <xsd:simpleType>
        <xsd:restriction base="dms:DateTime"/>
      </xsd:simpleType>
    </xsd:element>
    <xsd:element name="FinmaCaseDescription" ma:index="12" nillable="true" ma:displayName="Geschäfts Bezeichnung" ma:default="Verantwortliche Koordination Prüfwesen (G01009336)" ma:internalName="FinmaCaseDescription">
      <xsd:simpleType>
        <xsd:restriction base="dms:Text">
          <xsd:maxLength value="255"/>
        </xsd:restriction>
      </xsd:simpleType>
    </xsd:element>
    <xsd:element name="f6ac7f7711e24d149a1ab98f6cfad432" ma:index="13" nillable="true" ma:taxonomy="true" ma:internalName="f6ac7f7711e24d149a1ab98f6cfad432" ma:taxonomyFieldName="FinmaCaseStatus" ma:displayName="Geschäfts Status" ma:default="1;#Aktiv|7439e81f-a110-4e88-a7af-acf8d4806223" ma:fieldId="{f6ac7f77-11e2-4d14-9a1a-b98f6cfad432}" ma:sspId="1614e331-078d-4830-aac2-889f77d1de05" ma:termSetId="fbd22871-fe11-4cfd-b99d-0f5fc7eae3c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feb4887-3879-4340-9b30-50fa0091cdea}" ma:internalName="TaxCatchAll" ma:showField="CatchAllData"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feb4887-3879-4340-9b30-50fa0091cdea}" ma:internalName="TaxCatchAllLabel" ma:readOnly="true" ma:showField="CatchAllDataLabel"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FinmaCaseID" ma:index="17" nillable="true" ma:displayName="Geschäfts ID" ma:default="G01009336" ma:internalName="FinmaCaseID">
      <xsd:simpleType>
        <xsd:restriction base="dms:Text">
          <xsd:maxLength value="255"/>
        </xsd:restriction>
      </xsd:simpleType>
    </xsd:element>
    <xsd:element name="g1c9cab47ab34847b4ac830bba5063b0" ma:index="18" nillable="true" ma:taxonomy="true" ma:internalName="g1c9cab47ab34847b4ac830bba5063b0" ma:taxonomyFieldName="FinmaCatchphrases" ma:displayName="Schlagwort" ma:fieldId="{01c9cab4-7ab3-4847-b4ac-830bba5063b0}" ma:taxonomyMulti="true" ma:sspId="1614e331-078d-4830-aac2-889f77d1de05" ma:termSetId="35ed469d-bfb4-4e58-83fd-01918edae149" ma:anchorId="00000000-0000-0000-0000-000000000000" ma:open="false" ma:isKeyword="false">
      <xsd:complexType>
        <xsd:sequence>
          <xsd:element ref="pc:Terms" minOccurs="0" maxOccurs="1"/>
        </xsd:sequence>
      </xsd:complexType>
    </xsd:element>
    <xsd:element name="h5452bf913d342ef967d06fb0970c0a5" ma:index="20" nillable="true" ma:taxonomy="true" ma:internalName="h5452bf913d342ef967d06fb0970c0a5" ma:taxonomyFieldName="FinmaCategory" ma:displayName="Kategorie" ma:fieldId="{15452bf9-13d3-42ef-967d-06fb0970c0a5}" ma:sspId="1614e331-078d-4830-aac2-889f77d1de05" ma:termSetId="76a2fa96-3e9b-4d62-901d-d1895154867f" ma:anchorId="de8e377e-5092-4bcb-9739-6ef0d154a6b9" ma:open="false" ma:isKeyword="false">
      <xsd:complexType>
        <xsd:sequence>
          <xsd:element ref="pc:Terms" minOccurs="0" maxOccurs="1"/>
        </xsd:sequence>
      </xsd:complexType>
    </xsd:element>
    <xsd:element name="n1f5c6536ac648a38ad663cdf8bd44e6" ma:index="22" nillable="true" ma:taxonomy="true" ma:internalName="n1f5c6536ac648a38ad663cdf8bd44e6" ma:taxonomyFieldName="FinmaCrmEntityIDs" ma:displayName="CRM Verknüpfung IDs" ma:fieldId="{71f5c653-6ac6-48a3-8ad6-63cdf8bd44e6}" ma:taxonomyMulti="true" ma:sspId="1614e331-078d-4830-aac2-889f77d1de05" ma:termSetId="007556a7-71c6-4a46-9c24-71f35aa16e93" ma:anchorId="fc6e2f94-ec5b-4b25-829d-c96b59440ef4" ma:open="true" ma:isKeyword="false">
      <xsd:complexType>
        <xsd:sequence>
          <xsd:element ref="pc:Terms" minOccurs="0" maxOccurs="1"/>
        </xsd:sequence>
      </xsd:complexType>
    </xsd:element>
    <xsd:element name="FinmaPasswordProtected" ma:index="24" nillable="true" ma:displayName="Passwortgeschützt" ma:internalName="FinmaPasswordProtected">
      <xsd:simpleType>
        <xsd:restriction base="dms:Boolean"/>
      </xsd:simpleType>
    </xsd:element>
    <xsd:element name="FinmaValidationDate" ma:index="25" nillable="true" ma:displayName="Prüfzeitpunkt" ma:format="DateTime" ma:internalName="FinmaValidationDate">
      <xsd:simpleType>
        <xsd:restriction base="dms:DateTime"/>
      </xsd:simpleType>
    </xsd:element>
    <xsd:element name="FinmaValidationResult" ma:index="27" nillable="true" ma:displayName="ValidationResults" ma:internalName="FinmaValidationResult">
      <xsd:simpleType>
        <xsd:restriction base="dms:Note">
          <xsd:maxLength value="255"/>
        </xsd:restriction>
      </xsd:simpleType>
    </xsd:element>
    <xsd:element name="FinmaObjectId" ma:index="28" nillable="true" ma:displayName="Finma Objekt ID" ma:default="Eidgenössische Finanzmarktaufsicht FINMA (F00164912)" ma:internalName="FinmaObjectId">
      <xsd:simpleType>
        <xsd:restriction base="dms:Text">
          <xsd:maxLength value="255"/>
        </xsd:restriction>
      </xsd:simpleType>
    </xsd:element>
    <xsd:element name="FinmaObjectName" ma:index="29" nillable="true" ma:displayName="Finma Objekt Bezeichnung" ma:default="F00164912" ma:internalName="FinmaObjectName">
      <xsd:simpleType>
        <xsd:restriction base="dms:Text">
          <xsd:maxLength value="255"/>
        </xsd:restriction>
      </xsd:simpleType>
    </xsd:element>
    <xsd:element name="Aktionswert" ma:index="30" nillable="true" ma:displayName="Aktionswert" ma:hidden="true" ma:internalName="Aktionswer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E66BE-3E4F-46B9-A41F-51C9C8C1E2DD}"/>
</file>

<file path=customXml/itemProps2.xml><?xml version="1.0" encoding="utf-8"?>
<ds:datastoreItem xmlns:ds="http://schemas.openxmlformats.org/officeDocument/2006/customXml" ds:itemID="{B32A4229-55F6-47E4-B1D4-5942CB2268A9}"/>
</file>

<file path=customXml/itemProps3.xml><?xml version="1.0" encoding="utf-8"?>
<ds:datastoreItem xmlns:ds="http://schemas.openxmlformats.org/officeDocument/2006/customXml" ds:itemID="{D0272FAD-7917-4601-8D6A-FED6245B8F69}"/>
</file>

<file path=customXml/itemProps4.xml><?xml version="1.0" encoding="utf-8"?>
<ds:datastoreItem xmlns:ds="http://schemas.openxmlformats.org/officeDocument/2006/customXml" ds:itemID="{EC893462-BCF8-49DB-8C4B-B97C916AEED5}"/>
</file>

<file path=customXml/itemProps5.xml><?xml version="1.0" encoding="utf-8"?>
<ds:datastoreItem xmlns:ds="http://schemas.openxmlformats.org/officeDocument/2006/customXml" ds:itemID="{8CBC4D34-883E-4FC8-9DA7-F915FFFEDCD7}"/>
</file>

<file path=customXml/itemProps6.xml><?xml version="1.0" encoding="utf-8"?>
<ds:datastoreItem xmlns:ds="http://schemas.openxmlformats.org/officeDocument/2006/customXml" ds:itemID="{43DA69AF-BDB3-41BB-8D55-DDE9B3421C10}"/>
</file>

<file path=customXml/itemProps7.xml><?xml version="1.0" encoding="utf-8"?>
<ds:datastoreItem xmlns:ds="http://schemas.openxmlformats.org/officeDocument/2006/customXml" ds:itemID="{7E704E2B-8910-4609-A18F-A62A69A84383}"/>
</file>

<file path=customXml/itemProps8.xml><?xml version="1.0" encoding="utf-8"?>
<ds:datastoreItem xmlns:ds="http://schemas.openxmlformats.org/officeDocument/2006/customXml" ds:itemID="{7E2D7D23-4C47-4720-BDEE-ED6D52566168}"/>
</file>

<file path=customXml/itemProps9.xml><?xml version="1.0" encoding="utf-8"?>
<ds:datastoreItem xmlns:ds="http://schemas.openxmlformats.org/officeDocument/2006/customXml" ds:itemID="{6604E0D4-4AB2-4E6A-A12E-F0597DE54EF8}"/>
</file>

<file path=docProps/app.xml><?xml version="1.0" encoding="utf-8"?>
<Properties xmlns="http://schemas.openxmlformats.org/officeDocument/2006/extended-properties" xmlns:vt="http://schemas.openxmlformats.org/officeDocument/2006/docPropsVTypes">
  <Template>Normal.dotm</Template>
  <TotalTime>0</TotalTime>
  <Pages>13</Pages>
  <Words>2933</Words>
  <Characters>17342</Characters>
  <Application>Microsoft Office Word</Application>
  <DocSecurity>0</DocSecurity>
  <Lines>144</Lines>
  <Paragraphs>40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Suitability</vt:lpstr>
      <vt:lpstr>Suitability</vt:lpstr>
      <vt:lpstr>Suitability</vt:lpstr>
    </vt:vector>
  </TitlesOfParts>
  <Company>FINMA</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Suitability</dc:title>
  <dc:subject/>
  <dc:creator>Grüninger Isabel</dc:creator>
  <cp:keywords/>
  <cp:lastModifiedBy>Gatschet Marcel</cp:lastModifiedBy>
  <cp:revision>2</cp:revision>
  <cp:lastPrinted>2017-02-21T14:10:00Z</cp:lastPrinted>
  <dcterms:created xsi:type="dcterms:W3CDTF">2020-04-22T06:53:00Z</dcterms:created>
  <dcterms:modified xsi:type="dcterms:W3CDTF">2020-04-22T06:53:00Z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lagwort">
    <vt:lpwstr/>
  </property>
  <property fmtid="{D5CDD505-2E9C-101B-9397-08002B2CF9AE}" pid="3" name="Ordnungsposition">
    <vt:lpwstr>18</vt:lpwstr>
  </property>
  <property fmtid="{D5CDD505-2E9C-101B-9397-08002B2CF9AE}" pid="4" name="Schlagwort_SPPSTextValue">
    <vt:lpwstr/>
  </property>
  <property fmtid="{D5CDD505-2E9C-101B-9397-08002B2CF9AE}" pid="5" name="Kategorie_SPPSTextValue">
    <vt:lpwstr/>
  </property>
  <property fmtid="{D5CDD505-2E9C-101B-9397-08002B2CF9AE}" pid="6" name="firma_adresse1">
    <vt:lpwstr>Laupenstrasse 27</vt:lpwstr>
  </property>
  <property fmtid="{D5CDD505-2E9C-101B-9397-08002B2CF9AE}" pid="7" name="firma_beschreibung">
    <vt:lpwstr>Eidgenössische Finanzmarktaufsicht FINMA (Bern)</vt:lpwstr>
  </property>
  <property fmtid="{D5CDD505-2E9C-101B-9397-08002B2CF9AE}" pid="8" name="firma_mail">
    <vt:lpwstr>info@finma.ch</vt:lpwstr>
  </property>
  <property fmtid="{D5CDD505-2E9C-101B-9397-08002B2CF9AE}" pid="9" name="firma_sourceid">
    <vt:lpwstr>2</vt:lpwstr>
  </property>
  <property fmtid="{D5CDD505-2E9C-101B-9397-08002B2CF9AE}" pid="10" name="firma_internet">
    <vt:lpwstr>www.finma.ch</vt:lpwstr>
  </property>
  <property fmtid="{D5CDD505-2E9C-101B-9397-08002B2CF9AE}" pid="11" name="firma_logo">
    <vt:lpwstr>Logo.jpg</vt:lpwstr>
  </property>
  <property fmtid="{D5CDD505-2E9C-101B-9397-08002B2CF9AE}" pid="12" name="firma_name_de">
    <vt:lpwstr>Eidgenössische Finanzmarktaufsicht FINMA</vt:lpwstr>
  </property>
  <property fmtid="{D5CDD505-2E9C-101B-9397-08002B2CF9AE}" pid="13" name="firma_name_en">
    <vt:lpwstr>Swiss Financial Market Supervisory Authority FINMA</vt:lpwstr>
  </property>
  <property fmtid="{D5CDD505-2E9C-101B-9397-08002B2CF9AE}" pid="14" name="firma_name_fr">
    <vt:lpwstr>Autorité fédérale de surveillance des marchés financiers FINMA</vt:lpwstr>
  </property>
  <property fmtid="{D5CDD505-2E9C-101B-9397-08002B2CF9AE}" pid="15" name="firma_name_it">
    <vt:lpwstr>Autorità federale di vigilanza sui mercati finanziari FINMA</vt:lpwstr>
  </property>
  <property fmtid="{D5CDD505-2E9C-101B-9397-08002B2CF9AE}" pid="16" name="firma_ort_fr">
    <vt:lpwstr>Berne</vt:lpwstr>
  </property>
  <property fmtid="{D5CDD505-2E9C-101B-9397-08002B2CF9AE}" pid="17" name="firma_ort_en">
    <vt:lpwstr>Bern</vt:lpwstr>
  </property>
  <property fmtid="{D5CDD505-2E9C-101B-9397-08002B2CF9AE}" pid="18" name="firma_ort_de">
    <vt:lpwstr>Bern</vt:lpwstr>
  </property>
  <property fmtid="{D5CDD505-2E9C-101B-9397-08002B2CF9AE}" pid="19" name="firma_ort_it">
    <vt:lpwstr>Berna</vt:lpwstr>
  </property>
  <property fmtid="{D5CDD505-2E9C-101B-9397-08002B2CF9AE}" pid="20" name="firma_plz">
    <vt:lpwstr>3003</vt:lpwstr>
  </property>
  <property fmtid="{D5CDD505-2E9C-101B-9397-08002B2CF9AE}" pid="21" name="firma_telefax">
    <vt:lpwstr>+41 (0)31 327 91 01</vt:lpwstr>
  </property>
  <property fmtid="{D5CDD505-2E9C-101B-9397-08002B2CF9AE}" pid="22" name="firma_telefon">
    <vt:lpwstr>+41 (0)31 327 91 00</vt:lpwstr>
  </property>
  <property fmtid="{D5CDD505-2E9C-101B-9397-08002B2CF9AE}" pid="23" name="firma_adresse2">
    <vt:lpwstr/>
  </property>
  <property fmtid="{D5CDD505-2E9C-101B-9397-08002B2CF9AE}" pid="24" name="firma_adresse3">
    <vt:lpwstr/>
  </property>
  <property fmtid="{D5CDD505-2E9C-101B-9397-08002B2CF9AE}" pid="25" name="interfacelanguage">
    <vt:lpwstr>Deutsch</vt:lpwstr>
  </property>
  <property fmtid="{D5CDD505-2E9C-101B-9397-08002B2CF9AE}" pid="26" name="saveaslocation">
    <vt:lpwstr>https://org.finma.ch/sites/8010-T/Dossiers/Suitability/Neue Prüfprogramme Suitability</vt:lpwstr>
  </property>
  <property fmtid="{D5CDD505-2E9C-101B-9397-08002B2CF9AE}" pid="27" name="dossier_id">
    <vt:lpwstr>8010-T-2-9515</vt:lpwstr>
  </property>
  <property fmtid="{D5CDD505-2E9C-101B-9397-08002B2CF9AE}" pid="28" name="dossier_titel">
    <vt:lpwstr>Suitability</vt:lpwstr>
  </property>
  <property fmtid="{D5CDD505-2E9C-101B-9397-08002B2CF9AE}" pid="29" name="dossier_aktenzeichen">
    <vt:lpwstr>8010-T-2-9515 - 00 Allgemeines</vt:lpwstr>
  </property>
  <property fmtid="{D5CDD505-2E9C-101B-9397-08002B2CF9AE}" pid="30" name="dossier_osp_nr">
    <vt:lpwstr>00</vt:lpwstr>
  </property>
  <property fmtid="{D5CDD505-2E9C-101B-9397-08002B2CF9AE}" pid="31" name="dossier_kategorie">
    <vt:lpwstr/>
  </property>
  <property fmtid="{D5CDD505-2E9C-101B-9397-08002B2CF9AE}" pid="32" name="geschaeft_id">
    <vt:lpwstr/>
  </property>
  <property fmtid="{D5CDD505-2E9C-101B-9397-08002B2CF9AE}" pid="33" name="geschaeft_federfuehrende_oe">
    <vt:lpwstr>M-GWS</vt:lpwstr>
  </property>
  <property fmtid="{D5CDD505-2E9C-101B-9397-08002B2CF9AE}" pid="34" name="geschaeft_datum_eroeffnen">
    <vt:lpwstr/>
  </property>
  <property fmtid="{D5CDD505-2E9C-101B-9397-08002B2CF9AE}" pid="35" name="addresses">
    <vt:lpwstr/>
  </property>
  <property fmtid="{D5CDD505-2E9C-101B-9397-08002B2CF9AE}" pid="36" name="interfacetemplates">
    <vt:lpwstr>False</vt:lpwstr>
  </property>
  <property fmtid="{D5CDD505-2E9C-101B-9397-08002B2CF9AE}" pid="37" name="dginterfacecreated">
    <vt:lpwstr>1</vt:lpwstr>
  </property>
  <property fmtid="{D5CDD505-2E9C-101B-9397-08002B2CF9AE}" pid="38" name="interfacename">
    <vt:lpwstr/>
  </property>
  <property fmtid="{D5CDD505-2E9C-101B-9397-08002B2CF9AE}" pid="39" name="convertername">
    <vt:lpwstr/>
  </property>
  <property fmtid="{D5CDD505-2E9C-101B-9397-08002B2CF9AE}" pid="40" name="templateid">
    <vt:lpwstr>6ba43420-4e17-4865-99bd-44e472444406</vt:lpwstr>
  </property>
  <property fmtid="{D5CDD505-2E9C-101B-9397-08002B2CF9AE}" pid="41" name="templateexternalid">
    <vt:lpwstr>6ba43420-4e17-4865-99bd-44e472444406</vt:lpwstr>
  </property>
  <property fmtid="{D5CDD505-2E9C-101B-9397-08002B2CF9AE}" pid="42" name="languagekey">
    <vt:lpwstr>DE</vt:lpwstr>
  </property>
  <property fmtid="{D5CDD505-2E9C-101B-9397-08002B2CF9AE}" pid="43" name="taskpaneguid">
    <vt:lpwstr>e062705d-48e3-40ee-a271-27a100863c07</vt:lpwstr>
  </property>
  <property fmtid="{D5CDD505-2E9C-101B-9397-08002B2CF9AE}" pid="44" name="taskpaneenablemanually">
    <vt:lpwstr>Manually</vt:lpwstr>
  </property>
  <property fmtid="{D5CDD505-2E9C-101B-9397-08002B2CF9AE}" pid="45" name="templatename">
    <vt:lpwstr>Neutral quer</vt:lpwstr>
  </property>
  <property fmtid="{D5CDD505-2E9C-101B-9397-08002B2CF9AE}" pid="46" name="docugatedocumenthasdatastore">
    <vt:lpwstr>True</vt:lpwstr>
  </property>
  <property fmtid="{D5CDD505-2E9C-101B-9397-08002B2CF9AE}" pid="47" name="templatedisplayname">
    <vt:lpwstr>Neutral quer</vt:lpwstr>
  </property>
  <property fmtid="{D5CDD505-2E9C-101B-9397-08002B2CF9AE}" pid="48" name="bkmod_000">
    <vt:lpwstr>0e86ee05-0a94-44ec-b57c-710f6e481b4b</vt:lpwstr>
  </property>
  <property fmtid="{D5CDD505-2E9C-101B-9397-08002B2CF9AE}" pid="49" name="tcg_mtc_000">
    <vt:lpwstr>0e86ee05-0a94-44ec-b57c-710f6e481b4b</vt:lpwstr>
  </property>
  <property fmtid="{D5CDD505-2E9C-101B-9397-08002B2CF9AE}" pid="50" name="dgworkflowid">
    <vt:lpwstr>a4cf857a-a368-42dd-98b0-f69fd073e380</vt:lpwstr>
  </property>
  <property fmtid="{D5CDD505-2E9C-101B-9397-08002B2CF9AE}" pid="51" name="docugatedocumentversion">
    <vt:lpwstr>5.9.18.1</vt:lpwstr>
  </property>
  <property fmtid="{D5CDD505-2E9C-101B-9397-08002B2CF9AE}" pid="52" name="docugatedocumentcreationpath">
    <vt:lpwstr>C:\Users\F11208\AppData\Local\Temp\Docugate\Documents\tnbkprc1.docx</vt:lpwstr>
  </property>
  <property fmtid="{D5CDD505-2E9C-101B-9397-08002B2CF9AE}" pid="53" name="Title">
    <vt:lpwstr>Suitability</vt:lpwstr>
  </property>
  <property fmtid="{D5CDD505-2E9C-101B-9397-08002B2CF9AE}" pid="54" name="Ordnungssystemposition">
    <vt:lpwstr>8010-T-2-9515 - 00 Allgemeines</vt:lpwstr>
  </property>
  <property fmtid="{D5CDD505-2E9C-101B-9397-08002B2CF9AE}" pid="55" name="Aktivität">
    <vt:lpwstr>&lt;NotFound&gt;</vt:lpwstr>
  </property>
  <property fmtid="{D5CDD505-2E9C-101B-9397-08002B2CF9AE}" pid="56" name="Aktenzeichen_SPPSTextValue">
    <vt:lpwstr>8010-T-2-9515 - 00 Allgemeines</vt:lpwstr>
  </property>
  <property fmtid="{D5CDD505-2E9C-101B-9397-08002B2CF9AE}" pid="57" name="Aktionswert_SPPSTextValue">
    <vt:lpwstr/>
  </property>
  <property fmtid="{D5CDD505-2E9C-101B-9397-08002B2CF9AE}" pid="58" name="Dossier Titel_SPPSTextValue">
    <vt:lpwstr>Suitability</vt:lpwstr>
  </property>
  <property fmtid="{D5CDD505-2E9C-101B-9397-08002B2CF9AE}" pid="59" name="Aktionsname_SPPSTextValue">
    <vt:lpwstr/>
  </property>
  <property fmtid="{D5CDD505-2E9C-101B-9397-08002B2CF9AE}" pid="60" name="Dossier Bezeichnung_SPPSTextValue">
    <vt:lpwstr>Suitability</vt:lpwstr>
  </property>
  <property fmtid="{D5CDD505-2E9C-101B-9397-08002B2CF9AE}" pid="61" name="Eröffnungsdatum_SPPSTextValue">
    <vt:lpwstr>01.01.1900 01:00:00</vt:lpwstr>
  </property>
  <property fmtid="{D5CDD505-2E9C-101B-9397-08002B2CF9AE}" pid="62" name="Dossier ID_SPPSTextValue">
    <vt:lpwstr>8010-T-2-9515</vt:lpwstr>
  </property>
  <property fmtid="{D5CDD505-2E9C-101B-9397-08002B2CF9AE}" pid="63" name="Document ID Value_SPPSTextValue">
    <vt:lpwstr>b1004961-0000568</vt:lpwstr>
  </property>
  <property fmtid="{D5CDD505-2E9C-101B-9397-08002B2CF9AE}" pid="64" name="Dokumentendatum_SPPSTextValue">
    <vt:lpwstr>01.01.1900 15:48:50</vt:lpwstr>
  </property>
  <property fmtid="{D5CDD505-2E9C-101B-9397-08002B2CF9AE}" pid="65" name="SharePointDocumentID">
    <vt:lpwstr>8010-T-2-9893</vt:lpwstr>
  </property>
  <property fmtid="{D5CDD505-2E9C-101B-9397-08002B2CF9AE}" pid="66" name="BolFax">
    <vt:lpwstr>False</vt:lpwstr>
  </property>
  <property fmtid="{D5CDD505-2E9C-101B-9397-08002B2CF9AE}" pid="67" name="DgAlreadyRemovedParagraph">
    <vt:lpwstr>true</vt:lpwstr>
  </property>
  <property fmtid="{D5CDD505-2E9C-101B-9397-08002B2CF9AE}" pid="68" name="FirstRefresh">
    <vt:lpwstr>false</vt:lpwstr>
  </property>
  <property fmtid="{D5CDD505-2E9C-101B-9397-08002B2CF9AE}" pid="69" name="DokumentErstelltVon">
    <vt:lpwstr>f10234</vt:lpwstr>
  </property>
  <property fmtid="{D5CDD505-2E9C-101B-9397-08002B2CF9AE}" pid="70" name="SPDocumentName">
    <vt:lpwstr>Prüfprogramm Suitability Banken EN neues Format</vt:lpwstr>
  </property>
  <property fmtid="{D5CDD505-2E9C-101B-9397-08002B2CF9AE}" pid="71" name="Topic">
    <vt:lpwstr/>
  </property>
  <property fmtid="{D5CDD505-2E9C-101B-9397-08002B2CF9AE}" pid="72" name="ContentTypeId">
    <vt:lpwstr>0x0101003A499141982C43AFAF241BDE541C18D500F5B3EB93A2E6FC40BDA27E9A03F99C52</vt:lpwstr>
  </property>
  <property fmtid="{D5CDD505-2E9C-101B-9397-08002B2CF9AE}" pid="73" name="OSP">
    <vt:lpwstr>11;#00 Allgemeines|ec390d6f-5dc3-43a1-99fe-743e116d27aa</vt:lpwstr>
  </property>
  <property fmtid="{D5CDD505-2E9C-101B-9397-08002B2CF9AE}" pid="74" name="OU">
    <vt:lpwstr>2;#M-GWS|f1a4773a-4f93-4b0d-ac51-280efb004d81</vt:lpwstr>
  </property>
  <property fmtid="{D5CDD505-2E9C-101B-9397-08002B2CF9AE}" pid="75" name="_dlc_DocIdItemGuid">
    <vt:lpwstr>d80ffd92-485e-4339-97bc-16aed4873788</vt:lpwstr>
  </property>
  <property fmtid="{D5CDD505-2E9C-101B-9397-08002B2CF9AE}" pid="76" name="DocumentDate">
    <vt:filetime>2016-11-18T12:20:21Z</vt:filetime>
  </property>
  <property fmtid="{D5CDD505-2E9C-101B-9397-08002B2CF9AE}" pid="77" name="savedonSP">
    <vt:lpwstr>True</vt:lpwstr>
  </property>
  <property fmtid="{D5CDD505-2E9C-101B-9397-08002B2CF9AE}" pid="78" name="DossierStatus_Note">
    <vt:lpwstr/>
  </property>
  <property fmtid="{D5CDD505-2E9C-101B-9397-08002B2CF9AE}" pid="79" name="_dlc_DocId">
    <vt:lpwstr>b164912-0047709</vt:lpwstr>
  </property>
  <property fmtid="{D5CDD505-2E9C-101B-9397-08002B2CF9AE}" pid="80" name="Topic_Note">
    <vt:lpwstr/>
  </property>
  <property fmtid="{D5CDD505-2E9C-101B-9397-08002B2CF9AE}" pid="81" name="OSP_Note">
    <vt:lpwstr>00 Allgemeines|ec390d6f-5dc3-43a1-99fe-743e116d27aa</vt:lpwstr>
  </property>
  <property fmtid="{D5CDD505-2E9C-101B-9397-08002B2CF9AE}" pid="82" name="OU_Note">
    <vt:lpwstr>M-GWS|f1a4773a-4f93-4b0d-ac51-280efb004d81</vt:lpwstr>
  </property>
  <property fmtid="{D5CDD505-2E9C-101B-9397-08002B2CF9AE}" pid="83" name="RetentionPeriod">
    <vt:lpwstr>10</vt:lpwstr>
  </property>
  <property fmtid="{D5CDD505-2E9C-101B-9397-08002B2CF9AE}" pid="84" name="_dlc_DocIdUrl">
    <vt:lpwstr>http://dms.finma.ch/containers/164912/_layouts/DocIdRedir.aspx?ID=b164912-0047709, b164912-0047709</vt:lpwstr>
  </property>
  <property fmtid="{D5CDD505-2E9C-101B-9397-08002B2CF9AE}" pid="85" name="ToBeArchived">
    <vt:lpwstr>Nein</vt:lpwstr>
  </property>
  <property fmtid="{D5CDD505-2E9C-101B-9397-08002B2CF9AE}" pid="86" name="Reference">
    <vt:lpwstr>8010-T-2-9893 - 00 Allgemeines</vt:lpwstr>
  </property>
  <property fmtid="{D5CDD505-2E9C-101B-9397-08002B2CF9AE}" pid="87" name="AgendaItemGUID">
    <vt:lpwstr/>
  </property>
  <property fmtid="{D5CDD505-2E9C-101B-9397-08002B2CF9AE}" pid="88" name="SeqenceNumber">
    <vt:lpwstr/>
  </property>
  <property fmtid="{D5CDD505-2E9C-101B-9397-08002B2CF9AE}" pid="89" name="DOCGUID">
    <vt:lpwstr/>
  </property>
  <property fmtid="{D5CDD505-2E9C-101B-9397-08002B2CF9AE}" pid="90" name="Schlagwort KategorieTaxHTField0">
    <vt:lpwstr/>
  </property>
  <property fmtid="{D5CDD505-2E9C-101B-9397-08002B2CF9AE}" pid="91" name="Kategorie">
    <vt:lpwstr/>
  </property>
  <property fmtid="{D5CDD505-2E9C-101B-9397-08002B2CF9AE}" pid="92" name="FinmaCrmEntityIDs">
    <vt:lpwstr/>
  </property>
  <property fmtid="{D5CDD505-2E9C-101B-9397-08002B2CF9AE}" pid="93" name="FinmaCategory">
    <vt:lpwstr/>
  </property>
  <property fmtid="{D5CDD505-2E9C-101B-9397-08002B2CF9AE}" pid="94" name="FinmaCatchphrases">
    <vt:lpwstr/>
  </property>
  <property fmtid="{D5CDD505-2E9C-101B-9397-08002B2CF9AE}" pid="95" name="FinmaCaseStatus">
    <vt:lpwstr>1;#Aktiv|7439e81f-a110-4e88-a7af-acf8d4806223</vt:lpwstr>
  </property>
</Properties>
</file>