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79CF" w14:textId="3A7A0334" w:rsidR="001B763E" w:rsidRPr="0011737B" w:rsidRDefault="0073176F">
      <w:pPr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Audit points for critical data risk management</w:t>
      </w:r>
    </w:p>
    <w:p w14:paraId="7BE6DC21" w14:textId="77777777" w:rsidR="00DB7CF3" w:rsidRPr="00B56DDF" w:rsidRDefault="00DB7CF3">
      <w:pPr>
        <w:rPr>
          <w:rFonts w:cs="Arial"/>
          <w:b/>
        </w:rPr>
      </w:pPr>
    </w:p>
    <w:p w14:paraId="6297C756" w14:textId="77777777" w:rsidR="00D247FF" w:rsidRPr="0011737B" w:rsidRDefault="005D00E1">
      <w:pPr>
        <w:rPr>
          <w:rFonts w:cs="Arial"/>
          <w:b/>
          <w:bCs/>
        </w:rPr>
      </w:pPr>
      <w:r>
        <w:rPr>
          <w:b/>
        </w:rPr>
        <w:t>Overview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53"/>
        <w:gridCol w:w="11516"/>
      </w:tblGrid>
      <w:tr w:rsidR="00123746" w:rsidRPr="00A04447" w14:paraId="45BF20A5" w14:textId="77777777" w:rsidTr="0011737B">
        <w:tc>
          <w:tcPr>
            <w:tcW w:w="2694" w:type="dxa"/>
            <w:shd w:val="clear" w:color="auto" w:fill="auto"/>
          </w:tcPr>
          <w:p w14:paraId="73C71710" w14:textId="77777777" w:rsidR="001B763E" w:rsidRPr="0011737B" w:rsidRDefault="001B763E">
            <w:pPr>
              <w:tabs>
                <w:tab w:val="left" w:pos="1418"/>
              </w:tabs>
              <w:rPr>
                <w:rFonts w:cs="Arial"/>
                <w:b/>
                <w:bCs/>
              </w:rPr>
            </w:pPr>
            <w:r>
              <w:rPr>
                <w:b/>
              </w:rPr>
              <w:t>Subject:</w:t>
            </w:r>
          </w:p>
        </w:tc>
        <w:tc>
          <w:tcPr>
            <w:tcW w:w="11701" w:type="dxa"/>
            <w:shd w:val="clear" w:color="auto" w:fill="auto"/>
          </w:tcPr>
          <w:p w14:paraId="37CCC570" w14:textId="47AFE582" w:rsidR="001B763E" w:rsidRPr="0011737B" w:rsidRDefault="004D6321">
            <w:pPr>
              <w:tabs>
                <w:tab w:val="left" w:pos="1859"/>
              </w:tabs>
              <w:rPr>
                <w:rFonts w:cs="Arial"/>
                <w:b/>
                <w:bCs/>
              </w:rPr>
            </w:pPr>
            <w:r>
              <w:rPr>
                <w:b/>
              </w:rPr>
              <w:t>Critical data risk management</w:t>
            </w:r>
          </w:p>
        </w:tc>
      </w:tr>
      <w:tr w:rsidR="00123746" w:rsidRPr="00A04447" w14:paraId="2050C224" w14:textId="77777777" w:rsidTr="0011737B">
        <w:tc>
          <w:tcPr>
            <w:tcW w:w="2694" w:type="dxa"/>
            <w:shd w:val="clear" w:color="auto" w:fill="auto"/>
          </w:tcPr>
          <w:p w14:paraId="5054344E" w14:textId="77777777" w:rsidR="009F7E12" w:rsidRPr="0011737B" w:rsidRDefault="009F7E12">
            <w:pPr>
              <w:tabs>
                <w:tab w:val="left" w:pos="1418"/>
              </w:tabs>
              <w:rPr>
                <w:rFonts w:cs="Arial"/>
                <w:b/>
                <w:bCs/>
              </w:rPr>
            </w:pPr>
            <w:r>
              <w:rPr>
                <w:b/>
              </w:rPr>
              <w:t>Audit depth:</w:t>
            </w:r>
          </w:p>
        </w:tc>
        <w:tc>
          <w:tcPr>
            <w:tcW w:w="11701" w:type="dxa"/>
            <w:shd w:val="clear" w:color="auto" w:fill="auto"/>
          </w:tcPr>
          <w:p w14:paraId="4967706C" w14:textId="77777777" w:rsidR="009F7E12" w:rsidRPr="000F1916" w:rsidRDefault="00424650">
            <w:pPr>
              <w:tabs>
                <w:tab w:val="left" w:pos="1859"/>
              </w:tabs>
              <w:rPr>
                <w:rFonts w:cs="Arial"/>
                <w:highlight w:val="yellow"/>
              </w:rPr>
            </w:pPr>
            <w:r>
              <w:rPr>
                <w:highlight w:val="yellow"/>
              </w:rPr>
              <w:t>[Audit/critical assessment]</w:t>
            </w:r>
            <w:r w:rsidR="00E97C31" w:rsidRPr="000F1916">
              <w:rPr>
                <w:rStyle w:val="Appelnotedebasdep"/>
                <w:highlight w:val="yellow"/>
                <w:lang w:val="de-CH"/>
              </w:rPr>
              <w:footnoteReference w:id="2"/>
            </w:r>
          </w:p>
        </w:tc>
      </w:tr>
      <w:tr w:rsidR="00123746" w:rsidRPr="00A04447" w14:paraId="5360A07A" w14:textId="77777777" w:rsidTr="63098FDC">
        <w:tc>
          <w:tcPr>
            <w:tcW w:w="2694" w:type="dxa"/>
          </w:tcPr>
          <w:p w14:paraId="5534AFED" w14:textId="6AB61A1F" w:rsidR="00F37CB4" w:rsidRPr="0011737B" w:rsidRDefault="00803408">
            <w:pPr>
              <w:tabs>
                <w:tab w:val="left" w:pos="1418"/>
              </w:tabs>
              <w:rPr>
                <w:rFonts w:cs="Arial"/>
                <w:b/>
                <w:bCs/>
              </w:rPr>
            </w:pPr>
            <w:r>
              <w:rPr>
                <w:b/>
              </w:rPr>
              <w:t>Basis:</w:t>
            </w:r>
          </w:p>
          <w:p w14:paraId="614DF08F" w14:textId="77777777" w:rsidR="008F1FC1" w:rsidRPr="0011737B" w:rsidRDefault="008F1FC1">
            <w:pPr>
              <w:tabs>
                <w:tab w:val="left" w:pos="1418"/>
              </w:tabs>
              <w:rPr>
                <w:rFonts w:cs="Arial"/>
              </w:rPr>
            </w:pPr>
            <w:r>
              <w:t>(non-exhaustive list)</w:t>
            </w:r>
          </w:p>
        </w:tc>
        <w:tc>
          <w:tcPr>
            <w:tcW w:w="11701" w:type="dxa"/>
          </w:tcPr>
          <w:p w14:paraId="06129983" w14:textId="77777777" w:rsidR="00826ABE" w:rsidRPr="00A04447" w:rsidRDefault="00826ABE" w:rsidP="00826ABE">
            <w:pPr>
              <w:tabs>
                <w:tab w:val="left" w:pos="1859"/>
              </w:tabs>
            </w:pPr>
            <w:r>
              <w:t>Art. 3 para. 2 let. a Banking Act (BA)</w:t>
            </w:r>
          </w:p>
          <w:p w14:paraId="1297D7DC" w14:textId="77777777" w:rsidR="00826ABE" w:rsidRPr="00A04447" w:rsidRDefault="00826ABE" w:rsidP="00826ABE">
            <w:pPr>
              <w:tabs>
                <w:tab w:val="left" w:pos="1859"/>
              </w:tabs>
            </w:pPr>
            <w:r>
              <w:t>Art. 9 Financial Institutions Act (</w:t>
            </w:r>
            <w:proofErr w:type="spellStart"/>
            <w:r>
              <w:t>FinIA</w:t>
            </w:r>
            <w:proofErr w:type="spellEnd"/>
            <w:r>
              <w:t>)</w:t>
            </w:r>
          </w:p>
          <w:p w14:paraId="6640DF46" w14:textId="77777777" w:rsidR="00F1099F" w:rsidRPr="00A04447" w:rsidRDefault="00FD5115" w:rsidP="00352874">
            <w:pPr>
              <w:tabs>
                <w:tab w:val="left" w:pos="1859"/>
              </w:tabs>
            </w:pPr>
            <w:r>
              <w:t>Art. 12 Banking Ordinance (BO)</w:t>
            </w:r>
          </w:p>
          <w:p w14:paraId="61C25DCA" w14:textId="736C3253" w:rsidR="00234CCB" w:rsidRPr="00A04447" w:rsidRDefault="00F6362D" w:rsidP="00826ABE">
            <w:pPr>
              <w:tabs>
                <w:tab w:val="left" w:pos="1859"/>
              </w:tabs>
            </w:pPr>
            <w:r>
              <w:t>Arts. 12, 67, 68 and 73 Financial Institutions Ordinance (</w:t>
            </w:r>
            <w:proofErr w:type="spellStart"/>
            <w:r>
              <w:t>FinIO</w:t>
            </w:r>
            <w:proofErr w:type="spellEnd"/>
            <w:r>
              <w:t>)</w:t>
            </w:r>
          </w:p>
          <w:p w14:paraId="76999BF7" w14:textId="5709A19D" w:rsidR="00D86136" w:rsidRPr="00A04447" w:rsidRDefault="00D86136" w:rsidP="00D86136">
            <w:r>
              <w:t>Art. 11 para. 4 and 15 Financial Market Infrastructure Ordinance (</w:t>
            </w:r>
            <w:proofErr w:type="spellStart"/>
            <w:r>
              <w:t>FinMIO</w:t>
            </w:r>
            <w:proofErr w:type="spellEnd"/>
            <w:r>
              <w:t>)</w:t>
            </w:r>
          </w:p>
          <w:p w14:paraId="7894F4A8" w14:textId="72ED1C12" w:rsidR="00A54180" w:rsidRPr="00A04447" w:rsidRDefault="00332C17" w:rsidP="0075213F">
            <w:pPr>
              <w:tabs>
                <w:tab w:val="left" w:pos="1859"/>
              </w:tabs>
            </w:pPr>
            <w:r>
              <w:t xml:space="preserve">Margin nos. 13, 50, 52, 53, 58 and 59 FINMA Circular 2017/1 “Corporate governance – banks” (FINMA Circ. 17/1) </w:t>
            </w:r>
          </w:p>
          <w:p w14:paraId="057ACEEA" w14:textId="2DF2EC04" w:rsidR="00D86136" w:rsidRPr="00A04447" w:rsidRDefault="00332C17" w:rsidP="00D86136">
            <w:pPr>
              <w:tabs>
                <w:tab w:val="left" w:pos="1859"/>
              </w:tabs>
            </w:pPr>
            <w:r>
              <w:t>Margin nos. 71-82 FINMA Circular 2023/1 “Operational risks and resilience – banks” (FINMA Circ. 23/1)</w:t>
            </w:r>
          </w:p>
        </w:tc>
      </w:tr>
      <w:tr w:rsidR="00F37CB4" w:rsidRPr="00A04447" w14:paraId="6E45AC85" w14:textId="77777777" w:rsidTr="63098FDC">
        <w:trPr>
          <w:trHeight w:val="2160"/>
        </w:trPr>
        <w:tc>
          <w:tcPr>
            <w:tcW w:w="2694" w:type="dxa"/>
          </w:tcPr>
          <w:p w14:paraId="3CF94E60" w14:textId="77777777" w:rsidR="00F37CB4" w:rsidRPr="0011737B" w:rsidRDefault="00F37CB4" w:rsidP="0011737B">
            <w:pPr>
              <w:tabs>
                <w:tab w:val="left" w:pos="1418"/>
              </w:tabs>
              <w:spacing w:before="120" w:after="120"/>
              <w:rPr>
                <w:rFonts w:cs="Arial"/>
                <w:b/>
                <w:bCs/>
              </w:rPr>
            </w:pPr>
            <w:proofErr w:type="gramStart"/>
            <w:r>
              <w:rPr>
                <w:b/>
              </w:rPr>
              <w:t>Sign-offs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1701" w:type="dxa"/>
          </w:tcPr>
          <w:p w14:paraId="43407B7D" w14:textId="77777777" w:rsidR="00F37CB4" w:rsidRPr="00A04447" w:rsidRDefault="00F37CB4" w:rsidP="0041269F">
            <w:pPr>
              <w:tabs>
                <w:tab w:val="left" w:pos="1859"/>
              </w:tabs>
              <w:spacing w:before="120"/>
              <w:rPr>
                <w:rFonts w:cs="Arial"/>
                <w:sz w:val="2"/>
                <w:szCs w:val="2"/>
                <w:lang w:val="de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88"/>
              <w:gridCol w:w="3623"/>
              <w:gridCol w:w="3483"/>
              <w:gridCol w:w="2196"/>
            </w:tblGrid>
            <w:tr w:rsidR="00123746" w:rsidRPr="00A04447" w14:paraId="0F6F276E" w14:textId="77777777" w:rsidTr="63098FDC">
              <w:tc>
                <w:tcPr>
                  <w:tcW w:w="2013" w:type="dxa"/>
                  <w:shd w:val="clear" w:color="auto" w:fill="D9D9D9" w:themeFill="background1" w:themeFillShade="D9"/>
                </w:tcPr>
                <w:p w14:paraId="1BCE303F" w14:textId="77777777" w:rsidR="009F7E12" w:rsidRPr="0011737B" w:rsidRDefault="009F7E12" w:rsidP="0011737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Sign-offs</w:t>
                  </w:r>
                  <w:proofErr w:type="gramEnd"/>
                  <w:r>
                    <w:rPr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14:paraId="501D9F74" w14:textId="77777777" w:rsidR="009F7E12" w:rsidRPr="0011737B" w:rsidRDefault="009F7E12" w:rsidP="0011737B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Name: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1B7AF252" w14:textId="77777777" w:rsidR="009F7E12" w:rsidRPr="0011737B" w:rsidRDefault="009F7E12" w:rsidP="0011737B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Function:</w:t>
                  </w:r>
                </w:p>
              </w:tc>
              <w:tc>
                <w:tcPr>
                  <w:tcW w:w="2228" w:type="dxa"/>
                  <w:shd w:val="clear" w:color="auto" w:fill="D9D9D9" w:themeFill="background1" w:themeFillShade="D9"/>
                </w:tcPr>
                <w:p w14:paraId="56AEEAB6" w14:textId="77777777" w:rsidR="009F7E12" w:rsidRPr="0011737B" w:rsidRDefault="009F7E12" w:rsidP="0011737B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Date:</w:t>
                  </w:r>
                </w:p>
              </w:tc>
            </w:tr>
            <w:tr w:rsidR="00123746" w:rsidRPr="00A04447" w14:paraId="32DD64FE" w14:textId="77777777" w:rsidTr="63098FDC">
              <w:tc>
                <w:tcPr>
                  <w:tcW w:w="2013" w:type="dxa"/>
                </w:tcPr>
                <w:p w14:paraId="36485C3C" w14:textId="77777777" w:rsidR="009F7E12" w:rsidRPr="00A04447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Auditor: </w:t>
                  </w:r>
                </w:p>
              </w:tc>
              <w:tc>
                <w:tcPr>
                  <w:tcW w:w="3685" w:type="dxa"/>
                </w:tcPr>
                <w:p w14:paraId="11074942" w14:textId="77777777" w:rsidR="009F7E12" w:rsidRPr="000F1916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5F922C30" w14:textId="09CDDAD5" w:rsidR="009F7E12" w:rsidRPr="000F1916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[Assistant / Senior / Manager / Senior Manager / CEO / Partner]</w:t>
                  </w:r>
                </w:p>
              </w:tc>
              <w:tc>
                <w:tcPr>
                  <w:tcW w:w="2228" w:type="dxa"/>
                </w:tcPr>
                <w:p w14:paraId="05B604A8" w14:textId="3950E228" w:rsidR="009F7E12" w:rsidRPr="000F1916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[DD MM YYYY]</w:t>
                  </w:r>
                </w:p>
              </w:tc>
            </w:tr>
            <w:tr w:rsidR="00123746" w:rsidRPr="00A04447" w14:paraId="16D692AB" w14:textId="77777777" w:rsidTr="63098FDC">
              <w:tc>
                <w:tcPr>
                  <w:tcW w:w="2013" w:type="dxa"/>
                </w:tcPr>
                <w:p w14:paraId="72783472" w14:textId="77777777" w:rsidR="009F7E12" w:rsidRPr="00A04447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Reviewer:</w:t>
                  </w:r>
                </w:p>
              </w:tc>
              <w:tc>
                <w:tcPr>
                  <w:tcW w:w="3685" w:type="dxa"/>
                </w:tcPr>
                <w:p w14:paraId="0880E0E5" w14:textId="77777777" w:rsidR="009F7E12" w:rsidRPr="000F1916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53405ED2" w14:textId="2850D6EB" w:rsidR="009F7E12" w:rsidRPr="000F1916" w:rsidRDefault="009F7E12" w:rsidP="00E30FF3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[Manager / Senior Manager / </w:t>
                  </w:r>
                  <w:r>
                    <w:rPr>
                      <w:sz w:val="18"/>
                      <w:highlight w:val="yellow"/>
                    </w:rPr>
                    <w:br/>
                    <w:t>CEO / Partner]</w:t>
                  </w:r>
                </w:p>
              </w:tc>
              <w:tc>
                <w:tcPr>
                  <w:tcW w:w="2228" w:type="dxa"/>
                </w:tcPr>
                <w:p w14:paraId="67828FE1" w14:textId="4051AEB1" w:rsidR="009F7E12" w:rsidRPr="000F1916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[DD MM YYYY]</w:t>
                  </w:r>
                </w:p>
              </w:tc>
            </w:tr>
          </w:tbl>
          <w:p w14:paraId="40C55B20" w14:textId="77777777" w:rsidR="00F37CB4" w:rsidRPr="00A04447" w:rsidRDefault="00F37CB4" w:rsidP="00B54948">
            <w:pPr>
              <w:tabs>
                <w:tab w:val="left" w:pos="1859"/>
              </w:tabs>
              <w:spacing w:before="120" w:after="120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14:paraId="01F8589D" w14:textId="77777777" w:rsidR="00F37CB4" w:rsidRPr="00632746" w:rsidRDefault="00F37CB4" w:rsidP="00632746">
      <w:pPr>
        <w:spacing w:before="0" w:after="0"/>
        <w:rPr>
          <w:rFonts w:cs="Arial"/>
          <w:sz w:val="8"/>
          <w:szCs w:val="8"/>
          <w:lang w:val="de-CH"/>
        </w:rPr>
      </w:pPr>
    </w:p>
    <w:p w14:paraId="6702846E" w14:textId="2F680F1A" w:rsidR="00594CFF" w:rsidRPr="0011737B" w:rsidRDefault="00A87A2A">
      <w:pPr>
        <w:rPr>
          <w:rFonts w:cs="Arial"/>
        </w:rPr>
      </w:pPr>
      <w:r>
        <w:rPr>
          <w:b/>
        </w:rPr>
        <w:t xml:space="preserve">This is the standard </w:t>
      </w:r>
      <w:r w:rsidR="00945154">
        <w:rPr>
          <w:b/>
        </w:rPr>
        <w:t xml:space="preserve">work </w:t>
      </w:r>
      <w:r>
        <w:rPr>
          <w:b/>
        </w:rPr>
        <w:t xml:space="preserve">programme that is to be implemented for every intervention under the terms of the audit strategy (margin no. 28ff FINMA Circ. 13/3 “Auditing”). It is the responsibility of the audit team to </w:t>
      </w:r>
      <w:r w:rsidR="00A72718">
        <w:rPr>
          <w:b/>
        </w:rPr>
        <w:t xml:space="preserve">adapt </w:t>
      </w:r>
      <w:r>
        <w:rPr>
          <w:b/>
        </w:rPr>
        <w:t xml:space="preserve">the standard </w:t>
      </w:r>
      <w:r w:rsidR="00945154">
        <w:rPr>
          <w:b/>
        </w:rPr>
        <w:t xml:space="preserve">work </w:t>
      </w:r>
      <w:r>
        <w:rPr>
          <w:b/>
        </w:rPr>
        <w:t xml:space="preserve">programme to the specific situation of the institution (size, business model, organisation, processes, risk exposure etc.). If the specified audit procedures are not carried out completely, </w:t>
      </w:r>
      <w:r w:rsidR="00030AE7">
        <w:rPr>
          <w:b/>
        </w:rPr>
        <w:t xml:space="preserve">an appropriate rational </w:t>
      </w:r>
      <w:r>
        <w:rPr>
          <w:b/>
        </w:rPr>
        <w:t>must be provided in the working paper. Audit procedures marked with an asterisk</w:t>
      </w:r>
      <w:r w:rsidR="00030AE7">
        <w:rPr>
          <w:b/>
        </w:rPr>
        <w:t xml:space="preserve"> (*)</w:t>
      </w:r>
      <w:r>
        <w:rPr>
          <w:b/>
        </w:rPr>
        <w:t xml:space="preserve"> are not applicable to Category 4 or 5 banks. Audit procedures marked with two asterisks (**) are not applicable to institutions specified under Article 47a to 47e CAO, persons specified under Article 1b BA and </w:t>
      </w:r>
      <w:r w:rsidR="00945154">
        <w:rPr>
          <w:b/>
        </w:rPr>
        <w:t>investment firms (non-proprietar</w:t>
      </w:r>
      <w:r w:rsidR="00C72192">
        <w:rPr>
          <w:b/>
        </w:rPr>
        <w:t>y</w:t>
      </w:r>
      <w:r w:rsidR="00945154">
        <w:rPr>
          <w:b/>
        </w:rPr>
        <w:t xml:space="preserve"> trading)</w:t>
      </w:r>
      <w:r>
        <w:rPr>
          <w:b/>
        </w:rPr>
        <w:t>.</w:t>
      </w:r>
      <w:r>
        <w:br w:type="page"/>
      </w:r>
    </w:p>
    <w:p w14:paraId="669F6EBD" w14:textId="77777777" w:rsidR="00352874" w:rsidRPr="0011737B" w:rsidRDefault="00352874" w:rsidP="0011737B">
      <w:pPr>
        <w:spacing w:line="240" w:lineRule="auto"/>
        <w:rPr>
          <w:rFonts w:cs="Arial"/>
          <w:b/>
          <w:bCs/>
        </w:rPr>
      </w:pPr>
      <w:r>
        <w:rPr>
          <w:b/>
        </w:rPr>
        <w:lastRenderedPageBreak/>
        <w:t>Overall conclusion</w:t>
      </w:r>
    </w:p>
    <w:p w14:paraId="0D682F64" w14:textId="77777777" w:rsidR="00352874" w:rsidRPr="00A04447" w:rsidRDefault="00352874" w:rsidP="00352874">
      <w:pPr>
        <w:spacing w:line="240" w:lineRule="auto"/>
        <w:rPr>
          <w:rFonts w:cs="Arial"/>
          <w:szCs w:val="20"/>
          <w:lang w:val="de-CH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799"/>
        <w:gridCol w:w="11370"/>
      </w:tblGrid>
      <w:tr w:rsidR="00123746" w:rsidRPr="00A04447" w14:paraId="1AEFCB0E" w14:textId="77777777" w:rsidTr="00F060E0">
        <w:trPr>
          <w:trHeight w:val="552"/>
          <w:tblHeader/>
        </w:trPr>
        <w:tc>
          <w:tcPr>
            <w:tcW w:w="2799" w:type="dxa"/>
            <w:shd w:val="clear" w:color="auto" w:fill="auto"/>
          </w:tcPr>
          <w:p w14:paraId="70EEC3ED" w14:textId="77777777" w:rsidR="0045532C" w:rsidRPr="0011737B" w:rsidRDefault="0045532C">
            <w:pPr>
              <w:tabs>
                <w:tab w:val="left" w:pos="1418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Topic:</w:t>
            </w:r>
          </w:p>
        </w:tc>
        <w:tc>
          <w:tcPr>
            <w:tcW w:w="11370" w:type="dxa"/>
            <w:shd w:val="clear" w:color="auto" w:fill="auto"/>
          </w:tcPr>
          <w:p w14:paraId="12DF4892" w14:textId="77777777" w:rsidR="0045532C" w:rsidRPr="0011737B" w:rsidRDefault="0045532C">
            <w:pPr>
              <w:tabs>
                <w:tab w:val="left" w:pos="1859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Information / description:</w:t>
            </w:r>
          </w:p>
        </w:tc>
      </w:tr>
      <w:tr w:rsidR="00E60F3F" w:rsidRPr="00A04447" w14:paraId="694746CC" w14:textId="77777777" w:rsidTr="00F060E0">
        <w:trPr>
          <w:trHeight w:val="1271"/>
        </w:trPr>
        <w:tc>
          <w:tcPr>
            <w:tcW w:w="2799" w:type="dxa"/>
          </w:tcPr>
          <w:p w14:paraId="52E2077D" w14:textId="77777777" w:rsidR="0045532C" w:rsidRPr="00A04447" w:rsidRDefault="0045532C" w:rsidP="000624A4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Overall conclusion</w:t>
            </w:r>
          </w:p>
        </w:tc>
        <w:tc>
          <w:tcPr>
            <w:tcW w:w="11370" w:type="dxa"/>
          </w:tcPr>
          <w:p w14:paraId="44461B74" w14:textId="77777777" w:rsidR="00E60F3F" w:rsidRPr="0011737B" w:rsidRDefault="00E60F3F" w:rsidP="00E60F3F">
            <w:pPr>
              <w:rPr>
                <w:rFonts w:cs="Arial"/>
                <w:sz w:val="6"/>
                <w:szCs w:val="6"/>
                <w:lang w:val="de-CH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28"/>
              <w:gridCol w:w="5516"/>
            </w:tblGrid>
            <w:tr w:rsidR="00E60F3F" w:rsidRPr="00A04447" w14:paraId="3669CFE0" w14:textId="77777777" w:rsidTr="63098FDC">
              <w:tc>
                <w:tcPr>
                  <w:tcW w:w="5685" w:type="dxa"/>
                  <w:shd w:val="clear" w:color="auto" w:fill="D9D9D9" w:themeFill="background1" w:themeFillShade="D9"/>
                  <w:tcMar>
                    <w:left w:w="0" w:type="dxa"/>
                  </w:tcMar>
                </w:tcPr>
                <w:p w14:paraId="50981133" w14:textId="77777777" w:rsidR="00E60F3F" w:rsidRPr="0011737B" w:rsidRDefault="00E60F3F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Confirmation in audit report:</w:t>
                  </w:r>
                </w:p>
              </w:tc>
              <w:tc>
                <w:tcPr>
                  <w:tcW w:w="5571" w:type="dxa"/>
                  <w:shd w:val="clear" w:color="auto" w:fill="D9D9D9" w:themeFill="background1" w:themeFillShade="D9"/>
                </w:tcPr>
                <w:p w14:paraId="74D8A61E" w14:textId="77777777" w:rsidR="00E60F3F" w:rsidRPr="0011737B" w:rsidRDefault="00E60F3F">
                  <w:pPr>
                    <w:tabs>
                      <w:tab w:val="left" w:pos="1859"/>
                    </w:tabs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Conclusion:</w:t>
                  </w:r>
                </w:p>
              </w:tc>
            </w:tr>
            <w:tr w:rsidR="00E60F3F" w:rsidRPr="00A04447" w14:paraId="225DA2CD" w14:textId="77777777" w:rsidTr="63098FDC">
              <w:tc>
                <w:tcPr>
                  <w:tcW w:w="5685" w:type="dxa"/>
                  <w:tcMar>
                    <w:left w:w="0" w:type="dxa"/>
                  </w:tcMar>
                </w:tcPr>
                <w:p w14:paraId="0328BD40" w14:textId="52D1AF26" w:rsidR="002F49A6" w:rsidRPr="00F40756" w:rsidRDefault="002F49A6" w:rsidP="002F49A6">
                  <w:pPr>
                    <w:tabs>
                      <w:tab w:val="left" w:pos="1859"/>
                    </w:tabs>
                    <w:ind w:left="34"/>
                    <w:rPr>
                      <w:sz w:val="16"/>
                    </w:rPr>
                  </w:pPr>
                  <w:r w:rsidRPr="00740FC7">
                    <w:rPr>
                      <w:sz w:val="16"/>
                    </w:rPr>
                    <w:t>Confirmation that the</w:t>
                  </w:r>
                  <w:r>
                    <w:rPr>
                      <w:sz w:val="16"/>
                    </w:rPr>
                    <w:t xml:space="preserve"> area</w:t>
                  </w:r>
                  <w:r w:rsidRPr="00740FC7">
                    <w:rPr>
                      <w:sz w:val="16"/>
                    </w:rPr>
                    <w:t xml:space="preserve"> “</w:t>
                  </w:r>
                  <w:r w:rsidRPr="002F49A6">
                    <w:rPr>
                      <w:sz w:val="16"/>
                    </w:rPr>
                    <w:t>critical data risk management</w:t>
                  </w:r>
                  <w:r w:rsidRPr="00740FC7">
                    <w:rPr>
                      <w:sz w:val="16"/>
                    </w:rPr>
                    <w:t xml:space="preserve">” was </w:t>
                  </w:r>
                  <w:r w:rsidRPr="00553979">
                    <w:rPr>
                      <w:sz w:val="16"/>
                    </w:rPr>
                    <w:t>designed</w:t>
                  </w:r>
                  <w:r w:rsidRPr="00740FC7">
                    <w:rPr>
                      <w:sz w:val="16"/>
                    </w:rPr>
                    <w:t xml:space="preserve"> adequately.</w:t>
                  </w:r>
                </w:p>
                <w:p w14:paraId="6BA9D194" w14:textId="6D3E9792" w:rsidR="00F867B2" w:rsidRPr="002F49A6" w:rsidRDefault="00F867B2" w:rsidP="0083286C">
                  <w:pPr>
                    <w:tabs>
                      <w:tab w:val="left" w:pos="1859"/>
                    </w:tabs>
                    <w:rPr>
                      <w:sz w:val="16"/>
                    </w:rPr>
                  </w:pPr>
                </w:p>
                <w:p w14:paraId="072D04B2" w14:textId="1549B786" w:rsidR="006048C1" w:rsidRPr="00A04447" w:rsidRDefault="004D663E" w:rsidP="006048C1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 xml:space="preserve">Confirmation that the institution complied with the stricter requirements ordered by FINMA. </w:t>
                  </w:r>
                </w:p>
              </w:tc>
              <w:tc>
                <w:tcPr>
                  <w:tcW w:w="5571" w:type="dxa"/>
                </w:tcPr>
                <w:p w14:paraId="6519E84C" w14:textId="77777777" w:rsidR="00E60F3F" w:rsidRPr="0011737B" w:rsidRDefault="00E60F3F">
                  <w:pPr>
                    <w:tabs>
                      <w:tab w:val="left" w:pos="1859"/>
                    </w:tabs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Yes</w:t>
                  </w:r>
                  <w:r>
                    <w:rPr>
                      <w:i/>
                      <w:sz w:val="16"/>
                    </w:rPr>
                    <w:t xml:space="preserve"> (Audit/critical assessment) / </w:t>
                  </w:r>
                  <w:r>
                    <w:rPr>
                      <w:b/>
                      <w:bCs/>
                      <w:i/>
                      <w:sz w:val="16"/>
                    </w:rPr>
                    <w:t>No</w:t>
                  </w:r>
                </w:p>
                <w:p w14:paraId="2DF18EF5" w14:textId="77777777" w:rsidR="004D663E" w:rsidRPr="00BD5743" w:rsidRDefault="004D663E" w:rsidP="009F2636">
                  <w:pPr>
                    <w:tabs>
                      <w:tab w:val="left" w:pos="1859"/>
                    </w:tabs>
                    <w:rPr>
                      <w:b/>
                      <w:i/>
                      <w:sz w:val="16"/>
                      <w:lang w:val="en-US"/>
                    </w:rPr>
                  </w:pPr>
                </w:p>
                <w:p w14:paraId="45F959EA" w14:textId="77777777" w:rsidR="0083286C" w:rsidRPr="00BD5743" w:rsidRDefault="0083286C" w:rsidP="009F2636">
                  <w:pPr>
                    <w:tabs>
                      <w:tab w:val="left" w:pos="1859"/>
                    </w:tabs>
                    <w:rPr>
                      <w:b/>
                      <w:i/>
                      <w:sz w:val="16"/>
                      <w:lang w:val="en-US"/>
                    </w:rPr>
                  </w:pPr>
                </w:p>
                <w:p w14:paraId="4A510C9C" w14:textId="48D4FDDE" w:rsidR="00DC0721" w:rsidRPr="0011737B" w:rsidRDefault="00DC0721">
                  <w:pPr>
                    <w:tabs>
                      <w:tab w:val="left" w:pos="1859"/>
                    </w:tabs>
                    <w:rPr>
                      <w:rFonts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Yes</w:t>
                  </w:r>
                  <w:r>
                    <w:rPr>
                      <w:i/>
                      <w:sz w:val="16"/>
                    </w:rPr>
                    <w:t xml:space="preserve"> (Audit/critical assessment) / </w:t>
                  </w:r>
                  <w:r>
                    <w:rPr>
                      <w:b/>
                      <w:bCs/>
                      <w:i/>
                      <w:sz w:val="16"/>
                    </w:rPr>
                    <w:t>No</w:t>
                  </w:r>
                </w:p>
              </w:tc>
            </w:tr>
          </w:tbl>
          <w:p w14:paraId="17E370CA" w14:textId="77777777" w:rsidR="003613F7" w:rsidRPr="00BD5743" w:rsidRDefault="003613F7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7D3B5C0D" w14:textId="420D6B8A" w:rsidR="0088170A" w:rsidRPr="00BD5743" w:rsidRDefault="0088170A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23746" w:rsidRPr="00A04447" w14:paraId="485BC6D4" w14:textId="77777777" w:rsidTr="00F060E0">
        <w:trPr>
          <w:trHeight w:val="561"/>
        </w:trPr>
        <w:tc>
          <w:tcPr>
            <w:tcW w:w="2799" w:type="dxa"/>
          </w:tcPr>
          <w:p w14:paraId="6E73E57C" w14:textId="11DF4DC8" w:rsidR="0045532C" w:rsidRPr="00A04447" w:rsidRDefault="0045532C" w:rsidP="000624A4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Summary of significant findings / notices of reservations and recommendations</w:t>
            </w:r>
            <w:r>
              <w:rPr>
                <w:sz w:val="16"/>
              </w:rPr>
              <w:br/>
              <w:t>(see details below)</w:t>
            </w:r>
          </w:p>
        </w:tc>
        <w:tc>
          <w:tcPr>
            <w:tcW w:w="11370" w:type="dxa"/>
          </w:tcPr>
          <w:p w14:paraId="6F37BD08" w14:textId="77777777" w:rsidR="0045532C" w:rsidRPr="0011737B" w:rsidRDefault="0045532C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[Summary of significant findings / notices of reservations and recommendations]</w:t>
            </w:r>
          </w:p>
        </w:tc>
      </w:tr>
      <w:tr w:rsidR="00E60F3F" w:rsidRPr="00A04447" w14:paraId="049FD875" w14:textId="77777777" w:rsidTr="00F060E0">
        <w:trPr>
          <w:trHeight w:val="561"/>
        </w:trPr>
        <w:tc>
          <w:tcPr>
            <w:tcW w:w="2799" w:type="dxa"/>
          </w:tcPr>
          <w:p w14:paraId="03E794A7" w14:textId="77777777" w:rsidR="0045532C" w:rsidRPr="00A04447" w:rsidRDefault="0045532C" w:rsidP="002A3BCB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 areas, results and procedures performed by Internal Audit on which audit firm placed reliance (including audit firm’s own assessment)</w:t>
            </w:r>
          </w:p>
        </w:tc>
        <w:tc>
          <w:tcPr>
            <w:tcW w:w="11370" w:type="dxa"/>
          </w:tcPr>
          <w:p w14:paraId="663E71C7" w14:textId="77777777" w:rsidR="00211D7A" w:rsidRPr="0011737B" w:rsidRDefault="0045532C" w:rsidP="00E60F3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[Description]</w:t>
            </w:r>
          </w:p>
        </w:tc>
      </w:tr>
    </w:tbl>
    <w:p w14:paraId="033FA8F8" w14:textId="77777777" w:rsidR="00FC6E90" w:rsidRPr="00A04447" w:rsidRDefault="00FC6E90">
      <w:pPr>
        <w:rPr>
          <w:rFonts w:cs="Arial"/>
        </w:rPr>
      </w:pPr>
      <w:r>
        <w:br w:type="page"/>
      </w:r>
    </w:p>
    <w:p w14:paraId="3C41E8DE" w14:textId="261B9FD3" w:rsidR="00352874" w:rsidRPr="0011737B" w:rsidRDefault="00FC6E90" w:rsidP="0011737B">
      <w:pPr>
        <w:spacing w:line="240" w:lineRule="auto"/>
        <w:rPr>
          <w:rFonts w:cs="Arial"/>
          <w:b/>
          <w:bCs/>
          <w:u w:val="single"/>
        </w:rPr>
      </w:pPr>
      <w:r>
        <w:rPr>
          <w:b/>
        </w:rPr>
        <w:lastRenderedPageBreak/>
        <w:t>Audit programme – critical data risk management</w:t>
      </w:r>
    </w:p>
    <w:p w14:paraId="478F5E06" w14:textId="2B2CAB0B" w:rsidR="00DB7CF3" w:rsidRPr="00BD5743" w:rsidRDefault="00DB7CF3" w:rsidP="00352874">
      <w:pPr>
        <w:spacing w:line="240" w:lineRule="auto"/>
        <w:rPr>
          <w:rFonts w:cs="Arial"/>
          <w:b/>
          <w:lang w:val="en-US"/>
        </w:rPr>
      </w:pPr>
    </w:p>
    <w:tbl>
      <w:tblPr>
        <w:tblW w:w="129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4688"/>
        <w:gridCol w:w="3969"/>
        <w:gridCol w:w="2694"/>
        <w:gridCol w:w="992"/>
      </w:tblGrid>
      <w:tr w:rsidR="00304C79" w:rsidRPr="00A04447" w14:paraId="32849D0B" w14:textId="77777777" w:rsidTr="00954205">
        <w:trPr>
          <w:tblHeader/>
        </w:trPr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14:paraId="07937E2D" w14:textId="38D55599" w:rsidR="00304C79" w:rsidRPr="0011737B" w:rsidRDefault="00304C79" w:rsidP="001173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shd w:val="clear" w:color="auto" w:fill="auto"/>
          </w:tcPr>
          <w:p w14:paraId="2D5AA560" w14:textId="77777777" w:rsidR="00304C79" w:rsidRPr="0011737B" w:rsidRDefault="00304C79" w:rsidP="001173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Procedures for audit depth </w:t>
            </w:r>
            <w:r>
              <w:rPr>
                <w:b/>
                <w:sz w:val="16"/>
              </w:rPr>
              <w:br/>
              <w:t>“critical assessment”: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9872F84" w14:textId="77777777" w:rsidR="00304C79" w:rsidRPr="0011737B" w:rsidRDefault="00304C79" w:rsidP="001173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u w:val="single"/>
              </w:rPr>
              <w:t>Additional</w:t>
            </w:r>
            <w:r>
              <w:rPr>
                <w:b/>
                <w:sz w:val="16"/>
              </w:rPr>
              <w:t xml:space="preserve"> procedures for audit depth “audit”: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236940D" w14:textId="7FDDE3EB" w:rsidR="00304C79" w:rsidRPr="0011737B" w:rsidRDefault="00304C79" w:rsidP="001173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Procedures performed/findings: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2DA79EF" w14:textId="77777777" w:rsidR="00304C79" w:rsidRPr="0011737B" w:rsidRDefault="00304C79" w:rsidP="0011737B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WP ref.:</w:t>
            </w:r>
          </w:p>
        </w:tc>
      </w:tr>
      <w:tr w:rsidR="000E06D6" w:rsidRPr="00A04447" w14:paraId="0D1A9C93" w14:textId="77777777" w:rsidTr="0011737B">
        <w:trPr>
          <w:trHeight w:val="423"/>
        </w:trPr>
        <w:tc>
          <w:tcPr>
            <w:tcW w:w="1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032D4" w14:textId="2811BA6B" w:rsidR="000E06D6" w:rsidRPr="00A04447" w:rsidRDefault="000E06D6" w:rsidP="006048C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Management of critical data risks </w:t>
            </w:r>
            <w:r w:rsidR="00A72718">
              <w:rPr>
                <w:i/>
                <w:sz w:val="16"/>
              </w:rPr>
              <w:t>considering</w:t>
            </w:r>
            <w:r>
              <w:rPr>
                <w:i/>
                <w:sz w:val="16"/>
              </w:rPr>
              <w:t xml:space="preserve"> the principle of proportionality, </w:t>
            </w:r>
            <w:proofErr w:type="gramStart"/>
            <w:r>
              <w:rPr>
                <w:i/>
                <w:sz w:val="16"/>
              </w:rPr>
              <w:t>i.e.</w:t>
            </w:r>
            <w:proofErr w:type="gramEnd"/>
            <w:r>
              <w:rPr>
                <w:i/>
                <w:sz w:val="16"/>
              </w:rPr>
              <w:t xml:space="preserve"> taking</w:t>
            </w:r>
            <w:r w:rsidR="00A72718">
              <w:rPr>
                <w:i/>
                <w:sz w:val="16"/>
              </w:rPr>
              <w:t xml:space="preserve"> into</w:t>
            </w:r>
            <w:r>
              <w:rPr>
                <w:i/>
                <w:sz w:val="16"/>
              </w:rPr>
              <w:t xml:space="preserve"> account the size, complexity (especially with regard to ICT and outsourcing), structure and risk profile:</w:t>
            </w:r>
          </w:p>
        </w:tc>
      </w:tr>
      <w:tr w:rsidR="00304C79" w:rsidRPr="00A04447" w14:paraId="647F8E90" w14:textId="77777777" w:rsidTr="00954205">
        <w:tc>
          <w:tcPr>
            <w:tcW w:w="589" w:type="dxa"/>
            <w:shd w:val="clear" w:color="auto" w:fill="auto"/>
          </w:tcPr>
          <w:p w14:paraId="0A792CBB" w14:textId="27CA357F" w:rsidR="00304C79" w:rsidRPr="00A04447" w:rsidRDefault="000E06D6" w:rsidP="006048C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88" w:type="dxa"/>
            <w:shd w:val="clear" w:color="auto" w:fill="auto"/>
          </w:tcPr>
          <w:p w14:paraId="08843D3B" w14:textId="4B296D38" w:rsidR="00D013C6" w:rsidRPr="00A04447" w:rsidRDefault="00D013C6" w:rsidP="006048C1">
            <w:pPr>
              <w:pStyle w:val="Bullet"/>
              <w:numPr>
                <w:ilvl w:val="0"/>
                <w:numId w:val="0"/>
              </w:numPr>
              <w:ind w:left="33"/>
            </w:pPr>
            <w:r>
              <w:t>Obtain a basic understanding of the institution’s general handling of critical data</w:t>
            </w:r>
            <w:r w:rsidR="00A72718">
              <w:t>,</w:t>
            </w:r>
            <w:r>
              <w:t xml:space="preserve"> </w:t>
            </w:r>
            <w:r w:rsidR="00A72718">
              <w:t>considering</w:t>
            </w:r>
            <w:r>
              <w:t xml:space="preserve"> the principle of proportionality and the following audit procedures.</w:t>
            </w:r>
          </w:p>
        </w:tc>
        <w:tc>
          <w:tcPr>
            <w:tcW w:w="3969" w:type="dxa"/>
            <w:shd w:val="clear" w:color="auto" w:fill="auto"/>
          </w:tcPr>
          <w:p w14:paraId="542DC272" w14:textId="77777777" w:rsidR="00304C79" w:rsidRPr="00BD5743" w:rsidRDefault="00304C79" w:rsidP="006048C1">
            <w:pPr>
              <w:pStyle w:val="Bullet"/>
              <w:numPr>
                <w:ilvl w:val="0"/>
                <w:numId w:val="0"/>
              </w:numPr>
              <w:ind w:left="176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7A896A39" w14:textId="77777777" w:rsidR="00304C79" w:rsidRPr="00BD5743" w:rsidRDefault="00304C79" w:rsidP="006048C1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4BD129C" w14:textId="77777777" w:rsidR="00304C79" w:rsidRPr="00BD5743" w:rsidRDefault="00304C79" w:rsidP="006048C1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013C6" w:rsidRPr="00A04447" w14:paraId="50406200" w14:textId="77777777" w:rsidTr="00954205">
        <w:tc>
          <w:tcPr>
            <w:tcW w:w="589" w:type="dxa"/>
            <w:shd w:val="clear" w:color="auto" w:fill="auto"/>
          </w:tcPr>
          <w:p w14:paraId="7706515B" w14:textId="50FC793C" w:rsidR="00D013C6" w:rsidRPr="00A04447" w:rsidRDefault="00D013C6" w:rsidP="006048C1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88" w:type="dxa"/>
            <w:shd w:val="clear" w:color="auto" w:fill="auto"/>
          </w:tcPr>
          <w:p w14:paraId="486C1AC0" w14:textId="73106325" w:rsidR="00D013C6" w:rsidRPr="00A04447" w:rsidDel="00D013C6" w:rsidRDefault="00D013C6" w:rsidP="006048C1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the adequacy of </w:t>
            </w:r>
            <w:r w:rsidR="00BF1512">
              <w:t>the institution's policies in relation to critical data and managing critical data risks</w:t>
            </w:r>
            <w:r w:rsidR="003E7920">
              <w:t xml:space="preserve"> </w:t>
            </w:r>
            <w:r>
              <w:t>(such as policies</w:t>
            </w:r>
            <w:r w:rsidR="00A47E8D">
              <w:t>,</w:t>
            </w:r>
            <w:r w:rsidR="00BF1512">
              <w:t xml:space="preserve"> procedures, standards</w:t>
            </w:r>
            <w:r w:rsidR="00A47E8D">
              <w:t xml:space="preserve"> </w:t>
            </w:r>
            <w:r w:rsidR="003E7920">
              <w:t>guidelines</w:t>
            </w:r>
            <w:proofErr w:type="gramStart"/>
            <w:r>
              <w:t>) 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764B19FA" w14:textId="14C80FD8" w:rsidR="00D013C6" w:rsidRPr="004B11EC" w:rsidRDefault="00BF1512" w:rsidP="004B11EC">
            <w:pPr>
              <w:pStyle w:val="Bullet"/>
              <w:numPr>
                <w:ilvl w:val="0"/>
                <w:numId w:val="0"/>
              </w:numPr>
            </w:pPr>
            <w:r>
              <w:t xml:space="preserve">Assess </w:t>
            </w:r>
            <w:r w:rsidR="00A62995">
              <w:t xml:space="preserve">the </w:t>
            </w:r>
            <w:r w:rsidR="003E7920">
              <w:t>consistency</w:t>
            </w:r>
            <w:r w:rsidR="00A62995">
              <w:t xml:space="preserve"> of the strategy for dealing with critical data risks with </w:t>
            </w:r>
            <w:r w:rsidR="00DE44F7">
              <w:t>the institution's</w:t>
            </w:r>
            <w:r w:rsidR="007C0C63">
              <w:t xml:space="preserve"> </w:t>
            </w:r>
            <w:r w:rsidR="003E7920">
              <w:t xml:space="preserve">policies </w:t>
            </w:r>
            <w:r w:rsidR="00A62995">
              <w:t xml:space="preserve">(such as risk </w:t>
            </w:r>
            <w:proofErr w:type="gramStart"/>
            <w:r w:rsidR="00A62995">
              <w:t>policy,  risk</w:t>
            </w:r>
            <w:proofErr w:type="gramEnd"/>
            <w:r w:rsidR="00A62995">
              <w:t xml:space="preserve"> management</w:t>
            </w:r>
            <w:r w:rsidR="003E7920">
              <w:t xml:space="preserve"> principles</w:t>
            </w:r>
            <w:r w:rsidR="00A62995">
              <w:t>, operational risk management, business</w:t>
            </w:r>
            <w:r w:rsidR="00DE44F7">
              <w:t xml:space="preserve"> strategy</w:t>
            </w:r>
            <w:r w:rsidR="00A62995">
              <w:t>, ICT and data strategy etc.).</w:t>
            </w:r>
          </w:p>
        </w:tc>
        <w:tc>
          <w:tcPr>
            <w:tcW w:w="2694" w:type="dxa"/>
            <w:shd w:val="clear" w:color="auto" w:fill="auto"/>
          </w:tcPr>
          <w:p w14:paraId="3A30910B" w14:textId="77777777" w:rsidR="00D013C6" w:rsidRPr="00BD5743" w:rsidRDefault="00D013C6" w:rsidP="006048C1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4392B55" w14:textId="77777777" w:rsidR="00D013C6" w:rsidRPr="00BD5743" w:rsidRDefault="00D013C6" w:rsidP="006048C1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0567BDBE" w14:textId="77777777" w:rsidTr="0011737B">
        <w:tc>
          <w:tcPr>
            <w:tcW w:w="1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ED5AA" w14:textId="6E96D6A7" w:rsidR="00A969FD" w:rsidRPr="00A04447" w:rsidRDefault="00D013C6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Integration into overarching operational risk management and strategy, </w:t>
            </w:r>
            <w:proofErr w:type="gramStart"/>
            <w:r>
              <w:rPr>
                <w:i/>
                <w:sz w:val="16"/>
              </w:rPr>
              <w:t>governance</w:t>
            </w:r>
            <w:proofErr w:type="gramEnd"/>
            <w:r>
              <w:rPr>
                <w:i/>
                <w:sz w:val="16"/>
              </w:rPr>
              <w:t xml:space="preserve"> and awareness (margin nos. 23–26, 30-31, 40 and 71 FINMA Circ. 23/1):</w:t>
            </w:r>
          </w:p>
        </w:tc>
      </w:tr>
      <w:tr w:rsidR="00D013C6" w:rsidRPr="00A04447" w14:paraId="356A810B" w14:textId="77777777" w:rsidTr="00954205">
        <w:tc>
          <w:tcPr>
            <w:tcW w:w="589" w:type="dxa"/>
            <w:shd w:val="clear" w:color="auto" w:fill="auto"/>
          </w:tcPr>
          <w:p w14:paraId="43EA882F" w14:textId="6E3CA3B4" w:rsidR="00D013C6" w:rsidRPr="00A04447" w:rsidRDefault="00D013C6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88" w:type="dxa"/>
            <w:shd w:val="clear" w:color="auto" w:fill="auto"/>
          </w:tcPr>
          <w:p w14:paraId="34A08F4D" w14:textId="1784A797" w:rsidR="00125A24" w:rsidRDefault="00D013C6" w:rsidP="00857C78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whether critical data risks (such </w:t>
            </w:r>
            <w:r w:rsidRPr="00A47E8D">
              <w:t xml:space="preserve">as </w:t>
            </w:r>
            <w:r w:rsidRPr="00954205">
              <w:t>lack of</w:t>
            </w:r>
            <w:r>
              <w:t xml:space="preserve"> data governance, </w:t>
            </w:r>
            <w:r w:rsidR="00BD5743">
              <w:t>poor</w:t>
            </w:r>
            <w:r>
              <w:t xml:space="preserve"> data quality, </w:t>
            </w:r>
            <w:r w:rsidR="00DE44F7">
              <w:t>un</w:t>
            </w:r>
            <w:r>
              <w:t xml:space="preserve">availability, unauthorised data manipulation, data loss, data theft, data corruption) are integrated into </w:t>
            </w:r>
            <w:r w:rsidR="002E4A90">
              <w:t xml:space="preserve">the </w:t>
            </w:r>
            <w:r>
              <w:t xml:space="preserve">overarching operational risk management as a separate taxonomy and thus adequately and comprehensively </w:t>
            </w:r>
            <w:r w:rsidR="002E4A90">
              <w:t>addressed in</w:t>
            </w:r>
            <w:r>
              <w:t xml:space="preserve"> the identification, assessment, </w:t>
            </w:r>
            <w:r w:rsidR="002E4A90">
              <w:t xml:space="preserve">mitigation, </w:t>
            </w:r>
            <w:r>
              <w:t xml:space="preserve">monitoring </w:t>
            </w:r>
            <w:r w:rsidR="002E4A90">
              <w:t xml:space="preserve">and reporting </w:t>
            </w:r>
            <w:r>
              <w:t>of operational risks.</w:t>
            </w:r>
          </w:p>
          <w:p w14:paraId="17775276" w14:textId="31FB7635" w:rsidR="00C20EA6" w:rsidRPr="00954205" w:rsidRDefault="00C20EA6" w:rsidP="00490D5C">
            <w:pPr>
              <w:pStyle w:val="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3969" w:type="dxa"/>
            <w:shd w:val="clear" w:color="auto" w:fill="auto"/>
          </w:tcPr>
          <w:p w14:paraId="57A3351C" w14:textId="5BF04BA0" w:rsidR="00C20EA6" w:rsidRPr="00BD5743" w:rsidRDefault="00C20EA6" w:rsidP="00AB1883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2B394E83" w14:textId="77777777" w:rsidR="00D013C6" w:rsidRPr="00BD5743" w:rsidRDefault="00D013C6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085BB2D" w14:textId="77777777" w:rsidR="00D013C6" w:rsidRPr="00BD5743" w:rsidRDefault="00D013C6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57C78" w:rsidRPr="00A04447" w14:paraId="6E972E07" w14:textId="77777777" w:rsidTr="00954205">
        <w:tc>
          <w:tcPr>
            <w:tcW w:w="589" w:type="dxa"/>
            <w:shd w:val="clear" w:color="auto" w:fill="auto"/>
          </w:tcPr>
          <w:p w14:paraId="1C486521" w14:textId="7E87927C" w:rsidR="00857C78" w:rsidRPr="00A04447" w:rsidRDefault="00857C78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88" w:type="dxa"/>
            <w:shd w:val="clear" w:color="auto" w:fill="auto"/>
          </w:tcPr>
          <w:p w14:paraId="43F07F78" w14:textId="71DA8423" w:rsidR="00857C78" w:rsidRDefault="00857C78" w:rsidP="00857C78">
            <w:pPr>
              <w:pStyle w:val="Bullet"/>
              <w:numPr>
                <w:ilvl w:val="0"/>
                <w:numId w:val="0"/>
              </w:numPr>
              <w:ind w:left="33"/>
            </w:pPr>
            <w:r w:rsidRPr="002E4A90">
              <w:t>Assess whether audit results and</w:t>
            </w:r>
            <w:r w:rsidR="00A35F3F">
              <w:t>/or other</w:t>
            </w:r>
            <w:r w:rsidRPr="002E4A90">
              <w:t xml:space="preserve"> risk and control assessments </w:t>
            </w:r>
            <w:r w:rsidR="00A35F3F">
              <w:t xml:space="preserve">are considered as part of the risk identification and risk assessment of operational risks </w:t>
            </w:r>
            <w:r w:rsidR="003E7920" w:rsidRPr="002E4A90">
              <w:t>in accordance with</w:t>
            </w:r>
            <w:r w:rsidRPr="002E4A90">
              <w:t xml:space="preserve"> margin no. </w:t>
            </w:r>
            <w:proofErr w:type="gramStart"/>
            <w:r w:rsidRPr="002E4A90">
              <w:t>30 .</w:t>
            </w:r>
            <w:proofErr w:type="gramEnd"/>
          </w:p>
          <w:p w14:paraId="205C74F6" w14:textId="77777777" w:rsidR="00857C78" w:rsidRPr="00BD5743" w:rsidRDefault="00857C78" w:rsidP="00A969FD">
            <w:pPr>
              <w:pStyle w:val="Bullet"/>
              <w:numPr>
                <w:ilvl w:val="0"/>
                <w:numId w:val="0"/>
              </w:numPr>
              <w:ind w:left="33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5FFD045" w14:textId="77777777" w:rsidR="00857C78" w:rsidRPr="00BD5743" w:rsidDel="00C20EA6" w:rsidRDefault="00857C78" w:rsidP="00AB1883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11E5A4CF" w14:textId="77777777" w:rsidR="00857C78" w:rsidRPr="00BD5743" w:rsidRDefault="00857C78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1F06674" w14:textId="77777777" w:rsidR="00857C78" w:rsidRPr="00BD5743" w:rsidRDefault="00857C78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A6D90" w:rsidRPr="00A04447" w14:paraId="516A7B71" w14:textId="77777777" w:rsidTr="00954205">
        <w:tc>
          <w:tcPr>
            <w:tcW w:w="589" w:type="dxa"/>
            <w:shd w:val="clear" w:color="auto" w:fill="auto"/>
          </w:tcPr>
          <w:p w14:paraId="28FA09D5" w14:textId="6C4B78E0" w:rsidR="00EA6D90" w:rsidRPr="00A04447" w:rsidRDefault="00857C78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688" w:type="dxa"/>
            <w:shd w:val="clear" w:color="auto" w:fill="auto"/>
          </w:tcPr>
          <w:p w14:paraId="1B5806C6" w14:textId="5A7F399C" w:rsidR="00EA6D90" w:rsidRPr="00A04447" w:rsidRDefault="00EA6D90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t>Assess whether the executive board regularly approves a strategy for dealing with critical data risks and monitors its compliance.</w:t>
            </w:r>
          </w:p>
        </w:tc>
        <w:tc>
          <w:tcPr>
            <w:tcW w:w="3969" w:type="dxa"/>
            <w:shd w:val="clear" w:color="auto" w:fill="auto"/>
          </w:tcPr>
          <w:p w14:paraId="248EC0FD" w14:textId="2285CCBD" w:rsidR="00EA6D90" w:rsidRPr="00A04447" w:rsidRDefault="00A35F3F" w:rsidP="00EA6D90">
            <w:pPr>
              <w:spacing w:line="240" w:lineRule="auto"/>
            </w:pPr>
            <w:r>
              <w:rPr>
                <w:sz w:val="16"/>
              </w:rPr>
              <w:t xml:space="preserve"> Assess</w:t>
            </w:r>
            <w:r w:rsidR="00EA6D90">
              <w:rPr>
                <w:sz w:val="16"/>
              </w:rPr>
              <w:t xml:space="preserve"> whether the </w:t>
            </w:r>
            <w:r>
              <w:rPr>
                <w:sz w:val="16"/>
              </w:rPr>
              <w:t>strategy for dealing with critical data risks and</w:t>
            </w:r>
            <w:r w:rsidR="008A3B0C">
              <w:rPr>
                <w:sz w:val="16"/>
              </w:rPr>
              <w:t xml:space="preserve">/or other </w:t>
            </w:r>
            <w:r>
              <w:rPr>
                <w:sz w:val="16"/>
              </w:rPr>
              <w:t>protecti</w:t>
            </w:r>
            <w:r w:rsidR="008A3B0C">
              <w:rPr>
                <w:sz w:val="16"/>
              </w:rPr>
              <w:t>ve measures</w:t>
            </w:r>
            <w:r>
              <w:rPr>
                <w:sz w:val="16"/>
              </w:rPr>
              <w:t xml:space="preserve"> </w:t>
            </w:r>
            <w:r w:rsidR="008A3B0C">
              <w:rPr>
                <w:sz w:val="16"/>
              </w:rPr>
              <w:t xml:space="preserve">adequately </w:t>
            </w:r>
            <w:r>
              <w:rPr>
                <w:sz w:val="16"/>
              </w:rPr>
              <w:t xml:space="preserve">addresses the </w:t>
            </w:r>
            <w:r w:rsidR="00EA6D90">
              <w:rPr>
                <w:sz w:val="16"/>
              </w:rPr>
              <w:t>following aspects</w:t>
            </w:r>
            <w:r w:rsidR="008A3B0C">
              <w:rPr>
                <w:sz w:val="16"/>
              </w:rPr>
              <w:t xml:space="preserve"> of managing critical data risks</w:t>
            </w:r>
            <w:r w:rsidR="00EA6D90">
              <w:rPr>
                <w:sz w:val="16"/>
              </w:rPr>
              <w:t>:</w:t>
            </w:r>
          </w:p>
          <w:p w14:paraId="138E6ABA" w14:textId="77777777" w:rsidR="00EA6D90" w:rsidRPr="00A04447" w:rsidRDefault="00EA6D90" w:rsidP="00EA6D90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>institution-specific definition of critical data,</w:t>
            </w:r>
          </w:p>
          <w:p w14:paraId="59A1199E" w14:textId="020C2955" w:rsidR="00EA6D90" w:rsidRPr="00A04447" w:rsidRDefault="00EA6D90" w:rsidP="00EA6D90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>systematic identification</w:t>
            </w:r>
            <w:r w:rsidR="007114EA">
              <w:rPr>
                <w:sz w:val="16"/>
              </w:rPr>
              <w:t xml:space="preserve"> of data</w:t>
            </w:r>
            <w:r>
              <w:rPr>
                <w:sz w:val="16"/>
              </w:rPr>
              <w:t xml:space="preserve"> and categorisation,</w:t>
            </w:r>
          </w:p>
          <w:p w14:paraId="14609725" w14:textId="77777777" w:rsidR="00EA6D90" w:rsidRPr="00A04447" w:rsidRDefault="00EA6D90" w:rsidP="00EA6D90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>comprehensive critical data risk management,</w:t>
            </w:r>
          </w:p>
          <w:p w14:paraId="50DB9707" w14:textId="77777777" w:rsidR="00EA6D90" w:rsidRDefault="00EA6D90" w:rsidP="00EA6D90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tasks, </w:t>
            </w:r>
            <w:proofErr w:type="gramStart"/>
            <w:r>
              <w:rPr>
                <w:sz w:val="16"/>
              </w:rPr>
              <w:t>competencies</w:t>
            </w:r>
            <w:proofErr w:type="gramEnd"/>
            <w:r>
              <w:rPr>
                <w:sz w:val="16"/>
              </w:rPr>
              <w:t xml:space="preserve"> and responsibilities for handling critical data, </w:t>
            </w:r>
          </w:p>
          <w:p w14:paraId="1B089DF8" w14:textId="6E01A9CA" w:rsidR="00EA6D90" w:rsidRPr="00A04447" w:rsidRDefault="00EA6D90" w:rsidP="00EA6D90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measures for ensuring the confidentiality, </w:t>
            </w:r>
            <w:proofErr w:type="gramStart"/>
            <w:r>
              <w:rPr>
                <w:sz w:val="16"/>
              </w:rPr>
              <w:t>integrity</w:t>
            </w:r>
            <w:proofErr w:type="gramEnd"/>
            <w:r>
              <w:rPr>
                <w:sz w:val="16"/>
              </w:rPr>
              <w:t xml:space="preserve"> and availability of critical data.</w:t>
            </w:r>
          </w:p>
        </w:tc>
        <w:tc>
          <w:tcPr>
            <w:tcW w:w="2694" w:type="dxa"/>
            <w:shd w:val="clear" w:color="auto" w:fill="auto"/>
          </w:tcPr>
          <w:p w14:paraId="34A0E3E0" w14:textId="77777777" w:rsidR="00EA6D90" w:rsidRPr="00BD5743" w:rsidRDefault="00EA6D90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B52C55F" w14:textId="77777777" w:rsidR="00EA6D90" w:rsidRPr="00BD5743" w:rsidRDefault="00EA6D90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013C6" w:rsidRPr="00A04447" w14:paraId="134DA3A7" w14:textId="77777777" w:rsidTr="00954205">
        <w:tc>
          <w:tcPr>
            <w:tcW w:w="589" w:type="dxa"/>
            <w:shd w:val="clear" w:color="auto" w:fill="auto"/>
          </w:tcPr>
          <w:p w14:paraId="005BAF46" w14:textId="1937D00E" w:rsidR="00D013C6" w:rsidRPr="00A04447" w:rsidRDefault="00857C78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88" w:type="dxa"/>
            <w:shd w:val="clear" w:color="auto" w:fill="auto"/>
          </w:tcPr>
          <w:p w14:paraId="585FB0B9" w14:textId="051D2D62" w:rsidR="00D013C6" w:rsidRPr="00A04447" w:rsidRDefault="008D6E2A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t>Assess</w:t>
            </w:r>
            <w:r w:rsidR="007114EA">
              <w:t xml:space="preserve"> </w:t>
            </w:r>
            <w:r w:rsidR="008A3B0C">
              <w:t>whether the board of directors regularly (</w:t>
            </w:r>
            <w:r w:rsidR="00D013C6">
              <w:t xml:space="preserve">at least </w:t>
            </w:r>
            <w:r w:rsidR="007114EA">
              <w:t>annual</w:t>
            </w:r>
            <w:r w:rsidR="008A3B0C">
              <w:t>l</w:t>
            </w:r>
            <w:r w:rsidR="007114EA">
              <w:t>y</w:t>
            </w:r>
            <w:r w:rsidR="008A3B0C">
              <w:t>)</w:t>
            </w:r>
            <w:r w:rsidR="00D013C6">
              <w:t xml:space="preserve"> </w:t>
            </w:r>
            <w:r w:rsidR="00341B92">
              <w:t xml:space="preserve">evaluates </w:t>
            </w:r>
            <w:r w:rsidR="00D013C6">
              <w:t xml:space="preserve">and approves the risk tolerance for critical data risks in accordance with the risk policy, </w:t>
            </w:r>
            <w:proofErr w:type="gramStart"/>
            <w:r w:rsidR="00D013C6">
              <w:t>taking</w:t>
            </w:r>
            <w:r w:rsidR="007114EA">
              <w:t xml:space="preserve"> into account</w:t>
            </w:r>
            <w:proofErr w:type="gramEnd"/>
            <w:r w:rsidR="00D013C6">
              <w:t xml:space="preserve"> the institution’s strategic and financial </w:t>
            </w:r>
            <w:r w:rsidR="007114EA">
              <w:t>objectives</w:t>
            </w:r>
            <w:r w:rsidR="00D013C6">
              <w:t>.</w:t>
            </w:r>
          </w:p>
        </w:tc>
        <w:tc>
          <w:tcPr>
            <w:tcW w:w="3969" w:type="dxa"/>
            <w:shd w:val="clear" w:color="auto" w:fill="auto"/>
          </w:tcPr>
          <w:p w14:paraId="6A0B8E0F" w14:textId="443E2022" w:rsidR="00D013C6" w:rsidRPr="00BD5743" w:rsidRDefault="00D013C6" w:rsidP="00EA6D90">
            <w:pPr>
              <w:spacing w:line="240" w:lineRule="auto"/>
              <w:rPr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5855D068" w14:textId="77777777" w:rsidR="00D013C6" w:rsidRPr="00BD5743" w:rsidRDefault="00D013C6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F290264" w14:textId="77777777" w:rsidR="00D013C6" w:rsidRPr="00BD5743" w:rsidRDefault="00D013C6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013C6" w:rsidRPr="00A04447" w14:paraId="12E64DEF" w14:textId="77777777" w:rsidTr="00954205">
        <w:tc>
          <w:tcPr>
            <w:tcW w:w="589" w:type="dxa"/>
            <w:shd w:val="clear" w:color="auto" w:fill="auto"/>
          </w:tcPr>
          <w:p w14:paraId="37436764" w14:textId="328116C7" w:rsidR="00D013C6" w:rsidRPr="00A04447" w:rsidRDefault="00857C78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688" w:type="dxa"/>
            <w:shd w:val="clear" w:color="auto" w:fill="auto"/>
          </w:tcPr>
          <w:p w14:paraId="2FE2443E" w14:textId="196AD1C3" w:rsidR="00D013C6" w:rsidRPr="00A04447" w:rsidRDefault="00D013C6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t>Assess</w:t>
            </w:r>
            <w:r w:rsidR="007114EA">
              <w:t xml:space="preserve"> the adequacy of </w:t>
            </w:r>
            <w:r>
              <w:t xml:space="preserve">the identification of material inherent risks with </w:t>
            </w:r>
            <w:r w:rsidR="007114EA">
              <w:t xml:space="preserve">respect </w:t>
            </w:r>
            <w:r>
              <w:t xml:space="preserve">to critical data risks, </w:t>
            </w:r>
            <w:proofErr w:type="gramStart"/>
            <w:r>
              <w:t>i.e.</w:t>
            </w:r>
            <w:proofErr w:type="gramEnd"/>
            <w:r>
              <w:t xml:space="preserve"> if critical data risks are not identified as material inherent risks, </w:t>
            </w:r>
            <w:r w:rsidR="007114EA">
              <w:t xml:space="preserve">assess </w:t>
            </w:r>
            <w:r>
              <w:t xml:space="preserve">the plausibility of the explanation </w:t>
            </w:r>
            <w:r w:rsidR="007114EA">
              <w:t>provided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14:paraId="1660BAFE" w14:textId="5098E543" w:rsidR="00E14832" w:rsidRPr="0011737B" w:rsidRDefault="00E01E6F" w:rsidP="0011737B">
            <w:pPr>
              <w:spacing w:line="240" w:lineRule="auto"/>
            </w:pPr>
            <w:r>
              <w:rPr>
                <w:sz w:val="16"/>
              </w:rPr>
              <w:t>Review, on a</w:t>
            </w:r>
            <w:r w:rsidR="002725F9">
              <w:rPr>
                <w:sz w:val="16"/>
              </w:rPr>
              <w:t>n appropriate</w:t>
            </w:r>
            <w:r>
              <w:rPr>
                <w:sz w:val="16"/>
              </w:rPr>
              <w:t xml:space="preserve"> sample basis, the </w:t>
            </w:r>
            <w:r w:rsidR="00525FA6">
              <w:rPr>
                <w:sz w:val="16"/>
              </w:rPr>
              <w:t>elements for identifying material</w:t>
            </w:r>
            <w:r w:rsidR="002725F9">
              <w:rPr>
                <w:sz w:val="16"/>
              </w:rPr>
              <w:t xml:space="preserve"> critical data</w:t>
            </w:r>
            <w:r w:rsidR="00525FA6">
              <w:rPr>
                <w:sz w:val="16"/>
              </w:rPr>
              <w:t xml:space="preserve"> risks and assess whether potential risks </w:t>
            </w:r>
            <w:r>
              <w:rPr>
                <w:sz w:val="16"/>
              </w:rPr>
              <w:t>associated</w:t>
            </w:r>
            <w:r w:rsidR="007C0C63">
              <w:rPr>
                <w:sz w:val="16"/>
              </w:rPr>
              <w:t xml:space="preserve"> </w:t>
            </w:r>
            <w:r w:rsidR="00525FA6">
              <w:rPr>
                <w:sz w:val="16"/>
              </w:rPr>
              <w:t xml:space="preserve">with critical data are identified and </w:t>
            </w:r>
            <w:r>
              <w:rPr>
                <w:sz w:val="16"/>
              </w:rPr>
              <w:t>addressed,</w:t>
            </w:r>
            <w:r w:rsidR="00525FA6">
              <w:rPr>
                <w:sz w:val="16"/>
              </w:rPr>
              <w:t xml:space="preserve"> and whether the assessment of the materiality of inherent risks is in line with</w:t>
            </w:r>
            <w:r>
              <w:rPr>
                <w:sz w:val="16"/>
              </w:rPr>
              <w:t xml:space="preserve"> the</w:t>
            </w:r>
            <w:r w:rsidR="00525FA6">
              <w:rPr>
                <w:sz w:val="16"/>
              </w:rPr>
              <w:t xml:space="preserve"> risk tolerance. </w:t>
            </w:r>
          </w:p>
        </w:tc>
        <w:tc>
          <w:tcPr>
            <w:tcW w:w="2694" w:type="dxa"/>
            <w:shd w:val="clear" w:color="auto" w:fill="auto"/>
          </w:tcPr>
          <w:p w14:paraId="17F26C28" w14:textId="77777777" w:rsidR="00D013C6" w:rsidRPr="00BD5743" w:rsidRDefault="00D013C6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A2BF1C1" w14:textId="77777777" w:rsidR="00D013C6" w:rsidRPr="00BD5743" w:rsidRDefault="00D013C6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B1883" w:rsidRPr="00A04447" w14:paraId="568ACE19" w14:textId="77777777" w:rsidTr="00954205">
        <w:tc>
          <w:tcPr>
            <w:tcW w:w="589" w:type="dxa"/>
            <w:shd w:val="clear" w:color="auto" w:fill="auto"/>
          </w:tcPr>
          <w:p w14:paraId="63D91E72" w14:textId="26B88336" w:rsidR="00AB1883" w:rsidRPr="00A04447" w:rsidRDefault="00857C78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688" w:type="dxa"/>
            <w:shd w:val="clear" w:color="auto" w:fill="auto"/>
          </w:tcPr>
          <w:p w14:paraId="15BE4747" w14:textId="6C03B0BB" w:rsidR="00AB1883" w:rsidRPr="0011737B" w:rsidRDefault="00AB1883" w:rsidP="0011737B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the organisational measures </w:t>
            </w:r>
            <w:r w:rsidR="00E01E6F">
              <w:t>taken to raise</w:t>
            </w:r>
            <w:r>
              <w:t xml:space="preserve"> awareness among employees and key external </w:t>
            </w:r>
            <w:r w:rsidR="00E01E6F">
              <w:t xml:space="preserve">personnel </w:t>
            </w:r>
            <w:r>
              <w:t xml:space="preserve">(including contractors) </w:t>
            </w:r>
            <w:proofErr w:type="gramStart"/>
            <w:r>
              <w:t>with regard to</w:t>
            </w:r>
            <w:proofErr w:type="gramEnd"/>
            <w:r>
              <w:t xml:space="preserve"> </w:t>
            </w:r>
            <w:r w:rsidRPr="008A3B0C">
              <w:t>their tasks</w:t>
            </w:r>
            <w:r>
              <w:t>, competencies and responsibilities for the reduction of risks in handling critical data.</w:t>
            </w:r>
          </w:p>
          <w:p w14:paraId="1B71E870" w14:textId="419F98CE" w:rsidR="00AB1883" w:rsidRPr="00BD5743" w:rsidRDefault="00AB1883" w:rsidP="0011737B">
            <w:pPr>
              <w:pStyle w:val="Bullet"/>
              <w:numPr>
                <w:ilvl w:val="0"/>
                <w:numId w:val="0"/>
              </w:numPr>
              <w:ind w:left="720" w:hanging="360"/>
              <w:rPr>
                <w:lang w:val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4D93E989" w14:textId="196D057B" w:rsidR="00AB1883" w:rsidRPr="00A04447" w:rsidRDefault="002725F9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Assess</w:t>
            </w:r>
            <w:r w:rsidR="00F118C3">
              <w:rPr>
                <w:sz w:val="16"/>
              </w:rPr>
              <w:t xml:space="preserve">, </w:t>
            </w:r>
            <w:r w:rsidR="006A7426">
              <w:rPr>
                <w:sz w:val="16"/>
              </w:rPr>
              <w:t xml:space="preserve">on the basis of appropriate sample </w:t>
            </w:r>
            <w:r w:rsidR="00164244">
              <w:rPr>
                <w:sz w:val="16"/>
              </w:rPr>
              <w:t>through random sampling testing</w:t>
            </w:r>
            <w:r w:rsidR="007C0C63">
              <w:rPr>
                <w:sz w:val="16"/>
              </w:rPr>
              <w:t xml:space="preserve"> </w:t>
            </w:r>
            <w:r w:rsidR="00AB1883">
              <w:rPr>
                <w:sz w:val="16"/>
              </w:rPr>
              <w:t xml:space="preserve">of key personnel and external </w:t>
            </w:r>
            <w:r w:rsidR="00164244">
              <w:rPr>
                <w:sz w:val="16"/>
              </w:rPr>
              <w:t xml:space="preserve">personnel </w:t>
            </w:r>
            <w:r w:rsidR="00AB1883">
              <w:rPr>
                <w:sz w:val="16"/>
              </w:rPr>
              <w:t>(including contractors</w:t>
            </w:r>
            <w:proofErr w:type="gramStart"/>
            <w:r w:rsidR="00AB1883">
              <w:rPr>
                <w:sz w:val="16"/>
              </w:rPr>
              <w:t>)</w:t>
            </w:r>
            <w:r w:rsidR="006A7426">
              <w:rPr>
                <w:sz w:val="16"/>
              </w:rPr>
              <w:t>,</w:t>
            </w:r>
            <w:r w:rsidR="00AB1883">
              <w:rPr>
                <w:sz w:val="16"/>
              </w:rPr>
              <w:t>whether</w:t>
            </w:r>
            <w:proofErr w:type="gramEnd"/>
            <w:r w:rsidR="00AB1883">
              <w:rPr>
                <w:sz w:val="16"/>
              </w:rPr>
              <w:t xml:space="preserve"> sufficient measures are </w:t>
            </w:r>
            <w:r w:rsidR="00164244">
              <w:rPr>
                <w:sz w:val="16"/>
              </w:rPr>
              <w:t xml:space="preserve">in place </w:t>
            </w:r>
            <w:r w:rsidR="00AB1883">
              <w:rPr>
                <w:sz w:val="16"/>
              </w:rPr>
              <w:t xml:space="preserve">to raise awareness </w:t>
            </w:r>
            <w:r w:rsidR="00164244">
              <w:rPr>
                <w:sz w:val="16"/>
              </w:rPr>
              <w:t xml:space="preserve">of the </w:t>
            </w:r>
            <w:r w:rsidR="00AB1883">
              <w:rPr>
                <w:sz w:val="16"/>
              </w:rPr>
              <w:t>handling</w:t>
            </w:r>
            <w:r w:rsidR="00164244">
              <w:rPr>
                <w:sz w:val="16"/>
              </w:rPr>
              <w:t xml:space="preserve"> of</w:t>
            </w:r>
            <w:r w:rsidR="00AB1883">
              <w:rPr>
                <w:sz w:val="16"/>
              </w:rPr>
              <w:t xml:space="preserve"> critical data. A selection of the following measures </w:t>
            </w:r>
            <w:r w:rsidR="00164244">
              <w:rPr>
                <w:sz w:val="16"/>
              </w:rPr>
              <w:t>might</w:t>
            </w:r>
            <w:r w:rsidR="00AB1883">
              <w:rPr>
                <w:sz w:val="16"/>
              </w:rPr>
              <w:t xml:space="preserve"> be expected:</w:t>
            </w:r>
          </w:p>
          <w:p w14:paraId="3E73039D" w14:textId="48C9D591" w:rsidR="00AB1883" w:rsidRPr="00A04447" w:rsidRDefault="00AB1883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>confirmation of acknowledgement of and compliance with the Code of Conduct,</w:t>
            </w:r>
          </w:p>
          <w:p w14:paraId="5D5E6584" w14:textId="06781196" w:rsidR="00AB1883" w:rsidRPr="00A04447" w:rsidRDefault="00AB1883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 xml:space="preserve">training to raise awareness </w:t>
            </w:r>
            <w:r w:rsidR="00164244">
              <w:rPr>
                <w:sz w:val="16"/>
              </w:rPr>
              <w:t xml:space="preserve">on the </w:t>
            </w:r>
            <w:r>
              <w:rPr>
                <w:sz w:val="16"/>
              </w:rPr>
              <w:t xml:space="preserve">handling </w:t>
            </w:r>
            <w:r w:rsidR="00164244">
              <w:rPr>
                <w:sz w:val="16"/>
              </w:rPr>
              <w:t xml:space="preserve">of </w:t>
            </w:r>
            <w:r>
              <w:rPr>
                <w:sz w:val="16"/>
              </w:rPr>
              <w:t>critical data,</w:t>
            </w:r>
          </w:p>
          <w:p w14:paraId="09695DBC" w14:textId="4747490F" w:rsidR="00AB1883" w:rsidRPr="00A04447" w:rsidRDefault="00AB1883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 xml:space="preserve">internal </w:t>
            </w:r>
            <w:r w:rsidR="00164244">
              <w:rPr>
                <w:sz w:val="16"/>
              </w:rPr>
              <w:t xml:space="preserve">notices </w:t>
            </w:r>
            <w:r>
              <w:rPr>
                <w:sz w:val="16"/>
              </w:rPr>
              <w:t xml:space="preserve">and regular communication about the handling of critical data, data security and data protection, </w:t>
            </w:r>
          </w:p>
          <w:p w14:paraId="7BEECF2D" w14:textId="14CAACAD" w:rsidR="00AB1883" w:rsidRPr="00A04447" w:rsidRDefault="00AB1883" w:rsidP="00AB1883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 xml:space="preserve">target group-specific training for internal and external </w:t>
            </w:r>
            <w:r w:rsidR="00164244">
              <w:rPr>
                <w:sz w:val="16"/>
              </w:rPr>
              <w:t xml:space="preserve">personnel </w:t>
            </w:r>
            <w:r>
              <w:rPr>
                <w:sz w:val="16"/>
              </w:rPr>
              <w:t>with (elevated) access rights to critical data.</w:t>
            </w:r>
          </w:p>
        </w:tc>
        <w:tc>
          <w:tcPr>
            <w:tcW w:w="2694" w:type="dxa"/>
            <w:shd w:val="clear" w:color="auto" w:fill="auto"/>
          </w:tcPr>
          <w:p w14:paraId="138EDDEC" w14:textId="77777777" w:rsidR="00AB1883" w:rsidRPr="00BD5743" w:rsidRDefault="00AB188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AE461DA" w14:textId="77777777" w:rsidR="00AB1883" w:rsidRPr="00BD5743" w:rsidRDefault="00AB188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9126B8" w:rsidRPr="00A04447" w14:paraId="786128E3" w14:textId="77777777" w:rsidTr="00954205">
        <w:trPr>
          <w:trHeight w:val="2204"/>
        </w:trPr>
        <w:tc>
          <w:tcPr>
            <w:tcW w:w="589" w:type="dxa"/>
            <w:shd w:val="clear" w:color="auto" w:fill="auto"/>
          </w:tcPr>
          <w:p w14:paraId="3B77224B" w14:textId="3127875E" w:rsidR="009126B8" w:rsidRPr="00A04447" w:rsidRDefault="00857C78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</w:t>
            </w:r>
          </w:p>
          <w:p w14:paraId="2DD483C9" w14:textId="75963A87" w:rsidR="009126B8" w:rsidRPr="00A04447" w:rsidRDefault="009126B8" w:rsidP="00A969FD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4688" w:type="dxa"/>
            <w:shd w:val="clear" w:color="auto" w:fill="auto"/>
          </w:tcPr>
          <w:p w14:paraId="687EBD31" w14:textId="720649F9" w:rsidR="009126B8" w:rsidRPr="00A04447" w:rsidRDefault="009126B8" w:rsidP="00A969FD">
            <w:pPr>
              <w:pStyle w:val="Bullet"/>
              <w:numPr>
                <w:ilvl w:val="0"/>
                <w:numId w:val="0"/>
              </w:numPr>
            </w:pPr>
            <w:r>
              <w:t>Assess the adequacy of the training provided on the topic of handling critical data</w:t>
            </w:r>
            <w:r w:rsidR="00F118C3">
              <w:t>,</w:t>
            </w:r>
            <w:r>
              <w:t xml:space="preserve"> </w:t>
            </w:r>
            <w:r w:rsidR="00F118C3">
              <w:t>taking into account</w:t>
            </w:r>
            <w:r>
              <w:t xml:space="preserve"> current risks and</w:t>
            </w:r>
            <w:r w:rsidR="00F118C3">
              <w:t xml:space="preserve"> the needs of specific </w:t>
            </w:r>
            <w:proofErr w:type="gramStart"/>
            <w:r w:rsidR="00F118C3">
              <w:t>audiences</w:t>
            </w:r>
            <w:r>
              <w:t xml:space="preserve">  (</w:t>
            </w:r>
            <w:proofErr w:type="gramEnd"/>
            <w:r>
              <w:t xml:space="preserve">e.g. for employees with access to critical data, employees with privileged or elevated rights, managers, external </w:t>
            </w:r>
            <w:r w:rsidR="00E01E6F">
              <w:t xml:space="preserve">personnel </w:t>
            </w:r>
            <w:r>
              <w:t>[including contractors]).</w:t>
            </w:r>
          </w:p>
          <w:p w14:paraId="4CD09062" w14:textId="7DED1687" w:rsidR="009126B8" w:rsidRPr="00BD5743" w:rsidRDefault="009126B8" w:rsidP="00404655">
            <w:pPr>
              <w:pStyle w:val="Bullet"/>
              <w:ind w:left="0"/>
              <w:rPr>
                <w:lang w:val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83FDBAF" w14:textId="77777777" w:rsidR="009126B8" w:rsidRPr="00BD5743" w:rsidRDefault="009126B8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44DBD1D8" w14:textId="77777777" w:rsidR="009126B8" w:rsidRPr="00BD5743" w:rsidRDefault="009126B8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00E1C51" w14:textId="77777777" w:rsidR="009126B8" w:rsidRPr="00BD5743" w:rsidRDefault="009126B8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B1883" w:rsidRPr="00A04447" w14:paraId="1E7ED540" w14:textId="77777777" w:rsidTr="00954205">
        <w:tc>
          <w:tcPr>
            <w:tcW w:w="589" w:type="dxa"/>
            <w:shd w:val="clear" w:color="auto" w:fill="auto"/>
          </w:tcPr>
          <w:p w14:paraId="2D421FDF" w14:textId="0E9228B3" w:rsidR="00AB1883" w:rsidRPr="00A04447" w:rsidRDefault="00857C78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688" w:type="dxa"/>
            <w:shd w:val="clear" w:color="auto" w:fill="auto"/>
          </w:tcPr>
          <w:p w14:paraId="5CCD86F3" w14:textId="643C3181" w:rsidR="00AB1883" w:rsidRPr="00A04447" w:rsidRDefault="00AB1883" w:rsidP="00A969FD">
            <w:pPr>
              <w:pStyle w:val="Bullet"/>
              <w:numPr>
                <w:ilvl w:val="0"/>
                <w:numId w:val="0"/>
              </w:numPr>
            </w:pPr>
            <w:r>
              <w:t>Assess the adequacy of reporting to the executive board (content, frequency etc.) on the development of relevant ICT risks (incl. critical data risks), the effectiveness of key controls</w:t>
            </w:r>
            <w:r w:rsidR="00164244">
              <w:t>,</w:t>
            </w:r>
            <w:r>
              <w:t xml:space="preserve"> and major internal and external incidents.</w:t>
            </w:r>
          </w:p>
        </w:tc>
        <w:tc>
          <w:tcPr>
            <w:tcW w:w="3969" w:type="dxa"/>
            <w:shd w:val="clear" w:color="auto" w:fill="auto"/>
          </w:tcPr>
          <w:p w14:paraId="53BF096B" w14:textId="77777777" w:rsidR="00AB1883" w:rsidRPr="00BD5743" w:rsidRDefault="00AB188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62D93259" w14:textId="77777777" w:rsidR="00AB1883" w:rsidRPr="00BD5743" w:rsidRDefault="00AB188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16D706D" w14:textId="77777777" w:rsidR="00AB1883" w:rsidRPr="00BD5743" w:rsidRDefault="00AB188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B1883" w:rsidRPr="00A04447" w14:paraId="632DE4F2" w14:textId="77777777" w:rsidTr="00954205">
        <w:tc>
          <w:tcPr>
            <w:tcW w:w="589" w:type="dxa"/>
            <w:shd w:val="clear" w:color="auto" w:fill="auto"/>
          </w:tcPr>
          <w:p w14:paraId="1E9BF49E" w14:textId="227FF369" w:rsidR="00AB1883" w:rsidRPr="00A04447" w:rsidRDefault="00857C78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688" w:type="dxa"/>
            <w:shd w:val="clear" w:color="auto" w:fill="auto"/>
          </w:tcPr>
          <w:p w14:paraId="600420F8" w14:textId="22F86E74" w:rsidR="00AB1883" w:rsidRPr="00A04447" w:rsidRDefault="00AB1883" w:rsidP="00A969FD">
            <w:pPr>
              <w:pStyle w:val="Bullet"/>
              <w:numPr>
                <w:ilvl w:val="0"/>
                <w:numId w:val="0"/>
              </w:numPr>
            </w:pPr>
            <w:r>
              <w:t xml:space="preserve">Assess the </w:t>
            </w:r>
            <w:r w:rsidR="00164244">
              <w:t xml:space="preserve">results </w:t>
            </w:r>
            <w:r>
              <w:t>of audit and control procedures performed by Internal Audit and/or other control functions (</w:t>
            </w:r>
            <w:proofErr w:type="gramStart"/>
            <w:r w:rsidR="00164244">
              <w:t>e.g.</w:t>
            </w:r>
            <w:proofErr w:type="gramEnd"/>
            <w:r>
              <w:t xml:space="preserve"> </w:t>
            </w:r>
            <w:r w:rsidR="002725F9" w:rsidRPr="00954205">
              <w:t>I</w:t>
            </w:r>
            <w:r w:rsidRPr="0043124C">
              <w:t xml:space="preserve">ndependent </w:t>
            </w:r>
            <w:r w:rsidR="002725F9" w:rsidRPr="00954205">
              <w:t>R</w:t>
            </w:r>
            <w:r w:rsidRPr="0043124C">
              <w:t xml:space="preserve">isk </w:t>
            </w:r>
            <w:r w:rsidR="002725F9" w:rsidRPr="00954205">
              <w:t>C</w:t>
            </w:r>
            <w:r w:rsidRPr="0043124C">
              <w:t xml:space="preserve">ontrol) </w:t>
            </w:r>
            <w:r w:rsidR="00164244" w:rsidRPr="0043124C">
              <w:t>related to</w:t>
            </w:r>
            <w:r w:rsidRPr="0043124C">
              <w:t xml:space="preserve"> the management of critical data risks</w:t>
            </w:r>
            <w:r w:rsidR="00BB050A" w:rsidRPr="00954205">
              <w:t xml:space="preserve">, </w:t>
            </w:r>
            <w:r w:rsidRPr="0043124C">
              <w:t>and review</w:t>
            </w:r>
            <w:r>
              <w:t xml:space="preserve"> minutes of </w:t>
            </w:r>
            <w:r w:rsidR="00164244">
              <w:t xml:space="preserve">relevant </w:t>
            </w:r>
            <w:r>
              <w:t>committees and function</w:t>
            </w:r>
            <w:r w:rsidR="00164244">
              <w:t xml:space="preserve"> meetings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14:paraId="1971C68D" w14:textId="77777777" w:rsidR="00AB1883" w:rsidRPr="00BD5743" w:rsidRDefault="00AB188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3CDADDBF" w14:textId="77777777" w:rsidR="00AB1883" w:rsidRPr="00BD5743" w:rsidRDefault="00AB188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379D003" w14:textId="77777777" w:rsidR="00AB1883" w:rsidRPr="00BD5743" w:rsidRDefault="00AB188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2292ED97" w14:textId="77777777" w:rsidTr="0011737B">
        <w:tc>
          <w:tcPr>
            <w:tcW w:w="1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BB6DC" w14:textId="3351AC55" w:rsidR="00A969FD" w:rsidRPr="00A04447" w:rsidRDefault="00A969FD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Tasks, </w:t>
            </w:r>
            <w:proofErr w:type="gramStart"/>
            <w:r>
              <w:rPr>
                <w:i/>
                <w:sz w:val="16"/>
              </w:rPr>
              <w:t>competencies</w:t>
            </w:r>
            <w:proofErr w:type="gramEnd"/>
            <w:r>
              <w:rPr>
                <w:i/>
                <w:sz w:val="16"/>
              </w:rPr>
              <w:t xml:space="preserve"> and responsibilities (margin nos. 72 and 75 FINMA Circ. 23/1):</w:t>
            </w:r>
          </w:p>
        </w:tc>
      </w:tr>
      <w:tr w:rsidR="00F56878" w:rsidRPr="00A04447" w14:paraId="29F6CD55" w14:textId="77777777" w:rsidTr="00954205">
        <w:tc>
          <w:tcPr>
            <w:tcW w:w="589" w:type="dxa"/>
            <w:shd w:val="clear" w:color="auto" w:fill="auto"/>
          </w:tcPr>
          <w:p w14:paraId="2BA92651" w14:textId="3CD508B3" w:rsidR="00F56878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4688" w:type="dxa"/>
            <w:shd w:val="clear" w:color="auto" w:fill="auto"/>
          </w:tcPr>
          <w:p w14:paraId="132FBEE8" w14:textId="23180C10" w:rsidR="00BE7163" w:rsidRPr="00A04447" w:rsidRDefault="00CC1A7E" w:rsidP="00401D47">
            <w:pPr>
              <w:pStyle w:val="Bullet"/>
              <w:numPr>
                <w:ilvl w:val="0"/>
                <w:numId w:val="0"/>
              </w:numPr>
              <w:ind w:left="33"/>
            </w:pPr>
            <w:r>
              <w:rPr>
                <w:b/>
                <w:sz w:val="24"/>
              </w:rPr>
              <w:t>**</w:t>
            </w:r>
            <w:r>
              <w:rPr>
                <w:b/>
              </w:rPr>
              <w:t xml:space="preserve"> </w:t>
            </w:r>
            <w:r>
              <w:t xml:space="preserve">Assess the adequacy, qualifications and independence of the </w:t>
            </w:r>
            <w:r w:rsidR="00267F8D" w:rsidRPr="00B04AE1">
              <w:t>entity providing</w:t>
            </w:r>
            <w:r w:rsidRPr="00B04AE1">
              <w:t xml:space="preserve"> the</w:t>
            </w:r>
            <w:r>
              <w:t xml:space="preserve"> (independent) control function </w:t>
            </w:r>
            <w:r w:rsidR="00267F8D">
              <w:t>to ensure</w:t>
            </w:r>
            <w:r>
              <w:t xml:space="preserve"> the confidentiality, </w:t>
            </w:r>
            <w:proofErr w:type="gramStart"/>
            <w:r>
              <w:t>integrity</w:t>
            </w:r>
            <w:proofErr w:type="gramEnd"/>
            <w:r>
              <w:t xml:space="preserve"> and availability of critical data </w:t>
            </w:r>
            <w:r w:rsidR="00267F8D">
              <w:t xml:space="preserve">through </w:t>
            </w:r>
            <w:r>
              <w:t>appropriate processes, procedures and controls.</w:t>
            </w:r>
          </w:p>
        </w:tc>
        <w:tc>
          <w:tcPr>
            <w:tcW w:w="3969" w:type="dxa"/>
            <w:shd w:val="clear" w:color="auto" w:fill="auto"/>
          </w:tcPr>
          <w:p w14:paraId="29BB76B7" w14:textId="77777777" w:rsidR="00F56878" w:rsidRPr="00BD5743" w:rsidRDefault="00F56878" w:rsidP="0092679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17C6194F" w14:textId="77777777" w:rsidR="00F56878" w:rsidRPr="00BD5743" w:rsidRDefault="00F56878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5C5A279" w14:textId="77777777" w:rsidR="00F56878" w:rsidRPr="00BD5743" w:rsidRDefault="00F56878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26F59FF4" w14:textId="77777777" w:rsidTr="00954205">
        <w:tc>
          <w:tcPr>
            <w:tcW w:w="589" w:type="dxa"/>
            <w:shd w:val="clear" w:color="auto" w:fill="auto"/>
          </w:tcPr>
          <w:p w14:paraId="0F73CF88" w14:textId="7D8AF073" w:rsidR="00A969FD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688" w:type="dxa"/>
            <w:shd w:val="clear" w:color="auto" w:fill="auto"/>
          </w:tcPr>
          <w:p w14:paraId="03AB5048" w14:textId="590103A4" w:rsidR="00A969FD" w:rsidRPr="00A04447" w:rsidRDefault="00CC1A7E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rPr>
                <w:b/>
                <w:sz w:val="24"/>
              </w:rPr>
              <w:t xml:space="preserve">** </w:t>
            </w:r>
            <w:r>
              <w:t xml:space="preserve">Assess the adequacy of </w:t>
            </w:r>
            <w:r w:rsidRPr="00B04AE1">
              <w:t>the tasks,</w:t>
            </w:r>
            <w:r>
              <w:t xml:space="preserve"> competencies and responsibilities for handling data identified </w:t>
            </w:r>
            <w:r w:rsidR="00267F8D">
              <w:t xml:space="preserve">by the institution </w:t>
            </w:r>
            <w:r>
              <w:t xml:space="preserve">as critical throughout the life cycle of such data to ensure confidentiality, </w:t>
            </w:r>
            <w:proofErr w:type="gramStart"/>
            <w:r>
              <w:t>integrity</w:t>
            </w:r>
            <w:proofErr w:type="gramEnd"/>
            <w:r>
              <w:t xml:space="preserve"> and availability.</w:t>
            </w:r>
          </w:p>
          <w:p w14:paraId="68ED52D2" w14:textId="77777777" w:rsidR="00A969FD" w:rsidRPr="00BD5743" w:rsidRDefault="00A969FD" w:rsidP="00A969FD">
            <w:pPr>
              <w:pStyle w:val="Bullet"/>
              <w:numPr>
                <w:ilvl w:val="0"/>
                <w:numId w:val="0"/>
              </w:numPr>
              <w:ind w:left="33"/>
              <w:rPr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BD2DD1B" w14:textId="267DF133" w:rsidR="00A969FD" w:rsidRPr="00A04447" w:rsidRDefault="00CC1A7E" w:rsidP="0092679D">
            <w:r>
              <w:rPr>
                <w:b/>
                <w:sz w:val="24"/>
              </w:rPr>
              <w:t xml:space="preserve">** </w:t>
            </w:r>
            <w:r w:rsidR="00BB050A">
              <w:rPr>
                <w:sz w:val="16"/>
              </w:rPr>
              <w:t>Assess</w:t>
            </w:r>
            <w:r w:rsidR="00267F8D">
              <w:rPr>
                <w:sz w:val="16"/>
              </w:rPr>
              <w:t xml:space="preserve">, </w:t>
            </w:r>
            <w:proofErr w:type="gramStart"/>
            <w:r w:rsidR="006A7426">
              <w:rPr>
                <w:sz w:val="16"/>
              </w:rPr>
              <w:t>on the basis of</w:t>
            </w:r>
            <w:proofErr w:type="gramEnd"/>
            <w:r w:rsidR="006A7426">
              <w:rPr>
                <w:sz w:val="16"/>
              </w:rPr>
              <w:t xml:space="preserve"> appropriate samples </w:t>
            </w:r>
            <w:r w:rsidR="00267F8D">
              <w:rPr>
                <w:sz w:val="16"/>
              </w:rPr>
              <w:t xml:space="preserve">of </w:t>
            </w:r>
            <w:r>
              <w:rPr>
                <w:sz w:val="16"/>
              </w:rPr>
              <w:t>key personnel</w:t>
            </w:r>
            <w:r w:rsidR="006A7426">
              <w:rPr>
                <w:sz w:val="16"/>
              </w:rPr>
              <w:t>,</w:t>
            </w:r>
            <w:r>
              <w:rPr>
                <w:sz w:val="16"/>
              </w:rPr>
              <w:t xml:space="preserve"> whether the </w:t>
            </w:r>
            <w:r w:rsidRPr="00B04AE1">
              <w:rPr>
                <w:sz w:val="16"/>
              </w:rPr>
              <w:t>tasks,</w:t>
            </w:r>
            <w:r>
              <w:rPr>
                <w:sz w:val="16"/>
              </w:rPr>
              <w:t xml:space="preserve"> competencies</w:t>
            </w:r>
            <w:r w:rsidR="00267F8D">
              <w:rPr>
                <w:sz w:val="16"/>
              </w:rPr>
              <w:t>,</w:t>
            </w:r>
            <w:r>
              <w:rPr>
                <w:sz w:val="16"/>
              </w:rPr>
              <w:t xml:space="preserve"> and responsibilities for handling critical data are adequately defined and </w:t>
            </w:r>
            <w:r w:rsidR="00267F8D">
              <w:rPr>
                <w:sz w:val="16"/>
              </w:rPr>
              <w:t>assigned</w:t>
            </w:r>
            <w:r>
              <w:rPr>
                <w:sz w:val="16"/>
              </w:rPr>
              <w:t xml:space="preserve">. The following aspects </w:t>
            </w:r>
            <w:r w:rsidR="00963EE6">
              <w:rPr>
                <w:sz w:val="16"/>
              </w:rPr>
              <w:t>should be considered</w:t>
            </w:r>
            <w:r>
              <w:rPr>
                <w:sz w:val="16"/>
              </w:rPr>
              <w:t>:</w:t>
            </w:r>
          </w:p>
          <w:p w14:paraId="2D972C94" w14:textId="77B03BC0" w:rsidR="00A969FD" w:rsidRPr="0011737B" w:rsidRDefault="00A969FD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</w:rPr>
              <w:t>clear description of roles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data producer, data consumer, data administrator, data quality analyst, data owner / steward / custodian etc.),</w:t>
            </w:r>
          </w:p>
          <w:p w14:paraId="5E339D97" w14:textId="59978C9B" w:rsidR="00A969FD" w:rsidRPr="0011737B" w:rsidRDefault="00A969FD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clear description of the tasks, </w:t>
            </w:r>
            <w:proofErr w:type="gramStart"/>
            <w:r>
              <w:rPr>
                <w:sz w:val="16"/>
              </w:rPr>
              <w:t>competencies</w:t>
            </w:r>
            <w:proofErr w:type="gramEnd"/>
            <w:r>
              <w:rPr>
                <w:sz w:val="16"/>
              </w:rPr>
              <w:t xml:space="preserve"> and responsibilities of the roles, </w:t>
            </w:r>
          </w:p>
          <w:p w14:paraId="738F27E4" w14:textId="25F9F924" w:rsidR="00A969FD" w:rsidRPr="00A04447" w:rsidDel="000E489F" w:rsidRDefault="00A969FD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</w:rPr>
              <w:t>clear description of the organisation, functional distinctions, reporting lines and communication channels.</w:t>
            </w:r>
          </w:p>
        </w:tc>
        <w:tc>
          <w:tcPr>
            <w:tcW w:w="2694" w:type="dxa"/>
            <w:shd w:val="clear" w:color="auto" w:fill="auto"/>
          </w:tcPr>
          <w:p w14:paraId="55FA3B5B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BC3F0B1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18E0CE17" w14:textId="77777777" w:rsidTr="00954205">
        <w:tc>
          <w:tcPr>
            <w:tcW w:w="589" w:type="dxa"/>
            <w:shd w:val="clear" w:color="auto" w:fill="auto"/>
          </w:tcPr>
          <w:p w14:paraId="02D0FB27" w14:textId="473E1C22" w:rsidR="00A969FD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688" w:type="dxa"/>
            <w:shd w:val="clear" w:color="auto" w:fill="auto"/>
          </w:tcPr>
          <w:p w14:paraId="263FB134" w14:textId="04DAD541" w:rsidR="00A969FD" w:rsidRPr="0011737B" w:rsidRDefault="00CC1A7E">
            <w:pPr>
              <w:pStyle w:val="Bullet"/>
              <w:numPr>
                <w:ilvl w:val="0"/>
                <w:numId w:val="0"/>
              </w:numPr>
              <w:ind w:left="33"/>
              <w:rPr>
                <w:rFonts w:cstheme="minorBidi"/>
              </w:rPr>
            </w:pPr>
            <w:r>
              <w:rPr>
                <w:b/>
                <w:sz w:val="24"/>
              </w:rPr>
              <w:t>**</w:t>
            </w:r>
            <w:r>
              <w:rPr>
                <w:b/>
              </w:rPr>
              <w:t xml:space="preserve"> </w:t>
            </w:r>
            <w:r>
              <w:t xml:space="preserve">Assess the adequacy of the assignment </w:t>
            </w:r>
            <w:r w:rsidRPr="00B04AE1">
              <w:t>of tasks,</w:t>
            </w:r>
            <w:r>
              <w:t xml:space="preserve"> </w:t>
            </w:r>
            <w:proofErr w:type="gramStart"/>
            <w:r>
              <w:t>competencies</w:t>
            </w:r>
            <w:proofErr w:type="gramEnd"/>
            <w:r>
              <w:t xml:space="preserve"> and responsibilities for handling the data identified as critical by the institution throughout the life cycle of such data to ensure confidentiality, integrity and availability.</w:t>
            </w:r>
          </w:p>
        </w:tc>
        <w:tc>
          <w:tcPr>
            <w:tcW w:w="3969" w:type="dxa"/>
            <w:shd w:val="clear" w:color="auto" w:fill="auto"/>
          </w:tcPr>
          <w:p w14:paraId="5947566B" w14:textId="7575E39E" w:rsidR="00A969FD" w:rsidRPr="0043124C" w:rsidRDefault="00CC1A7E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t xml:space="preserve">** </w:t>
            </w:r>
            <w:r w:rsidR="00BB050A" w:rsidRPr="00954205">
              <w:rPr>
                <w:sz w:val="16"/>
              </w:rPr>
              <w:t>Assess</w:t>
            </w:r>
            <w:r w:rsidR="00963EE6" w:rsidRPr="0043124C">
              <w:rPr>
                <w:sz w:val="16"/>
              </w:rPr>
              <w:t xml:space="preserve">, </w:t>
            </w:r>
            <w:proofErr w:type="gramStart"/>
            <w:r w:rsidR="006A7426" w:rsidRPr="00954205">
              <w:rPr>
                <w:sz w:val="16"/>
              </w:rPr>
              <w:t>on the basis of</w:t>
            </w:r>
            <w:proofErr w:type="gramEnd"/>
            <w:r w:rsidR="006A7426" w:rsidRPr="00954205">
              <w:rPr>
                <w:sz w:val="16"/>
              </w:rPr>
              <w:t xml:space="preserve"> appropriate samples </w:t>
            </w:r>
            <w:r w:rsidR="00963EE6" w:rsidRPr="0043124C">
              <w:rPr>
                <w:sz w:val="16"/>
              </w:rPr>
              <w:t>of</w:t>
            </w:r>
            <w:r w:rsidRPr="0043124C">
              <w:rPr>
                <w:sz w:val="16"/>
              </w:rPr>
              <w:t xml:space="preserve"> key personnel</w:t>
            </w:r>
            <w:r w:rsidR="006A7426" w:rsidRPr="00954205">
              <w:rPr>
                <w:sz w:val="16"/>
              </w:rPr>
              <w:t>,</w:t>
            </w:r>
            <w:r w:rsidRPr="0043124C">
              <w:rPr>
                <w:sz w:val="16"/>
              </w:rPr>
              <w:t xml:space="preserve"> whether the following are adequately </w:t>
            </w:r>
            <w:r w:rsidR="006A7426" w:rsidRPr="00954205">
              <w:rPr>
                <w:sz w:val="16"/>
              </w:rPr>
              <w:t>addressed</w:t>
            </w:r>
            <w:r w:rsidRPr="0043124C">
              <w:rPr>
                <w:sz w:val="16"/>
              </w:rPr>
              <w:t>:</w:t>
            </w:r>
          </w:p>
          <w:p w14:paraId="2F280FF5" w14:textId="768BED3A" w:rsidR="00A969FD" w:rsidRPr="0043124C" w:rsidRDefault="00A969F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 w:rsidRPr="0043124C">
              <w:rPr>
                <w:sz w:val="16"/>
              </w:rPr>
              <w:t>qualifications and experience,</w:t>
            </w:r>
          </w:p>
          <w:p w14:paraId="3525E796" w14:textId="7118CFE4" w:rsidR="00967F18" w:rsidRPr="0043124C" w:rsidRDefault="00967F18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 w:rsidRPr="0043124C">
              <w:rPr>
                <w:sz w:val="16"/>
              </w:rPr>
              <w:t>function,</w:t>
            </w:r>
          </w:p>
          <w:p w14:paraId="747DEDE8" w14:textId="46AA128C" w:rsidR="00A969FD" w:rsidRPr="00A04447" w:rsidDel="000E489F" w:rsidRDefault="009E7820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 w:rsidRPr="0043124C">
              <w:rPr>
                <w:sz w:val="16"/>
              </w:rPr>
              <w:t xml:space="preserve">proportionality of the </w:t>
            </w:r>
            <w:r w:rsidR="00963EE6" w:rsidRPr="0043124C">
              <w:rPr>
                <w:sz w:val="16"/>
              </w:rPr>
              <w:t xml:space="preserve">allocation </w:t>
            </w:r>
            <w:r w:rsidRPr="0043124C">
              <w:rPr>
                <w:sz w:val="16"/>
              </w:rPr>
              <w:t>of data elements per data controller.</w:t>
            </w:r>
          </w:p>
        </w:tc>
        <w:tc>
          <w:tcPr>
            <w:tcW w:w="2694" w:type="dxa"/>
            <w:shd w:val="clear" w:color="auto" w:fill="auto"/>
          </w:tcPr>
          <w:p w14:paraId="1E1CE235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51EC7B8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0471C44E" w14:textId="77777777" w:rsidR="00783B23" w:rsidRDefault="00783B23">
      <w:r>
        <w:br w:type="page"/>
      </w:r>
    </w:p>
    <w:tbl>
      <w:tblPr>
        <w:tblW w:w="129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4830"/>
        <w:gridCol w:w="3969"/>
        <w:gridCol w:w="2694"/>
        <w:gridCol w:w="992"/>
      </w:tblGrid>
      <w:tr w:rsidR="00A969FD" w:rsidRPr="00A04447" w:rsidDel="005402E1" w14:paraId="753485BE" w14:textId="77777777" w:rsidTr="0011737B">
        <w:tc>
          <w:tcPr>
            <w:tcW w:w="1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A75C3" w14:textId="0268AAEC" w:rsidR="00A969FD" w:rsidRPr="0011737B" w:rsidDel="005402E1" w:rsidRDefault="00A969FD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Procedures, </w:t>
            </w:r>
            <w:proofErr w:type="gramStart"/>
            <w:r>
              <w:rPr>
                <w:sz w:val="16"/>
              </w:rPr>
              <w:t>processes</w:t>
            </w:r>
            <w:proofErr w:type="gramEnd"/>
            <w:r>
              <w:rPr>
                <w:sz w:val="16"/>
              </w:rPr>
              <w:t xml:space="preserve"> and controls (margin nos. 74, 75 and 76–78 FINMA Circ. 23/1):</w:t>
            </w:r>
          </w:p>
        </w:tc>
      </w:tr>
      <w:tr w:rsidR="00A969FD" w:rsidRPr="00A04447" w:rsidDel="005402E1" w14:paraId="6427896B" w14:textId="77777777" w:rsidTr="003B21E3">
        <w:tc>
          <w:tcPr>
            <w:tcW w:w="447" w:type="dxa"/>
            <w:shd w:val="clear" w:color="auto" w:fill="auto"/>
          </w:tcPr>
          <w:p w14:paraId="7AA963DD" w14:textId="7B16C249" w:rsidR="00A969FD" w:rsidRPr="00A04447" w:rsidDel="005402E1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30" w:type="dxa"/>
            <w:shd w:val="clear" w:color="auto" w:fill="auto"/>
          </w:tcPr>
          <w:p w14:paraId="0A7ECFC9" w14:textId="07ADF0A6" w:rsidR="00A969FD" w:rsidRPr="00A04447" w:rsidDel="005402E1" w:rsidRDefault="00A969FD" w:rsidP="00A969FD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Assess the adequacy of key controls for handling critical data </w:t>
            </w:r>
            <w:r w:rsidR="00963EE6">
              <w:rPr>
                <w:sz w:val="16"/>
              </w:rPr>
              <w:t xml:space="preserve">to </w:t>
            </w:r>
            <w:r>
              <w:rPr>
                <w:sz w:val="16"/>
              </w:rPr>
              <w:t xml:space="preserve">ensure confidentiality, </w:t>
            </w:r>
            <w:proofErr w:type="gramStart"/>
            <w:r>
              <w:rPr>
                <w:sz w:val="16"/>
              </w:rPr>
              <w:t>integrity</w:t>
            </w:r>
            <w:proofErr w:type="gramEnd"/>
            <w:r>
              <w:rPr>
                <w:sz w:val="16"/>
              </w:rPr>
              <w:t xml:space="preserve"> and availability. Adequate key controls are </w:t>
            </w:r>
            <w:r w:rsidR="00963EE6">
              <w:rPr>
                <w:sz w:val="16"/>
              </w:rPr>
              <w:t xml:space="preserve">performed </w:t>
            </w:r>
            <w:r>
              <w:rPr>
                <w:sz w:val="16"/>
              </w:rPr>
              <w:t xml:space="preserve">regularly and protect critical data throughout </w:t>
            </w:r>
            <w:r w:rsidR="00963EE6">
              <w:rPr>
                <w:sz w:val="16"/>
              </w:rPr>
              <w:t>its</w:t>
            </w:r>
            <w:r>
              <w:rPr>
                <w:sz w:val="16"/>
              </w:rPr>
              <w:t xml:space="preserve"> life cycle. This includes the </w:t>
            </w:r>
            <w:r w:rsidR="00963EE6">
              <w:rPr>
                <w:sz w:val="16"/>
              </w:rPr>
              <w:t>generation, collection</w:t>
            </w:r>
            <w:r>
              <w:rPr>
                <w:sz w:val="16"/>
              </w:rPr>
              <w:t xml:space="preserve">, </w:t>
            </w:r>
            <w:proofErr w:type="spellStart"/>
            <w:proofErr w:type="gramStart"/>
            <w:r w:rsidR="00963EE6">
              <w:rPr>
                <w:sz w:val="16"/>
              </w:rPr>
              <w:t>processing,</w:t>
            </w:r>
            <w:r>
              <w:rPr>
                <w:sz w:val="16"/>
              </w:rPr>
              <w:t>storage</w:t>
            </w:r>
            <w:proofErr w:type="spellEnd"/>
            <w:proofErr w:type="gramEnd"/>
            <w:r>
              <w:rPr>
                <w:sz w:val="16"/>
              </w:rPr>
              <w:t xml:space="preserve">, retention, use, </w:t>
            </w:r>
            <w:r w:rsidR="00486D0E">
              <w:rPr>
                <w:sz w:val="16"/>
              </w:rPr>
              <w:t>modification</w:t>
            </w:r>
            <w:r>
              <w:rPr>
                <w:sz w:val="16"/>
              </w:rPr>
              <w:t>, disclosure, transfer, archiving, deletion and destruction of data.</w:t>
            </w:r>
          </w:p>
        </w:tc>
        <w:tc>
          <w:tcPr>
            <w:tcW w:w="3969" w:type="dxa"/>
            <w:shd w:val="clear" w:color="auto" w:fill="auto"/>
          </w:tcPr>
          <w:p w14:paraId="17994797" w14:textId="338047AF" w:rsidR="00A969FD" w:rsidRPr="003B21E3" w:rsidRDefault="001E46C1" w:rsidP="0092679D">
            <w:pPr>
              <w:spacing w:line="240" w:lineRule="auto"/>
            </w:pPr>
            <w:r>
              <w:rPr>
                <w:b/>
                <w:sz w:val="24"/>
              </w:rPr>
              <w:t xml:space="preserve">* </w:t>
            </w:r>
            <w:r w:rsidR="00486D0E">
              <w:rPr>
                <w:sz w:val="16"/>
              </w:rPr>
              <w:t xml:space="preserve">Assess </w:t>
            </w:r>
            <w:r>
              <w:rPr>
                <w:sz w:val="16"/>
              </w:rPr>
              <w:t xml:space="preserve">the operational effectiveness of key controls </w:t>
            </w:r>
            <w:r w:rsidR="00486D0E">
              <w:rPr>
                <w:sz w:val="16"/>
              </w:rPr>
              <w:t>to ensure</w:t>
            </w:r>
            <w:r>
              <w:rPr>
                <w:sz w:val="16"/>
              </w:rPr>
              <w:t>:</w:t>
            </w:r>
          </w:p>
          <w:p w14:paraId="621BEFAA" w14:textId="5B4AE1EF" w:rsidR="00A969FD" w:rsidRPr="003B21E3" w:rsidRDefault="00A969FD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 xml:space="preserve">confidentiality,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with </w:t>
            </w:r>
            <w:r w:rsidR="00486D0E">
              <w:rPr>
                <w:sz w:val="16"/>
              </w:rPr>
              <w:t xml:space="preserve">respect </w:t>
            </w:r>
            <w:r>
              <w:rPr>
                <w:sz w:val="16"/>
              </w:rPr>
              <w:t>to controls in the area of information security and privacy, compliance checks, access management, Code of Conduct, awareness training etc.</w:t>
            </w:r>
          </w:p>
          <w:p w14:paraId="259D5563" w14:textId="3DD3FDBE" w:rsidR="00A969FD" w:rsidRPr="003B21E3" w:rsidRDefault="00A969FD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 xml:space="preserve">integrity,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</w:t>
            </w:r>
            <w:r w:rsidR="00F72AC1">
              <w:rPr>
                <w:sz w:val="16"/>
              </w:rPr>
              <w:t>in terms of</w:t>
            </w:r>
            <w:r>
              <w:rPr>
                <w:sz w:val="16"/>
              </w:rPr>
              <w:t xml:space="preserve"> data quality controls, plausibility controls, automatic and/or manual </w:t>
            </w:r>
            <w:r w:rsidR="00F72AC1">
              <w:rPr>
                <w:sz w:val="16"/>
              </w:rPr>
              <w:t xml:space="preserve">reconciliation </w:t>
            </w:r>
            <w:r>
              <w:rPr>
                <w:sz w:val="16"/>
              </w:rPr>
              <w:t xml:space="preserve">controls, </w:t>
            </w:r>
            <w:r w:rsidR="00F72AC1">
              <w:rPr>
                <w:sz w:val="16"/>
              </w:rPr>
              <w:t xml:space="preserve">business </w:t>
            </w:r>
            <w:r>
              <w:rPr>
                <w:sz w:val="16"/>
              </w:rPr>
              <w:t xml:space="preserve">approval, </w:t>
            </w:r>
            <w:r w:rsidR="00F72AC1" w:rsidRPr="00F72AC1">
              <w:rPr>
                <w:sz w:val="16"/>
              </w:rPr>
              <w:t>4</w:t>
            </w:r>
            <w:r w:rsidR="00F72AC1">
              <w:rPr>
                <w:sz w:val="16"/>
              </w:rPr>
              <w:t xml:space="preserve"> eyes principle</w:t>
            </w:r>
            <w:r>
              <w:rPr>
                <w:sz w:val="16"/>
              </w:rPr>
              <w:t xml:space="preserve">, </w:t>
            </w:r>
            <w:r w:rsidR="00F72AC1">
              <w:rPr>
                <w:sz w:val="16"/>
              </w:rPr>
              <w:t>segregation of duties</w:t>
            </w:r>
            <w:r>
              <w:rPr>
                <w:sz w:val="16"/>
              </w:rPr>
              <w:t xml:space="preserve"> etc.</w:t>
            </w:r>
          </w:p>
          <w:p w14:paraId="66A4BBCA" w14:textId="6A36DFCB" w:rsidR="00A969FD" w:rsidRPr="00162C12" w:rsidRDefault="00A969FD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 xml:space="preserve">availability,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</w:t>
            </w:r>
            <w:r w:rsidR="00F72AC1">
              <w:rPr>
                <w:sz w:val="16"/>
              </w:rPr>
              <w:t>regarding</w:t>
            </w:r>
            <w:r>
              <w:rPr>
                <w:sz w:val="16"/>
              </w:rPr>
              <w:t xml:space="preserve"> monitoring of data transmission and processing,</w:t>
            </w:r>
            <w:r w:rsidR="00486D0E">
              <w:rPr>
                <w:sz w:val="16"/>
              </w:rPr>
              <w:t xml:space="preserve"> data</w:t>
            </w:r>
            <w:r>
              <w:rPr>
                <w:sz w:val="16"/>
              </w:rPr>
              <w:t xml:space="preserve"> traceability, </w:t>
            </w:r>
            <w:r w:rsidR="00486D0E">
              <w:rPr>
                <w:sz w:val="16"/>
              </w:rPr>
              <w:t xml:space="preserve">data </w:t>
            </w:r>
            <w:r>
              <w:rPr>
                <w:sz w:val="16"/>
              </w:rPr>
              <w:t xml:space="preserve">backup and recovery etc. </w:t>
            </w:r>
          </w:p>
          <w:p w14:paraId="3DF60951" w14:textId="33635F88" w:rsidR="004541E0" w:rsidRPr="003B21E3" w:rsidDel="005402E1" w:rsidRDefault="00F72AC1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>c</w:t>
            </w:r>
            <w:r w:rsidR="004541E0">
              <w:rPr>
                <w:sz w:val="16"/>
              </w:rPr>
              <w:t xml:space="preserve">ompleteness with </w:t>
            </w:r>
            <w:r w:rsidR="00486D0E">
              <w:rPr>
                <w:sz w:val="16"/>
              </w:rPr>
              <w:t xml:space="preserve">respect </w:t>
            </w:r>
            <w:r w:rsidR="004541E0">
              <w:rPr>
                <w:sz w:val="16"/>
              </w:rPr>
              <w:t>to data destruction</w:t>
            </w:r>
          </w:p>
        </w:tc>
        <w:tc>
          <w:tcPr>
            <w:tcW w:w="2694" w:type="dxa"/>
            <w:shd w:val="clear" w:color="auto" w:fill="auto"/>
          </w:tcPr>
          <w:p w14:paraId="22D04437" w14:textId="77777777" w:rsidR="00A969FD" w:rsidRPr="00BD5743" w:rsidDel="005402E1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AD5B904" w14:textId="77777777" w:rsidR="00A969FD" w:rsidRPr="00BD5743" w:rsidDel="005402E1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:rsidDel="005402E1" w14:paraId="752AC7C9" w14:textId="77777777" w:rsidTr="0011737B">
        <w:tc>
          <w:tcPr>
            <w:tcW w:w="447" w:type="dxa"/>
            <w:shd w:val="clear" w:color="auto" w:fill="auto"/>
          </w:tcPr>
          <w:p w14:paraId="6B95FBE2" w14:textId="08476BB6" w:rsidR="00A969FD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30" w:type="dxa"/>
            <w:shd w:val="clear" w:color="auto" w:fill="auto"/>
          </w:tcPr>
          <w:p w14:paraId="73ED00F0" w14:textId="7DD93D80" w:rsidR="00A969FD" w:rsidRPr="00A04447" w:rsidRDefault="001E46C1" w:rsidP="00A969FD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* </w:t>
            </w:r>
            <w:r>
              <w:rPr>
                <w:sz w:val="16"/>
              </w:rPr>
              <w:t xml:space="preserve">Assess the processes, </w:t>
            </w:r>
            <w:proofErr w:type="gramStart"/>
            <w:r>
              <w:rPr>
                <w:sz w:val="16"/>
              </w:rPr>
              <w:t>procedures</w:t>
            </w:r>
            <w:proofErr w:type="gramEnd"/>
            <w:r>
              <w:rPr>
                <w:sz w:val="16"/>
              </w:rPr>
              <w:t xml:space="preserve"> and controls of the institution to ensure an </w:t>
            </w:r>
            <w:r w:rsidR="00F72AC1">
              <w:rPr>
                <w:sz w:val="16"/>
              </w:rPr>
              <w:t>appropriate level</w:t>
            </w:r>
            <w:r>
              <w:rPr>
                <w:sz w:val="16"/>
              </w:rPr>
              <w:t xml:space="preserve"> of confidentiality and security in the handling of critical data during the </w:t>
            </w:r>
            <w:r w:rsidR="00F72AC1">
              <w:rPr>
                <w:sz w:val="16"/>
              </w:rPr>
              <w:t>operation</w:t>
            </w:r>
            <w:r>
              <w:rPr>
                <w:sz w:val="16"/>
              </w:rPr>
              <w:t xml:space="preserve">, development, </w:t>
            </w:r>
            <w:r w:rsidR="00F72AC1">
              <w:rPr>
                <w:sz w:val="16"/>
              </w:rPr>
              <w:t xml:space="preserve">modification </w:t>
            </w:r>
            <w:r>
              <w:rPr>
                <w:sz w:val="16"/>
              </w:rPr>
              <w:t>and migration (change) of critical data.</w:t>
            </w:r>
          </w:p>
        </w:tc>
        <w:tc>
          <w:tcPr>
            <w:tcW w:w="3969" w:type="dxa"/>
            <w:shd w:val="clear" w:color="auto" w:fill="auto"/>
          </w:tcPr>
          <w:p w14:paraId="6649F07F" w14:textId="3CC3BCFB" w:rsidR="00A969FD" w:rsidRPr="00A04447" w:rsidRDefault="00DB2D0B" w:rsidP="00A969FD">
            <w:pPr>
              <w:pStyle w:val="Bullet"/>
              <w:numPr>
                <w:ilvl w:val="0"/>
                <w:numId w:val="0"/>
              </w:numPr>
              <w:ind w:left="22"/>
            </w:pPr>
            <w:r>
              <w:rPr>
                <w:b/>
                <w:sz w:val="24"/>
              </w:rPr>
              <w:t xml:space="preserve">* </w:t>
            </w:r>
            <w:r w:rsidR="00F72AC1">
              <w:t xml:space="preserve">Assess </w:t>
            </w:r>
            <w:r>
              <w:t xml:space="preserve">the operational effectiveness of key controls </w:t>
            </w:r>
            <w:r w:rsidR="00D540D8">
              <w:t>to ensure</w:t>
            </w:r>
            <w:r w:rsidR="007C0C63">
              <w:t xml:space="preserve"> </w:t>
            </w:r>
            <w:r>
              <w:t xml:space="preserve">an </w:t>
            </w:r>
            <w:r w:rsidR="00D540D8">
              <w:t>appropriate level</w:t>
            </w:r>
            <w:r>
              <w:t xml:space="preserve"> of confidentiality and security in the handling of critical data during the </w:t>
            </w:r>
            <w:r w:rsidR="00D540D8">
              <w:t>operation</w:t>
            </w:r>
            <w:r>
              <w:t xml:space="preserve">, development, </w:t>
            </w:r>
            <w:proofErr w:type="gramStart"/>
            <w:r w:rsidR="00D540D8">
              <w:t>modification</w:t>
            </w:r>
            <w:proofErr w:type="gramEnd"/>
            <w:r w:rsidR="00D540D8">
              <w:t xml:space="preserve"> </w:t>
            </w:r>
            <w:r>
              <w:t>and migration (change) of critical data.</w:t>
            </w:r>
          </w:p>
        </w:tc>
        <w:tc>
          <w:tcPr>
            <w:tcW w:w="2694" w:type="dxa"/>
            <w:shd w:val="clear" w:color="auto" w:fill="auto"/>
          </w:tcPr>
          <w:p w14:paraId="3D9C14F9" w14:textId="77777777" w:rsidR="00A969FD" w:rsidRPr="00BD5743" w:rsidDel="005402E1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7DD7052" w14:textId="77777777" w:rsidR="00A969FD" w:rsidRPr="00BD5743" w:rsidDel="005402E1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64F9B9B5" w14:textId="77777777" w:rsidTr="0011737B">
        <w:tc>
          <w:tcPr>
            <w:tcW w:w="12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D4CD7" w14:textId="17437D0C" w:rsidR="00A969FD" w:rsidRPr="00A04447" w:rsidRDefault="00085409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</w:rPr>
              <w:t>Inventory (margin nos. 53, 63 and 73 FINMA Circ. 23/1):</w:t>
            </w:r>
          </w:p>
        </w:tc>
      </w:tr>
      <w:tr w:rsidR="0094691F" w:rsidRPr="00A04447" w14:paraId="1EDD7E88" w14:textId="77777777" w:rsidTr="00AF7B9C">
        <w:trPr>
          <w:trHeight w:val="3127"/>
        </w:trPr>
        <w:tc>
          <w:tcPr>
            <w:tcW w:w="447" w:type="dxa"/>
            <w:shd w:val="clear" w:color="auto" w:fill="auto"/>
          </w:tcPr>
          <w:p w14:paraId="5A0CEB40" w14:textId="366211E2" w:rsidR="0094691F" w:rsidRPr="00A04447" w:rsidRDefault="0094691F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30" w:type="dxa"/>
            <w:shd w:val="clear" w:color="auto" w:fill="auto"/>
          </w:tcPr>
          <w:p w14:paraId="44FF14A9" w14:textId="3C35B277" w:rsidR="0094691F" w:rsidRDefault="0094691F" w:rsidP="00401D47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whether the critical data of the organisation </w:t>
            </w:r>
            <w:r w:rsidR="002424F8">
              <w:t xml:space="preserve">is </w:t>
            </w:r>
            <w:r>
              <w:t xml:space="preserve">systematically identified, </w:t>
            </w:r>
            <w:proofErr w:type="gramStart"/>
            <w:r>
              <w:t>recorded</w:t>
            </w:r>
            <w:proofErr w:type="gramEnd"/>
            <w:r>
              <w:t xml:space="preserve"> and categorised. For example, a data inventory contains the following information (attributes):</w:t>
            </w:r>
          </w:p>
          <w:p w14:paraId="4EFA53EA" w14:textId="0B037FF5" w:rsidR="0094691F" w:rsidRPr="005164A0" w:rsidRDefault="0094691F" w:rsidP="005164A0">
            <w:pPr>
              <w:pStyle w:val="Bullet"/>
              <w:numPr>
                <w:ilvl w:val="0"/>
                <w:numId w:val="15"/>
              </w:numPr>
            </w:pPr>
            <w:r>
              <w:t>storage location and/or cloud environment,</w:t>
            </w:r>
          </w:p>
          <w:p w14:paraId="2C9B38B2" w14:textId="469A01E4" w:rsidR="0094691F" w:rsidRPr="005164A0" w:rsidRDefault="0094691F" w:rsidP="005164A0">
            <w:pPr>
              <w:pStyle w:val="Bullet"/>
              <w:numPr>
                <w:ilvl w:val="0"/>
                <w:numId w:val="15"/>
              </w:numPr>
            </w:pPr>
            <w:r>
              <w:t>software (incl. version control),</w:t>
            </w:r>
          </w:p>
          <w:p w14:paraId="1D476EA2" w14:textId="30E7E236" w:rsidR="0094691F" w:rsidRPr="005164A0" w:rsidRDefault="0094691F" w:rsidP="005164A0">
            <w:pPr>
              <w:pStyle w:val="Bullet"/>
              <w:numPr>
                <w:ilvl w:val="0"/>
                <w:numId w:val="15"/>
              </w:numPr>
            </w:pPr>
            <w:r>
              <w:t>categorisation (criticality),</w:t>
            </w:r>
          </w:p>
          <w:p w14:paraId="4ADE08D5" w14:textId="7D09D5C0" w:rsidR="0094691F" w:rsidRPr="005164A0" w:rsidRDefault="0094691F" w:rsidP="005164A0">
            <w:pPr>
              <w:pStyle w:val="Bullet"/>
              <w:numPr>
                <w:ilvl w:val="0"/>
                <w:numId w:val="15"/>
              </w:numPr>
            </w:pPr>
            <w:r>
              <w:t>dependencies within the institution,</w:t>
            </w:r>
          </w:p>
          <w:p w14:paraId="7D5A1D0F" w14:textId="2F31EB91" w:rsidR="0094691F" w:rsidRPr="005164A0" w:rsidRDefault="0094691F" w:rsidP="005164A0">
            <w:pPr>
              <w:pStyle w:val="Bullet"/>
              <w:numPr>
                <w:ilvl w:val="0"/>
                <w:numId w:val="15"/>
              </w:numPr>
            </w:pPr>
            <w:r>
              <w:t>internal and external sources,</w:t>
            </w:r>
          </w:p>
          <w:p w14:paraId="2926F28B" w14:textId="3F2F12AF" w:rsidR="0094691F" w:rsidRPr="005164A0" w:rsidRDefault="0094691F" w:rsidP="005164A0">
            <w:pPr>
              <w:pStyle w:val="Bullet"/>
              <w:numPr>
                <w:ilvl w:val="0"/>
                <w:numId w:val="15"/>
              </w:numPr>
            </w:pPr>
            <w:r>
              <w:t>interfaces to external service providers,</w:t>
            </w:r>
          </w:p>
          <w:p w14:paraId="6588A610" w14:textId="730C4B6E" w:rsidR="0094691F" w:rsidRPr="005164A0" w:rsidRDefault="0094691F" w:rsidP="005164A0">
            <w:pPr>
              <w:pStyle w:val="Bullet"/>
              <w:numPr>
                <w:ilvl w:val="0"/>
                <w:numId w:val="15"/>
              </w:numPr>
            </w:pPr>
            <w:r>
              <w:t xml:space="preserve">data </w:t>
            </w:r>
            <w:r w:rsidR="00D540D8">
              <w:t>ownership</w:t>
            </w:r>
            <w:r>
              <w:t>.</w:t>
            </w:r>
          </w:p>
          <w:p w14:paraId="1AC7ED41" w14:textId="77777777" w:rsidR="0094691F" w:rsidRPr="007536AC" w:rsidRDefault="0094691F" w:rsidP="00401D47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 </w:t>
            </w:r>
          </w:p>
          <w:p w14:paraId="58A3DF68" w14:textId="7BCCA7B9" w:rsidR="0094691F" w:rsidRPr="007536AC" w:rsidRDefault="0094691F" w:rsidP="00B12C39">
            <w:pPr>
              <w:pStyle w:val="Bullet"/>
              <w:ind w:left="33"/>
              <w:rPr>
                <w:lang w:val="de-CH"/>
              </w:rPr>
            </w:pPr>
          </w:p>
        </w:tc>
        <w:tc>
          <w:tcPr>
            <w:tcW w:w="3969" w:type="dxa"/>
            <w:shd w:val="clear" w:color="auto" w:fill="auto"/>
          </w:tcPr>
          <w:p w14:paraId="21BE838E" w14:textId="2496040D" w:rsidR="0094691F" w:rsidRPr="00C64BF0" w:rsidDel="00C62708" w:rsidRDefault="002424F8" w:rsidP="00490D5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Assess, on a sample basis as appropriate, the institution's </w:t>
            </w:r>
            <w:r w:rsidR="003122AE">
              <w:rPr>
                <w:sz w:val="16"/>
              </w:rPr>
              <w:t>data quality controls</w:t>
            </w:r>
            <w:r>
              <w:rPr>
                <w:sz w:val="16"/>
              </w:rPr>
              <w:t xml:space="preserve"> 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plausibility checks, reconciliations)</w:t>
            </w:r>
            <w:r w:rsidR="003122AE">
              <w:rPr>
                <w:sz w:val="16"/>
              </w:rPr>
              <w:t xml:space="preserve"> that help to ensure the completeness and accuracy of the data inventory.</w:t>
            </w:r>
          </w:p>
        </w:tc>
        <w:tc>
          <w:tcPr>
            <w:tcW w:w="2694" w:type="dxa"/>
            <w:shd w:val="clear" w:color="auto" w:fill="auto"/>
          </w:tcPr>
          <w:p w14:paraId="24C9B235" w14:textId="77777777" w:rsidR="0094691F" w:rsidRPr="00BD5743" w:rsidRDefault="0094691F" w:rsidP="00A969FD">
            <w:pPr>
              <w:pStyle w:val="Bullet"/>
              <w:numPr>
                <w:ilvl w:val="0"/>
                <w:numId w:val="0"/>
              </w:numPr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8C66A00" w14:textId="77777777" w:rsidR="0094691F" w:rsidRPr="00BD5743" w:rsidRDefault="0094691F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1BDB52E9" w14:textId="77777777" w:rsidR="00783B23" w:rsidRDefault="00783B23">
      <w:r>
        <w:br w:type="page"/>
      </w:r>
    </w:p>
    <w:tbl>
      <w:tblPr>
        <w:tblW w:w="129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41"/>
        <w:gridCol w:w="4830"/>
        <w:gridCol w:w="3969"/>
        <w:gridCol w:w="2694"/>
        <w:gridCol w:w="992"/>
      </w:tblGrid>
      <w:tr w:rsidR="00A969FD" w:rsidRPr="00A04447" w14:paraId="14E009FD" w14:textId="77777777" w:rsidTr="0011737B">
        <w:trPr>
          <w:gridBefore w:val="1"/>
          <w:wBefore w:w="6" w:type="dxa"/>
        </w:trPr>
        <w:tc>
          <w:tcPr>
            <w:tcW w:w="1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2D5C7" w14:textId="5DB24A5A" w:rsidR="00A969FD" w:rsidRPr="00A04447" w:rsidRDefault="00A969FD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</w:rPr>
              <w:lastRenderedPageBreak/>
              <w:t>Access management (margin nos. 76–78 and 80 FINMA Circ. 23/1):</w:t>
            </w:r>
          </w:p>
        </w:tc>
      </w:tr>
      <w:tr w:rsidR="00A969FD" w:rsidRPr="005B348F" w14:paraId="3CF44DF0" w14:textId="77777777" w:rsidTr="78DEC860">
        <w:trPr>
          <w:gridBefore w:val="1"/>
          <w:wBefore w:w="6" w:type="dxa"/>
        </w:trPr>
        <w:tc>
          <w:tcPr>
            <w:tcW w:w="441" w:type="dxa"/>
            <w:shd w:val="clear" w:color="auto" w:fill="auto"/>
          </w:tcPr>
          <w:p w14:paraId="67420AD3" w14:textId="65924B67" w:rsidR="00A969FD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30" w:type="dxa"/>
            <w:shd w:val="clear" w:color="auto" w:fill="auto"/>
          </w:tcPr>
          <w:p w14:paraId="640D237D" w14:textId="14BC11B3" w:rsidR="00A969FD" w:rsidRPr="00A04447" w:rsidRDefault="00AE37FD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rPr>
                <w:b/>
                <w:sz w:val="24"/>
              </w:rPr>
              <w:t xml:space="preserve">* </w:t>
            </w:r>
            <w:r>
              <w:t xml:space="preserve">Assess the adequacy of processes, </w:t>
            </w:r>
            <w:proofErr w:type="gramStart"/>
            <w:r>
              <w:t>procedures</w:t>
            </w:r>
            <w:proofErr w:type="gramEnd"/>
            <w:r>
              <w:t xml:space="preserve"> and controls for </w:t>
            </w:r>
            <w:r w:rsidR="00417090">
              <w:t xml:space="preserve">managing </w:t>
            </w:r>
            <w:r>
              <w:t>access to critical data and processing functions to employees and third parties (definition of roles, approval processes etc.).</w:t>
            </w:r>
          </w:p>
        </w:tc>
        <w:tc>
          <w:tcPr>
            <w:tcW w:w="3969" w:type="dxa"/>
            <w:shd w:val="clear" w:color="auto" w:fill="auto"/>
          </w:tcPr>
          <w:p w14:paraId="2CE93333" w14:textId="631D624C" w:rsidR="00A969FD" w:rsidRPr="00A04447" w:rsidRDefault="00AE37FD" w:rsidP="0092679D">
            <w:pPr>
              <w:spacing w:line="240" w:lineRule="auto"/>
            </w:pPr>
            <w:r>
              <w:rPr>
                <w:b/>
                <w:sz w:val="24"/>
              </w:rPr>
              <w:t xml:space="preserve">* </w:t>
            </w:r>
            <w:r w:rsidR="008B4A93">
              <w:rPr>
                <w:sz w:val="16"/>
              </w:rPr>
              <w:t>Assess, on a sample basis as appropriate, the</w:t>
            </w:r>
            <w:r>
              <w:rPr>
                <w:sz w:val="16"/>
              </w:rPr>
              <w:t xml:space="preserve"> operational effectiveness of controls </w:t>
            </w:r>
            <w:r w:rsidR="008B4A93">
              <w:rPr>
                <w:sz w:val="16"/>
              </w:rPr>
              <w:t xml:space="preserve">over the managing of </w:t>
            </w:r>
            <w:r>
              <w:rPr>
                <w:sz w:val="16"/>
              </w:rPr>
              <w:t xml:space="preserve">access to critical data and processing </w:t>
            </w:r>
            <w:r w:rsidR="008B4A93">
              <w:rPr>
                <w:sz w:val="16"/>
              </w:rPr>
              <w:t xml:space="preserve">functions </w:t>
            </w:r>
            <w:r>
              <w:rPr>
                <w:sz w:val="16"/>
              </w:rPr>
              <w:t xml:space="preserve">to employees and third parties. </w:t>
            </w:r>
            <w:r w:rsidR="008B4A93">
              <w:rPr>
                <w:sz w:val="16"/>
              </w:rPr>
              <w:t>In particular, t</w:t>
            </w:r>
            <w:r>
              <w:rPr>
                <w:sz w:val="16"/>
              </w:rPr>
              <w:t xml:space="preserve">he following </w:t>
            </w:r>
            <w:r w:rsidR="008B4A93">
              <w:rPr>
                <w:sz w:val="16"/>
              </w:rPr>
              <w:t>should be considered</w:t>
            </w:r>
            <w:r>
              <w:rPr>
                <w:sz w:val="16"/>
              </w:rPr>
              <w:t>:</w:t>
            </w:r>
          </w:p>
          <w:p w14:paraId="7EC4DA5F" w14:textId="3642CA74" w:rsidR="00A969FD" w:rsidRPr="00A04447" w:rsidRDefault="00A969FD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>need-to-know / least privilege principle,</w:t>
            </w:r>
          </w:p>
          <w:p w14:paraId="37D67B06" w14:textId="7950F1D2" w:rsidR="00A969FD" w:rsidRPr="00A04447" w:rsidRDefault="00A969FD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</w:pPr>
            <w:r>
              <w:rPr>
                <w:sz w:val="16"/>
              </w:rPr>
              <w:t xml:space="preserve">existence of an </w:t>
            </w:r>
            <w:r w:rsidR="002424F8">
              <w:rPr>
                <w:sz w:val="16"/>
              </w:rPr>
              <w:t>Identity &amp; Access Management (IAM)</w:t>
            </w:r>
            <w:r>
              <w:rPr>
                <w:sz w:val="16"/>
              </w:rPr>
              <w:t xml:space="preserve"> system,</w:t>
            </w:r>
          </w:p>
          <w:p w14:paraId="1D30D393" w14:textId="5DD04FF6" w:rsidR="00A969FD" w:rsidRPr="002424F8" w:rsidRDefault="002424F8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 w:rsidRPr="00954205">
              <w:rPr>
                <w:sz w:val="16"/>
              </w:rPr>
              <w:t xml:space="preserve">degree to which </w:t>
            </w:r>
            <w:r w:rsidR="00A969FD" w:rsidRPr="002424F8">
              <w:rPr>
                <w:sz w:val="16"/>
              </w:rPr>
              <w:t xml:space="preserve">systems with critical data </w:t>
            </w:r>
            <w:r w:rsidRPr="00954205">
              <w:rPr>
                <w:sz w:val="16"/>
              </w:rPr>
              <w:t xml:space="preserve">integrate with </w:t>
            </w:r>
            <w:r w:rsidR="00A969FD" w:rsidRPr="002424F8">
              <w:rPr>
                <w:sz w:val="16"/>
              </w:rPr>
              <w:t>the authorisation and identification process,</w:t>
            </w:r>
          </w:p>
          <w:p w14:paraId="6717540A" w14:textId="1B986E41" w:rsidR="00A969FD" w:rsidRPr="005B348F" w:rsidDel="009B2C05" w:rsidRDefault="002424F8" w:rsidP="0092679D">
            <w:pPr>
              <w:pStyle w:val="Paragraphedeliste"/>
              <w:numPr>
                <w:ilvl w:val="0"/>
                <w:numId w:val="6"/>
              </w:numPr>
              <w:spacing w:line="240" w:lineRule="auto"/>
              <w:ind w:left="360"/>
              <w:rPr>
                <w:sz w:val="16"/>
                <w:szCs w:val="16"/>
              </w:rPr>
            </w:pPr>
            <w:r w:rsidRPr="00954205">
              <w:rPr>
                <w:sz w:val="16"/>
              </w:rPr>
              <w:t>degree of</w:t>
            </w:r>
            <w:r w:rsidR="00A969FD" w:rsidRPr="002424F8">
              <w:rPr>
                <w:sz w:val="16"/>
              </w:rPr>
              <w:t xml:space="preserve"> integration of different user accounts (such as technical accounts, system accounts, privileged accounts, guest accounts, remote service accounts etc.).</w:t>
            </w:r>
          </w:p>
        </w:tc>
        <w:tc>
          <w:tcPr>
            <w:tcW w:w="2694" w:type="dxa"/>
            <w:shd w:val="clear" w:color="auto" w:fill="auto"/>
          </w:tcPr>
          <w:p w14:paraId="04FFF77A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AC5AFC0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1E82028F" w14:textId="77777777" w:rsidTr="78DEC860">
        <w:trPr>
          <w:gridBefore w:val="1"/>
          <w:wBefore w:w="6" w:type="dxa"/>
        </w:trPr>
        <w:tc>
          <w:tcPr>
            <w:tcW w:w="441" w:type="dxa"/>
            <w:shd w:val="clear" w:color="auto" w:fill="auto"/>
          </w:tcPr>
          <w:p w14:paraId="35121F2A" w14:textId="01E2B54B" w:rsidR="00A969FD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30" w:type="dxa"/>
            <w:shd w:val="clear" w:color="auto" w:fill="auto"/>
          </w:tcPr>
          <w:p w14:paraId="76864E68" w14:textId="13C9A098" w:rsidR="00A969FD" w:rsidRPr="0011737B" w:rsidDel="007412B4" w:rsidRDefault="00AE37FD">
            <w:pPr>
              <w:pStyle w:val="Bullet"/>
              <w:numPr>
                <w:ilvl w:val="0"/>
                <w:numId w:val="0"/>
              </w:numPr>
              <w:ind w:left="33"/>
              <w:rPr>
                <w:b/>
                <w:bCs/>
              </w:rPr>
            </w:pPr>
            <w:r>
              <w:t>* Assess the adequacy of the processes and controls to identify, manage and monitor access (standard and privileged) to critical data.</w:t>
            </w:r>
          </w:p>
        </w:tc>
        <w:tc>
          <w:tcPr>
            <w:tcW w:w="3969" w:type="dxa"/>
            <w:shd w:val="clear" w:color="auto" w:fill="auto"/>
          </w:tcPr>
          <w:p w14:paraId="197AD4C2" w14:textId="2AE8A196" w:rsidR="00A969FD" w:rsidRPr="0011737B" w:rsidRDefault="00AE37FD" w:rsidP="0094691F">
            <w:pPr>
              <w:pStyle w:val="Bullet"/>
              <w:numPr>
                <w:ilvl w:val="0"/>
                <w:numId w:val="0"/>
              </w:numPr>
              <w:ind w:left="33"/>
              <w:rPr>
                <w:b/>
                <w:bCs/>
              </w:rPr>
            </w:pPr>
            <w:r>
              <w:rPr>
                <w:b/>
                <w:sz w:val="24"/>
              </w:rPr>
              <w:t xml:space="preserve">* </w:t>
            </w:r>
            <w:r w:rsidR="00417090">
              <w:t xml:space="preserve">Assess, on a sample basis as appropriate, </w:t>
            </w:r>
            <w:r>
              <w:t xml:space="preserve">the operational effectiveness of key controls for identifying, </w:t>
            </w:r>
            <w:proofErr w:type="gramStart"/>
            <w:r>
              <w:t>managing</w:t>
            </w:r>
            <w:proofErr w:type="gramEnd"/>
            <w:r>
              <w:t xml:space="preserve"> and monitoring access (both standard and privileged) to critical data.</w:t>
            </w:r>
          </w:p>
        </w:tc>
        <w:tc>
          <w:tcPr>
            <w:tcW w:w="2694" w:type="dxa"/>
            <w:shd w:val="clear" w:color="auto" w:fill="auto"/>
          </w:tcPr>
          <w:p w14:paraId="1840DC63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B538780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433EDF44" w14:textId="77777777" w:rsidTr="78DEC860">
        <w:trPr>
          <w:gridBefore w:val="1"/>
          <w:wBefore w:w="6" w:type="dxa"/>
        </w:trPr>
        <w:tc>
          <w:tcPr>
            <w:tcW w:w="441" w:type="dxa"/>
            <w:shd w:val="clear" w:color="auto" w:fill="auto"/>
          </w:tcPr>
          <w:p w14:paraId="75497569" w14:textId="76337029" w:rsidR="00A969FD" w:rsidRPr="00A04447" w:rsidRDefault="00783B23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30" w:type="dxa"/>
            <w:shd w:val="clear" w:color="auto" w:fill="auto"/>
          </w:tcPr>
          <w:p w14:paraId="558BD08F" w14:textId="2F8F29F9" w:rsidR="00A969FD" w:rsidRPr="0011737B" w:rsidDel="007412B4" w:rsidRDefault="00AE37FD">
            <w:pPr>
              <w:pStyle w:val="Bullet"/>
              <w:numPr>
                <w:ilvl w:val="0"/>
                <w:numId w:val="0"/>
              </w:numPr>
              <w:ind w:left="33"/>
              <w:rPr>
                <w:b/>
                <w:bCs/>
              </w:rPr>
            </w:pPr>
            <w:r>
              <w:rPr>
                <w:b/>
                <w:sz w:val="24"/>
              </w:rPr>
              <w:t xml:space="preserve">* </w:t>
            </w:r>
            <w:r>
              <w:t>Assess whether the physical and logical ICT that stores or processes the critical data is adequately protected.</w:t>
            </w:r>
          </w:p>
        </w:tc>
        <w:tc>
          <w:tcPr>
            <w:tcW w:w="3969" w:type="dxa"/>
            <w:shd w:val="clear" w:color="auto" w:fill="auto"/>
          </w:tcPr>
          <w:p w14:paraId="6FCCF42F" w14:textId="4F1EBCC1" w:rsidR="00A969FD" w:rsidRPr="0011737B" w:rsidRDefault="00AE37FD">
            <w:pPr>
              <w:pStyle w:val="Bullet"/>
              <w:numPr>
                <w:ilvl w:val="0"/>
                <w:numId w:val="0"/>
              </w:numPr>
              <w:ind w:left="33"/>
              <w:rPr>
                <w:b/>
                <w:bCs/>
              </w:rPr>
            </w:pPr>
            <w:r>
              <w:rPr>
                <w:b/>
                <w:sz w:val="24"/>
              </w:rPr>
              <w:t xml:space="preserve">* </w:t>
            </w:r>
            <w:r w:rsidR="00417090">
              <w:t>Assess, on an appropriate sample basis of critical components</w:t>
            </w:r>
            <w:r w:rsidR="00301B92">
              <w:rPr>
                <w:rStyle w:val="Appelnotedebasdep"/>
                <w:lang w:val="de-CH"/>
              </w:rPr>
              <w:footnoteReference w:id="3"/>
            </w:r>
            <w:r>
              <w:t xml:space="preserve"> whether critical data is adequately protected, </w:t>
            </w:r>
            <w:proofErr w:type="gramStart"/>
            <w:r>
              <w:t>e.g.</w:t>
            </w:r>
            <w:proofErr w:type="gramEnd"/>
            <w:r>
              <w:t xml:space="preserve"> by encryption, secure transmission and other technical measures.</w:t>
            </w:r>
          </w:p>
        </w:tc>
        <w:tc>
          <w:tcPr>
            <w:tcW w:w="2694" w:type="dxa"/>
            <w:shd w:val="clear" w:color="auto" w:fill="auto"/>
          </w:tcPr>
          <w:p w14:paraId="24C0A10B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CEEE11D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56878" w:rsidRPr="00A04447" w14:paraId="59D6A31F" w14:textId="77777777" w:rsidTr="0011737B"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598C" w14:textId="4320AE81" w:rsidR="00A969FD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4246" w14:textId="2E9D48E6" w:rsidR="00A969FD" w:rsidRPr="00A04447" w:rsidRDefault="00AE37FD" w:rsidP="00401D47">
            <w:pPr>
              <w:pStyle w:val="Bullet"/>
              <w:numPr>
                <w:ilvl w:val="0"/>
                <w:numId w:val="0"/>
              </w:numPr>
              <w:ind w:left="33"/>
            </w:pPr>
            <w:r>
              <w:rPr>
                <w:b/>
                <w:sz w:val="24"/>
              </w:rPr>
              <w:t xml:space="preserve">* </w:t>
            </w:r>
            <w:r>
              <w:t>Assess the adequacy of the controls and security requirements for user profiles with elevated privileges.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5F48" w14:textId="265744B0" w:rsidR="00A969FD" w:rsidRPr="00A04447" w:rsidRDefault="00AE37FD" w:rsidP="00401D47">
            <w:pPr>
              <w:pStyle w:val="Bullet"/>
              <w:numPr>
                <w:ilvl w:val="0"/>
                <w:numId w:val="0"/>
              </w:numPr>
              <w:ind w:left="33"/>
            </w:pPr>
            <w:r>
              <w:rPr>
                <w:b/>
                <w:sz w:val="24"/>
              </w:rPr>
              <w:t xml:space="preserve">* </w:t>
            </w:r>
            <w:r w:rsidR="001A2E10">
              <w:t xml:space="preserve">Assess </w:t>
            </w:r>
            <w:r>
              <w:t>the adequacy of the controls (</w:t>
            </w:r>
            <w:proofErr w:type="gramStart"/>
            <w:r>
              <w:t>e.g.</w:t>
            </w:r>
            <w:proofErr w:type="gramEnd"/>
            <w:r>
              <w:t xml:space="preserve"> analysis of log files, temporary assignment of access rights, more frequent review controls, </w:t>
            </w:r>
            <w:r w:rsidR="001A2E10">
              <w:t>eye</w:t>
            </w:r>
            <w:r w:rsidR="006A7426">
              <w:t xml:space="preserve">s </w:t>
            </w:r>
            <w:r w:rsidR="001A2E10">
              <w:t>principle</w:t>
            </w:r>
            <w:r>
              <w:t xml:space="preserve"> / peer reviews) and security requirements for </w:t>
            </w:r>
            <w:r w:rsidR="001A2E10">
              <w:t xml:space="preserve">individuals </w:t>
            </w:r>
            <w:r>
              <w:t>with elevated privileges</w:t>
            </w:r>
            <w:r w:rsidR="001A2E10">
              <w:t>,</w:t>
            </w:r>
            <w:r>
              <w:t xml:space="preserve"> and whether a list of such </w:t>
            </w:r>
            <w:r w:rsidR="001A2E10">
              <w:t xml:space="preserve">individuals </w:t>
            </w:r>
            <w:r>
              <w:t xml:space="preserve">is </w:t>
            </w:r>
            <w:r w:rsidR="001A2E10">
              <w:t xml:space="preserve">maintained </w:t>
            </w:r>
            <w:r>
              <w:t xml:space="preserve">and </w:t>
            </w:r>
            <w:r w:rsidR="001A2E10">
              <w:t xml:space="preserve">regularly </w:t>
            </w:r>
            <w:r>
              <w:t>updated.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1DB4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659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6F41ED0D" w14:textId="77777777" w:rsidR="00301B92" w:rsidRDefault="00301B92">
      <w:r>
        <w:br w:type="page"/>
      </w:r>
    </w:p>
    <w:tbl>
      <w:tblPr>
        <w:tblW w:w="129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41"/>
        <w:gridCol w:w="4830"/>
        <w:gridCol w:w="3969"/>
        <w:gridCol w:w="2694"/>
        <w:gridCol w:w="992"/>
      </w:tblGrid>
      <w:tr w:rsidR="00A969FD" w:rsidRPr="00A04447" w14:paraId="174842FB" w14:textId="77777777" w:rsidTr="0011737B">
        <w:trPr>
          <w:gridBefore w:val="1"/>
          <w:wBefore w:w="6" w:type="dxa"/>
        </w:trPr>
        <w:tc>
          <w:tcPr>
            <w:tcW w:w="1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69895" w14:textId="7DD4FEDA" w:rsidR="00A969FD" w:rsidRPr="00A04447" w:rsidRDefault="00A969FD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</w:rPr>
              <w:lastRenderedPageBreak/>
              <w:t>Management of access from abroad (margin no. 79 FINMA Circ. 23/1):</w:t>
            </w:r>
          </w:p>
        </w:tc>
      </w:tr>
      <w:tr w:rsidR="00A969FD" w:rsidRPr="00A04447" w14:paraId="0D47749C" w14:textId="77777777" w:rsidTr="78DEC860">
        <w:trPr>
          <w:gridBefore w:val="1"/>
          <w:wBefore w:w="6" w:type="dxa"/>
        </w:trPr>
        <w:tc>
          <w:tcPr>
            <w:tcW w:w="441" w:type="dxa"/>
            <w:shd w:val="clear" w:color="auto" w:fill="auto"/>
          </w:tcPr>
          <w:p w14:paraId="1F0C09A6" w14:textId="7791ED33" w:rsidR="00A969FD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30" w:type="dxa"/>
            <w:shd w:val="clear" w:color="auto" w:fill="auto"/>
          </w:tcPr>
          <w:p w14:paraId="06287D6B" w14:textId="369EE5B4" w:rsidR="00A969FD" w:rsidRPr="00A04447" w:rsidRDefault="00CC1A7E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rPr>
                <w:b/>
                <w:sz w:val="24"/>
              </w:rPr>
              <w:t xml:space="preserve">** </w:t>
            </w:r>
            <w:r>
              <w:t xml:space="preserve">If critical data </w:t>
            </w:r>
            <w:r w:rsidR="006D66E1">
              <w:t xml:space="preserve">is </w:t>
            </w:r>
            <w:r>
              <w:t xml:space="preserve">stored outside Switzerland or can be accessed from abroad, assess whether the increased risks are adequately </w:t>
            </w:r>
            <w:proofErr w:type="gramStart"/>
            <w:r w:rsidR="001A2E10">
              <w:t>mitigated</w:t>
            </w:r>
            <w:proofErr w:type="gramEnd"/>
            <w:r w:rsidR="001A2E10">
              <w:t xml:space="preserve"> </w:t>
            </w:r>
            <w:r>
              <w:t xml:space="preserve">and the data </w:t>
            </w:r>
            <w:r w:rsidR="001A2E10">
              <w:t xml:space="preserve">is </w:t>
            </w:r>
            <w:r>
              <w:t>adequately protected.</w:t>
            </w:r>
          </w:p>
        </w:tc>
        <w:tc>
          <w:tcPr>
            <w:tcW w:w="3969" w:type="dxa"/>
            <w:shd w:val="clear" w:color="auto" w:fill="auto"/>
          </w:tcPr>
          <w:p w14:paraId="5A6021C0" w14:textId="16F942A7" w:rsidR="00A969FD" w:rsidRPr="00A04447" w:rsidRDefault="00CC1A7E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rPr>
                <w:b/>
                <w:sz w:val="24"/>
              </w:rPr>
              <w:t xml:space="preserve">** </w:t>
            </w:r>
            <w:r w:rsidR="001A2E10">
              <w:t>Assess, on a sample basis as appropriate,</w:t>
            </w:r>
            <w:r>
              <w:t xml:space="preserve"> whether organisational and technical measures are in place for adequately control the increased risks and adequately protect critical data </w:t>
            </w:r>
            <w:r w:rsidR="001A2E10">
              <w:t>when it is</w:t>
            </w:r>
            <w:r>
              <w:t xml:space="preserve"> stored outside Switzerland or can be accessed from abroad.</w:t>
            </w:r>
          </w:p>
        </w:tc>
        <w:tc>
          <w:tcPr>
            <w:tcW w:w="2694" w:type="dxa"/>
            <w:shd w:val="clear" w:color="auto" w:fill="auto"/>
          </w:tcPr>
          <w:p w14:paraId="34FB9F36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417BA01" w14:textId="761A1F63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0A339CD0" w14:textId="77777777" w:rsidTr="0011737B">
        <w:trPr>
          <w:gridBefore w:val="1"/>
          <w:wBefore w:w="6" w:type="dxa"/>
        </w:trPr>
        <w:tc>
          <w:tcPr>
            <w:tcW w:w="1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90939" w14:textId="0E3348F2" w:rsidR="00A969FD" w:rsidRPr="00A04447" w:rsidRDefault="00A969FD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</w:rPr>
              <w:t>Incidents (margin no. 81 FINMA Circ. 23/1):</w:t>
            </w:r>
          </w:p>
        </w:tc>
      </w:tr>
      <w:tr w:rsidR="00401D47" w:rsidRPr="00A04447" w14:paraId="7C820E80" w14:textId="77777777" w:rsidTr="78DEC860">
        <w:trPr>
          <w:gridBefore w:val="1"/>
          <w:wBefore w:w="6" w:type="dxa"/>
        </w:trPr>
        <w:tc>
          <w:tcPr>
            <w:tcW w:w="441" w:type="dxa"/>
            <w:shd w:val="clear" w:color="auto" w:fill="auto"/>
          </w:tcPr>
          <w:p w14:paraId="5B9ABC65" w14:textId="209ACB79" w:rsidR="00401D47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30" w:type="dxa"/>
            <w:shd w:val="clear" w:color="auto" w:fill="auto"/>
          </w:tcPr>
          <w:p w14:paraId="5A3A630E" w14:textId="737ECCA4" w:rsidR="00401D47" w:rsidRPr="00A04447" w:rsidRDefault="00401D47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the adequacy of the processes, </w:t>
            </w:r>
            <w:proofErr w:type="gramStart"/>
            <w:r>
              <w:t>procedures</w:t>
            </w:r>
            <w:proofErr w:type="gramEnd"/>
            <w:r>
              <w:t xml:space="preserve"> and controls for managing incidents that significantly </w:t>
            </w:r>
            <w:r w:rsidR="006D66E1">
              <w:t xml:space="preserve">affect </w:t>
            </w:r>
            <w:r>
              <w:t>the confidentiality, integrity or availability of critical data.</w:t>
            </w:r>
          </w:p>
        </w:tc>
        <w:tc>
          <w:tcPr>
            <w:tcW w:w="3969" w:type="dxa"/>
            <w:shd w:val="clear" w:color="auto" w:fill="auto"/>
          </w:tcPr>
          <w:p w14:paraId="0CF6ED4D" w14:textId="015FFA81" w:rsidR="005D57A3" w:rsidRPr="00A04447" w:rsidDel="007F7904" w:rsidRDefault="006D66E1" w:rsidP="005D57A3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</w:t>
            </w:r>
            <w:r w:rsidR="005D57A3">
              <w:t xml:space="preserve">the operational effectiveness of the reporting process to FINMA </w:t>
            </w:r>
            <w:r>
              <w:t>based on an</w:t>
            </w:r>
            <w:r w:rsidR="005D57A3">
              <w:t xml:space="preserve"> appropriate sample of incidents that have impaired the confidentiality, </w:t>
            </w:r>
            <w:proofErr w:type="gramStart"/>
            <w:r w:rsidR="005D57A3">
              <w:t>integrity</w:t>
            </w:r>
            <w:proofErr w:type="gramEnd"/>
            <w:r w:rsidR="005D57A3">
              <w:t xml:space="preserve"> or availability of critical data.</w:t>
            </w:r>
          </w:p>
        </w:tc>
        <w:tc>
          <w:tcPr>
            <w:tcW w:w="2694" w:type="dxa"/>
            <w:shd w:val="clear" w:color="auto" w:fill="auto"/>
          </w:tcPr>
          <w:p w14:paraId="77FA54F2" w14:textId="77777777" w:rsidR="00401D47" w:rsidRPr="00BD5743" w:rsidRDefault="00401D47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999CE09" w14:textId="77777777" w:rsidR="00401D47" w:rsidRPr="00BD5743" w:rsidRDefault="00401D47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969FD" w:rsidRPr="00A04447" w14:paraId="2BCF3182" w14:textId="77777777" w:rsidTr="0011737B">
        <w:trPr>
          <w:gridBefore w:val="1"/>
          <w:wBefore w:w="6" w:type="dxa"/>
        </w:trPr>
        <w:tc>
          <w:tcPr>
            <w:tcW w:w="1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6B449" w14:textId="28E0F78F" w:rsidR="00A969FD" w:rsidRPr="00A04447" w:rsidRDefault="00A969FD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Due diligence review (</w:t>
            </w:r>
            <w:r>
              <w:rPr>
                <w:i/>
                <w:iCs/>
                <w:sz w:val="16"/>
              </w:rPr>
              <w:t>margin no.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82 FINMA Circ. 23/1):</w:t>
            </w:r>
          </w:p>
        </w:tc>
      </w:tr>
      <w:tr w:rsidR="00A969FD" w:rsidRPr="00A04447" w14:paraId="6D8D1744" w14:textId="77777777" w:rsidTr="78DEC860">
        <w:trPr>
          <w:gridBefore w:val="1"/>
          <w:wBefore w:w="6" w:type="dxa"/>
        </w:trPr>
        <w:tc>
          <w:tcPr>
            <w:tcW w:w="441" w:type="dxa"/>
            <w:shd w:val="clear" w:color="auto" w:fill="auto"/>
          </w:tcPr>
          <w:p w14:paraId="081EAAB9" w14:textId="708235AB" w:rsidR="00A969FD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30" w:type="dxa"/>
            <w:shd w:val="clear" w:color="auto" w:fill="auto"/>
          </w:tcPr>
          <w:p w14:paraId="441E526B" w14:textId="2A05ADDF" w:rsidR="00A969FD" w:rsidRPr="00A04447" w:rsidRDefault="00A969FD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the adequacy of the due diligence </w:t>
            </w:r>
            <w:r w:rsidR="006D66E1">
              <w:t>process</w:t>
            </w:r>
            <w:r>
              <w:t xml:space="preserve"> when selecting service providers </w:t>
            </w:r>
            <w:r w:rsidR="006D66E1">
              <w:t>that may access or manage</w:t>
            </w:r>
            <w:r>
              <w:t xml:space="preserve"> critical data.</w:t>
            </w:r>
          </w:p>
          <w:p w14:paraId="509F3653" w14:textId="75041459" w:rsidR="00A969FD" w:rsidRPr="0011737B" w:rsidRDefault="00A969FD" w:rsidP="00A969FD">
            <w:pPr>
              <w:pStyle w:val="Bullet"/>
              <w:numPr>
                <w:ilvl w:val="0"/>
                <w:numId w:val="0"/>
              </w:numPr>
              <w:ind w:left="33"/>
            </w:pPr>
          </w:p>
        </w:tc>
        <w:tc>
          <w:tcPr>
            <w:tcW w:w="3969" w:type="dxa"/>
            <w:shd w:val="clear" w:color="auto" w:fill="auto"/>
          </w:tcPr>
          <w:p w14:paraId="2BF3D02F" w14:textId="2FB8C786" w:rsidR="00A969FD" w:rsidRPr="00A04447" w:rsidRDefault="006D66E1" w:rsidP="00A969FD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Assess, </w:t>
            </w:r>
            <w:r w:rsidR="000C6A90">
              <w:t xml:space="preserve">on </w:t>
            </w:r>
            <w:r>
              <w:t>an</w:t>
            </w:r>
            <w:r w:rsidR="000C6A90">
              <w:t xml:space="preserve"> appropriate sample</w:t>
            </w:r>
            <w:r>
              <w:t xml:space="preserve"> basis,</w:t>
            </w:r>
            <w:r w:rsidR="000C6A90">
              <w:t xml:space="preserve"> whether </w:t>
            </w:r>
            <w:r>
              <w:t xml:space="preserve">the </w:t>
            </w:r>
            <w:r w:rsidR="000C6A90">
              <w:t xml:space="preserve">due diligence </w:t>
            </w:r>
            <w:r>
              <w:t>process for</w:t>
            </w:r>
            <w:r w:rsidR="000C6A90">
              <w:t xml:space="preserve"> selecting service providers</w:t>
            </w:r>
            <w:r>
              <w:t xml:space="preserve"> with access to critical data has been adequately </w:t>
            </w:r>
            <w:proofErr w:type="gramStart"/>
            <w:r>
              <w:t>performed</w:t>
            </w:r>
            <w:proofErr w:type="gramEnd"/>
          </w:p>
          <w:p w14:paraId="06F3FB1A" w14:textId="470ED335" w:rsidR="00A969FD" w:rsidRPr="00BD5743" w:rsidRDefault="00A969FD" w:rsidP="00A969FD">
            <w:pPr>
              <w:pStyle w:val="Bullet"/>
              <w:numPr>
                <w:ilvl w:val="0"/>
                <w:numId w:val="0"/>
              </w:numPr>
              <w:ind w:left="33"/>
              <w:rPr>
                <w:i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58F4CBF7" w14:textId="77777777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241B36C" w14:textId="66186EDE" w:rsidR="00A969FD" w:rsidRPr="00BD5743" w:rsidRDefault="00A969FD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56878" w:rsidRPr="00A04447" w14:paraId="36F05D25" w14:textId="77777777" w:rsidTr="0011737B"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BF3" w14:textId="50A5FAF7" w:rsidR="00CA6213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3D5B" w14:textId="3159E3CE" w:rsidR="00CA6213" w:rsidRPr="00A04447" w:rsidRDefault="00CA6213" w:rsidP="00F56878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whether </w:t>
            </w:r>
            <w:r w:rsidR="00EB26ED">
              <w:t xml:space="preserve">appropriate </w:t>
            </w:r>
            <w:r>
              <w:t xml:space="preserve">criteria </w:t>
            </w:r>
            <w:r w:rsidR="00EB26ED">
              <w:t xml:space="preserve">for dealing with service providers with access to critical data </w:t>
            </w:r>
            <w:r>
              <w:t>are defined and set out in the contractual agreement.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86FC" w14:textId="5F2BDE31" w:rsidR="000C6A90" w:rsidRPr="00A04447" w:rsidRDefault="00EB26ED" w:rsidP="000C6A90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Assess, on a sample basis as appropriate, whether </w:t>
            </w:r>
            <w:r w:rsidR="000C6A90">
              <w:t xml:space="preserve">service providers with access to critical data </w:t>
            </w:r>
            <w:r>
              <w:t>have agreed the institution's terms and conditions for</w:t>
            </w:r>
            <w:r w:rsidR="007C0C63">
              <w:t xml:space="preserve"> </w:t>
            </w:r>
            <w:r w:rsidR="000C6A90">
              <w:t xml:space="preserve">the handling of critical data </w:t>
            </w:r>
            <w:r>
              <w:t xml:space="preserve">prior to </w:t>
            </w:r>
            <w:proofErr w:type="gramStart"/>
            <w:r w:rsidR="000C6A90">
              <w:t>entering into</w:t>
            </w:r>
            <w:proofErr w:type="gramEnd"/>
            <w:r w:rsidR="000C6A90">
              <w:t xml:space="preserve"> a contractual </w:t>
            </w:r>
            <w:r>
              <w:t>arrangement</w:t>
            </w:r>
            <w:r w:rsidR="000C6A90">
              <w:t xml:space="preserve">. </w:t>
            </w:r>
          </w:p>
          <w:p w14:paraId="0DE288C1" w14:textId="1FE60CAA" w:rsidR="000C6A90" w:rsidRPr="00BD5743" w:rsidDel="007F7904" w:rsidRDefault="000C6A90" w:rsidP="00F56878">
            <w:pPr>
              <w:pStyle w:val="Bullet"/>
              <w:numPr>
                <w:ilvl w:val="0"/>
                <w:numId w:val="0"/>
              </w:numPr>
              <w:ind w:left="33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0C89" w14:textId="77777777" w:rsidR="00CA6213" w:rsidRPr="00BD5743" w:rsidRDefault="00CA621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B4FE" w14:textId="77777777" w:rsidR="00CA6213" w:rsidRPr="00BD5743" w:rsidRDefault="00CA621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F56878" w:rsidRPr="00A04447" w14:paraId="2EFBC473" w14:textId="77777777" w:rsidTr="0011737B"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F35C" w14:textId="4638D408" w:rsidR="00CA6213" w:rsidRPr="00A04447" w:rsidRDefault="004B11EC" w:rsidP="00A969FD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BCB5" w14:textId="2E8E8676" w:rsidR="00CA6213" w:rsidRPr="0011737B" w:rsidRDefault="00CA6213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whether service providers with access to critical data are </w:t>
            </w:r>
            <w:r w:rsidR="00B04AE1">
              <w:t xml:space="preserve">regularly </w:t>
            </w:r>
            <w:r>
              <w:t xml:space="preserve">monitored and </w:t>
            </w:r>
            <w:r w:rsidR="00B04AE1">
              <w:t xml:space="preserve">reviewed </w:t>
            </w:r>
            <w:r>
              <w:t xml:space="preserve">as part of the institution’s internal control system.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5962" w14:textId="57767C53" w:rsidR="00525FA6" w:rsidRPr="00A04447" w:rsidRDefault="00B04AE1" w:rsidP="00525FA6">
            <w:pPr>
              <w:pStyle w:val="Bullet"/>
              <w:numPr>
                <w:ilvl w:val="0"/>
                <w:numId w:val="0"/>
              </w:numPr>
              <w:ind w:left="33"/>
            </w:pPr>
            <w:r>
              <w:t xml:space="preserve">Assess </w:t>
            </w:r>
            <w:r w:rsidR="00525FA6">
              <w:t xml:space="preserve">on </w:t>
            </w:r>
            <w:r>
              <w:t>an appropriate sample basis, whether</w:t>
            </w:r>
            <w:r w:rsidR="00525FA6">
              <w:t xml:space="preserve"> service providers with access to critical data </w:t>
            </w:r>
            <w:r>
              <w:t>and t</w:t>
            </w:r>
            <w:r w:rsidR="00EB26ED">
              <w:t>heir data usage</w:t>
            </w:r>
            <w:r w:rsidR="007C0C63">
              <w:t xml:space="preserve"> </w:t>
            </w:r>
            <w:r>
              <w:t xml:space="preserve">are regularly </w:t>
            </w:r>
            <w:r w:rsidR="00525FA6">
              <w:t xml:space="preserve">monitored and </w:t>
            </w:r>
            <w:r>
              <w:t>audited</w:t>
            </w:r>
            <w:r w:rsidR="00525FA6">
              <w:t>.</w:t>
            </w:r>
          </w:p>
          <w:p w14:paraId="52F82CA5" w14:textId="023F0811" w:rsidR="00525FA6" w:rsidRPr="00BD5743" w:rsidDel="007F7904" w:rsidRDefault="00525FA6" w:rsidP="00A969FD">
            <w:pPr>
              <w:pStyle w:val="Bullet"/>
              <w:numPr>
                <w:ilvl w:val="0"/>
                <w:numId w:val="0"/>
              </w:numPr>
              <w:ind w:left="33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8BF4" w14:textId="77777777" w:rsidR="00CA6213" w:rsidRPr="00BD5743" w:rsidRDefault="00CA621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C7EA" w14:textId="77777777" w:rsidR="00CA6213" w:rsidRPr="00BD5743" w:rsidRDefault="00CA6213" w:rsidP="00A969FD">
            <w:pPr>
              <w:spacing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6BAA84C2" w14:textId="566CD68B" w:rsidR="00C54C98" w:rsidRPr="00A04447" w:rsidRDefault="00C54C98" w:rsidP="00352874">
      <w:pPr>
        <w:spacing w:line="240" w:lineRule="auto"/>
        <w:rPr>
          <w:rFonts w:cs="Arial"/>
          <w:b/>
        </w:rPr>
      </w:pPr>
    </w:p>
    <w:p w14:paraId="332BC9DC" w14:textId="77777777" w:rsidR="009F683E" w:rsidRPr="00E012BF" w:rsidRDefault="00513348" w:rsidP="00F6760D">
      <w:pPr>
        <w:spacing w:before="240"/>
        <w:jc w:val="center"/>
        <w:rPr>
          <w:rFonts w:cs="Arial"/>
        </w:rPr>
      </w:pPr>
      <w:bookmarkStart w:id="0" w:name="_Hlk152225000"/>
      <w:r>
        <w:t>*********************************</w:t>
      </w:r>
      <w:bookmarkEnd w:id="0"/>
    </w:p>
    <w:sectPr w:rsidR="009F683E" w:rsidRPr="00E012BF" w:rsidSect="00814DA4">
      <w:headerReference w:type="default" r:id="rId12"/>
      <w:footerReference w:type="default" r:id="rId13"/>
      <w:pgSz w:w="16838" w:h="11906" w:orient="landscape"/>
      <w:pgMar w:top="1702" w:right="1417" w:bottom="1135" w:left="1134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9425" w14:textId="77777777" w:rsidR="00E17F2E" w:rsidRDefault="00E17F2E" w:rsidP="0073176F">
      <w:pPr>
        <w:spacing w:after="0" w:line="240" w:lineRule="auto"/>
      </w:pPr>
      <w:r>
        <w:separator/>
      </w:r>
    </w:p>
  </w:endnote>
  <w:endnote w:type="continuationSeparator" w:id="0">
    <w:p w14:paraId="3611532A" w14:textId="77777777" w:rsidR="00E17F2E" w:rsidRDefault="00E17F2E" w:rsidP="0073176F">
      <w:pPr>
        <w:spacing w:after="0" w:line="240" w:lineRule="auto"/>
      </w:pPr>
      <w:r>
        <w:continuationSeparator/>
      </w:r>
    </w:p>
  </w:endnote>
  <w:endnote w:type="continuationNotice" w:id="1">
    <w:p w14:paraId="73728C1B" w14:textId="77777777" w:rsidR="00E17F2E" w:rsidRDefault="00E17F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EYInterstate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8951" w14:textId="0EBAD399" w:rsidR="0066492A" w:rsidRDefault="0066492A" w:rsidP="00021D9C">
    <w:pPr>
      <w:pStyle w:val="Pieddepage"/>
      <w:tabs>
        <w:tab w:val="clear" w:pos="9072"/>
        <w:tab w:val="right" w:pos="14317"/>
      </w:tabs>
      <w:rPr>
        <w:sz w:val="16"/>
        <w:szCs w:val="16"/>
      </w:rPr>
    </w:pPr>
    <w:r>
      <w:rPr>
        <w:sz w:val="16"/>
      </w:rPr>
      <w:t>Procedures for audit field “Critical data risk management”</w:t>
    </w:r>
  </w:p>
  <w:p w14:paraId="1ABADC58" w14:textId="7450E168" w:rsidR="0066492A" w:rsidRPr="0045532C" w:rsidRDefault="0066492A" w:rsidP="00021D9C">
    <w:pPr>
      <w:pStyle w:val="Pieddepage"/>
      <w:tabs>
        <w:tab w:val="clear" w:pos="9072"/>
        <w:tab w:val="right" w:pos="14317"/>
      </w:tabs>
      <w:rPr>
        <w:rFonts w:cs="Arial"/>
        <w:sz w:val="16"/>
        <w:szCs w:val="16"/>
      </w:rPr>
    </w:pPr>
    <w:r>
      <w:rPr>
        <w:sz w:val="16"/>
      </w:rPr>
      <w:t>Version of 30 November 2023, applicable from audit period 2024 (audit year beginning 1 January 2024 or later)</w:t>
    </w:r>
    <w:r>
      <w:tab/>
    </w:r>
    <w:r>
      <w:rPr>
        <w:sz w:val="16"/>
      </w:rPr>
      <w:t xml:space="preserve">Page </w:t>
    </w:r>
    <w:r w:rsidRPr="0011737B">
      <w:rPr>
        <w:rFonts w:cs="Arial"/>
        <w:sz w:val="16"/>
      </w:rPr>
      <w:fldChar w:fldCharType="begin"/>
    </w:r>
    <w:r w:rsidRPr="0045532C">
      <w:rPr>
        <w:rFonts w:cs="Arial"/>
        <w:sz w:val="16"/>
      </w:rPr>
      <w:instrText xml:space="preserve"> PAGE   \* MERGEFORMAT </w:instrText>
    </w:r>
    <w:r w:rsidRPr="0011737B">
      <w:rPr>
        <w:rFonts w:cs="Arial"/>
        <w:sz w:val="16"/>
      </w:rPr>
      <w:fldChar w:fldCharType="separate"/>
    </w:r>
    <w:r>
      <w:rPr>
        <w:rFonts w:cs="Arial"/>
        <w:sz w:val="16"/>
      </w:rPr>
      <w:t>10</w:t>
    </w:r>
    <w:r w:rsidRPr="0011737B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47B1" w14:textId="77777777" w:rsidR="00E17F2E" w:rsidRDefault="00E17F2E" w:rsidP="0073176F">
      <w:pPr>
        <w:spacing w:after="0" w:line="240" w:lineRule="auto"/>
      </w:pPr>
      <w:r>
        <w:separator/>
      </w:r>
    </w:p>
  </w:footnote>
  <w:footnote w:type="continuationSeparator" w:id="0">
    <w:p w14:paraId="09D3B082" w14:textId="77777777" w:rsidR="00E17F2E" w:rsidRDefault="00E17F2E" w:rsidP="0073176F">
      <w:pPr>
        <w:spacing w:after="0" w:line="240" w:lineRule="auto"/>
      </w:pPr>
      <w:r>
        <w:continuationSeparator/>
      </w:r>
    </w:p>
  </w:footnote>
  <w:footnote w:type="continuationNotice" w:id="1">
    <w:p w14:paraId="0D1C7C15" w14:textId="77777777" w:rsidR="00E17F2E" w:rsidRDefault="00E17F2E">
      <w:pPr>
        <w:spacing w:before="0" w:after="0" w:line="240" w:lineRule="auto"/>
      </w:pPr>
    </w:p>
  </w:footnote>
  <w:footnote w:id="2">
    <w:p w14:paraId="02C788C6" w14:textId="33AA4BAA" w:rsidR="0066492A" w:rsidRPr="00E97C31" w:rsidRDefault="006649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</w:rPr>
        <w:t>Margin nos. 33 and 34 FINMA Circ. 13/3</w:t>
      </w:r>
    </w:p>
  </w:footnote>
  <w:footnote w:id="3">
    <w:p w14:paraId="502543BE" w14:textId="211AD652" w:rsidR="00301B92" w:rsidRPr="00490D5C" w:rsidRDefault="00301B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</w:rPr>
        <w:t>FINMA Circ. 23/1 Annex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4C96" w14:textId="24B99E25" w:rsidR="0066492A" w:rsidRPr="0045532C" w:rsidRDefault="0066492A" w:rsidP="00814DA4">
    <w:pPr>
      <w:pStyle w:val="En-tte"/>
      <w:tabs>
        <w:tab w:val="clear" w:pos="4536"/>
        <w:tab w:val="clear" w:pos="9072"/>
        <w:tab w:val="left" w:pos="3969"/>
        <w:tab w:val="right" w:pos="14317"/>
      </w:tabs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A79761" wp14:editId="676758D3">
          <wp:simplePos x="0" y="0"/>
          <wp:positionH relativeFrom="column">
            <wp:posOffset>7361555</wp:posOffset>
          </wp:positionH>
          <wp:positionV relativeFrom="paragraph">
            <wp:posOffset>-36830</wp:posOffset>
          </wp:positionV>
          <wp:extent cx="1633855" cy="719455"/>
          <wp:effectExtent l="0" t="0" r="4445" b="4445"/>
          <wp:wrapTight wrapText="bothSides">
            <wp:wrapPolygon edited="0">
              <wp:start x="0" y="0"/>
              <wp:lineTo x="0" y="21162"/>
              <wp:lineTo x="8311" y="21162"/>
              <wp:lineTo x="15363" y="21162"/>
              <wp:lineTo x="17377" y="21162"/>
              <wp:lineTo x="20148" y="19446"/>
              <wp:lineTo x="21407" y="16586"/>
              <wp:lineTo x="21407" y="4004"/>
              <wp:lineTo x="19392" y="2288"/>
              <wp:lineTo x="9066" y="0"/>
              <wp:lineTo x="0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FIN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highlight w:val="yellow"/>
      </w:rPr>
      <w:t>[Institution XY]</w:t>
    </w:r>
    <w:r>
      <w:tab/>
    </w:r>
    <w:r>
      <w:rPr>
        <w:sz w:val="16"/>
      </w:rPr>
      <w:t xml:space="preserve">Reference: </w:t>
    </w:r>
    <w:r>
      <w:rPr>
        <w:sz w:val="16"/>
        <w:highlight w:val="yellow"/>
      </w:rPr>
      <w:t>[add reference]</w:t>
    </w:r>
  </w:p>
  <w:p w14:paraId="3408D702" w14:textId="66E20BA9" w:rsidR="0066492A" w:rsidRPr="0045532C" w:rsidRDefault="0066492A" w:rsidP="00814DA4">
    <w:pPr>
      <w:pStyle w:val="En-tte"/>
      <w:tabs>
        <w:tab w:val="clear" w:pos="4536"/>
        <w:tab w:val="clear" w:pos="9072"/>
        <w:tab w:val="left" w:pos="3969"/>
        <w:tab w:val="right" w:pos="14317"/>
      </w:tabs>
      <w:rPr>
        <w:rFonts w:cs="Arial"/>
        <w:sz w:val="16"/>
        <w:szCs w:val="16"/>
      </w:rPr>
    </w:pPr>
    <w:r>
      <w:rPr>
        <w:sz w:val="16"/>
      </w:rPr>
      <w:t>Audit period 20</w:t>
    </w:r>
    <w:r>
      <w:rPr>
        <w:sz w:val="16"/>
        <w:highlight w:val="yellow"/>
      </w:rPr>
      <w:t>YY</w:t>
    </w:r>
    <w:r>
      <w:tab/>
    </w:r>
    <w:r>
      <w:rPr>
        <w:b/>
        <w:sz w:val="16"/>
      </w:rPr>
      <w:t>Critical data risk management</w:t>
    </w:r>
  </w:p>
  <w:p w14:paraId="522D2A43" w14:textId="77777777" w:rsidR="0066492A" w:rsidRDefault="0066492A" w:rsidP="00814DA4">
    <w:pPr>
      <w:pStyle w:val="En-tte"/>
      <w:rPr>
        <w:rFonts w:cs="Arial"/>
        <w:sz w:val="18"/>
        <w:szCs w:val="18"/>
      </w:rPr>
    </w:pPr>
  </w:p>
  <w:p w14:paraId="29BB3192" w14:textId="77777777" w:rsidR="0066492A" w:rsidRDefault="0066492A" w:rsidP="00814DA4">
    <w:pPr>
      <w:pStyle w:val="En-tte"/>
      <w:rPr>
        <w:rFonts w:cs="Arial"/>
        <w:sz w:val="18"/>
        <w:szCs w:val="18"/>
      </w:rPr>
    </w:pPr>
  </w:p>
  <w:p w14:paraId="0D6970BB" w14:textId="77777777" w:rsidR="0066492A" w:rsidRPr="0045532C" w:rsidRDefault="0066492A" w:rsidP="00814DA4">
    <w:pPr>
      <w:pStyle w:val="En-tte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D0AB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4856"/>
    <w:multiLevelType w:val="hybridMultilevel"/>
    <w:tmpl w:val="FEC8F372"/>
    <w:lvl w:ilvl="0" w:tplc="024A35A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4BF55AA"/>
    <w:multiLevelType w:val="hybridMultilevel"/>
    <w:tmpl w:val="2468076C"/>
    <w:lvl w:ilvl="0" w:tplc="08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0C8A2FBA"/>
    <w:multiLevelType w:val="hybridMultilevel"/>
    <w:tmpl w:val="83F00160"/>
    <w:lvl w:ilvl="0" w:tplc="0807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B635B"/>
    <w:multiLevelType w:val="hybridMultilevel"/>
    <w:tmpl w:val="EBCEF56A"/>
    <w:lvl w:ilvl="0" w:tplc="5002EFD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0276"/>
    <w:multiLevelType w:val="multilevel"/>
    <w:tmpl w:val="545A961C"/>
    <w:styleLink w:val="ListePP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1F7D3D87"/>
    <w:multiLevelType w:val="hybridMultilevel"/>
    <w:tmpl w:val="42A629F4"/>
    <w:lvl w:ilvl="0" w:tplc="08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203E20BD"/>
    <w:multiLevelType w:val="multilevel"/>
    <w:tmpl w:val="545A961C"/>
    <w:numStyleLink w:val="ListePP"/>
  </w:abstractNum>
  <w:abstractNum w:abstractNumId="8" w15:restartNumberingAfterBreak="0">
    <w:nsid w:val="613C7917"/>
    <w:multiLevelType w:val="hybridMultilevel"/>
    <w:tmpl w:val="8D5A2D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C3FCB"/>
    <w:multiLevelType w:val="hybridMultilevel"/>
    <w:tmpl w:val="6C661F1A"/>
    <w:lvl w:ilvl="0" w:tplc="8ABE2DFE">
      <w:numFmt w:val="bullet"/>
      <w:pStyle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0E12"/>
    <w:multiLevelType w:val="hybridMultilevel"/>
    <w:tmpl w:val="953812F2"/>
    <w:lvl w:ilvl="0" w:tplc="C5D2A4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146386">
    <w:abstractNumId w:val="5"/>
  </w:num>
  <w:num w:numId="2" w16cid:durableId="1805274432">
    <w:abstractNumId w:val="7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357" w:hanging="357"/>
        </w:pPr>
        <w:rPr>
          <w:rFonts w:ascii="EYInterstate" w:hAnsi="EYInterstat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357" w:hanging="35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3" w16cid:durableId="787971380">
    <w:abstractNumId w:val="9"/>
  </w:num>
  <w:num w:numId="4" w16cid:durableId="1607997833">
    <w:abstractNumId w:val="0"/>
  </w:num>
  <w:num w:numId="5" w16cid:durableId="375156564">
    <w:abstractNumId w:val="8"/>
  </w:num>
  <w:num w:numId="6" w16cid:durableId="497773368">
    <w:abstractNumId w:val="1"/>
  </w:num>
  <w:num w:numId="7" w16cid:durableId="899024537">
    <w:abstractNumId w:val="3"/>
  </w:num>
  <w:num w:numId="8" w16cid:durableId="569392461">
    <w:abstractNumId w:val="2"/>
  </w:num>
  <w:num w:numId="9" w16cid:durableId="267392425">
    <w:abstractNumId w:val="9"/>
  </w:num>
  <w:num w:numId="10" w16cid:durableId="1279336199">
    <w:abstractNumId w:val="9"/>
  </w:num>
  <w:num w:numId="11" w16cid:durableId="2114393611">
    <w:abstractNumId w:val="9"/>
  </w:num>
  <w:num w:numId="12" w16cid:durableId="1307590587">
    <w:abstractNumId w:val="9"/>
  </w:num>
  <w:num w:numId="13" w16cid:durableId="433132813">
    <w:abstractNumId w:val="4"/>
  </w:num>
  <w:num w:numId="14" w16cid:durableId="2074350923">
    <w:abstractNumId w:val="10"/>
  </w:num>
  <w:num w:numId="15" w16cid:durableId="85075130">
    <w:abstractNumId w:val="6"/>
  </w:num>
  <w:num w:numId="16" w16cid:durableId="28346300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autoHyphenation/>
  <w:hyphenationZone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6F"/>
    <w:rsid w:val="000038B7"/>
    <w:rsid w:val="00004411"/>
    <w:rsid w:val="00006BC9"/>
    <w:rsid w:val="00007639"/>
    <w:rsid w:val="000107E5"/>
    <w:rsid w:val="00012AEB"/>
    <w:rsid w:val="00012CCD"/>
    <w:rsid w:val="00013CC5"/>
    <w:rsid w:val="00013EE2"/>
    <w:rsid w:val="000149DF"/>
    <w:rsid w:val="00014CAD"/>
    <w:rsid w:val="0001506A"/>
    <w:rsid w:val="000158F5"/>
    <w:rsid w:val="00016202"/>
    <w:rsid w:val="00016B0E"/>
    <w:rsid w:val="00016C72"/>
    <w:rsid w:val="00017F83"/>
    <w:rsid w:val="00020474"/>
    <w:rsid w:val="00020E76"/>
    <w:rsid w:val="0002133D"/>
    <w:rsid w:val="00021D9C"/>
    <w:rsid w:val="00022135"/>
    <w:rsid w:val="00022671"/>
    <w:rsid w:val="0002429A"/>
    <w:rsid w:val="00025CEE"/>
    <w:rsid w:val="0002624A"/>
    <w:rsid w:val="00027371"/>
    <w:rsid w:val="00030AE7"/>
    <w:rsid w:val="00030F77"/>
    <w:rsid w:val="000327B2"/>
    <w:rsid w:val="000363B1"/>
    <w:rsid w:val="000366CA"/>
    <w:rsid w:val="00036D65"/>
    <w:rsid w:val="00036DF6"/>
    <w:rsid w:val="000372F1"/>
    <w:rsid w:val="00041BB7"/>
    <w:rsid w:val="000424C9"/>
    <w:rsid w:val="0004253A"/>
    <w:rsid w:val="000448D3"/>
    <w:rsid w:val="00044A39"/>
    <w:rsid w:val="00044D5B"/>
    <w:rsid w:val="000469F0"/>
    <w:rsid w:val="00047096"/>
    <w:rsid w:val="00047792"/>
    <w:rsid w:val="00047C8C"/>
    <w:rsid w:val="00051370"/>
    <w:rsid w:val="00051655"/>
    <w:rsid w:val="00051C1E"/>
    <w:rsid w:val="00052588"/>
    <w:rsid w:val="000562A1"/>
    <w:rsid w:val="000608A8"/>
    <w:rsid w:val="00060B8A"/>
    <w:rsid w:val="000614A8"/>
    <w:rsid w:val="00061540"/>
    <w:rsid w:val="00061BA4"/>
    <w:rsid w:val="000624A4"/>
    <w:rsid w:val="000634CA"/>
    <w:rsid w:val="0006355F"/>
    <w:rsid w:val="00064120"/>
    <w:rsid w:val="0006504A"/>
    <w:rsid w:val="000652CA"/>
    <w:rsid w:val="00065D05"/>
    <w:rsid w:val="000661B3"/>
    <w:rsid w:val="0007021F"/>
    <w:rsid w:val="000713A5"/>
    <w:rsid w:val="000720AC"/>
    <w:rsid w:val="0007268B"/>
    <w:rsid w:val="00072EA9"/>
    <w:rsid w:val="000735D6"/>
    <w:rsid w:val="00073A17"/>
    <w:rsid w:val="00076402"/>
    <w:rsid w:val="00076C32"/>
    <w:rsid w:val="00082C26"/>
    <w:rsid w:val="00082D9B"/>
    <w:rsid w:val="00083FB0"/>
    <w:rsid w:val="000843F8"/>
    <w:rsid w:val="00085409"/>
    <w:rsid w:val="00085B58"/>
    <w:rsid w:val="00086741"/>
    <w:rsid w:val="00087EC0"/>
    <w:rsid w:val="0009064E"/>
    <w:rsid w:val="00090ADF"/>
    <w:rsid w:val="00090C3E"/>
    <w:rsid w:val="00090FAF"/>
    <w:rsid w:val="0009234F"/>
    <w:rsid w:val="000926CB"/>
    <w:rsid w:val="00092F40"/>
    <w:rsid w:val="00093407"/>
    <w:rsid w:val="00095183"/>
    <w:rsid w:val="000951D2"/>
    <w:rsid w:val="00095592"/>
    <w:rsid w:val="000A01EA"/>
    <w:rsid w:val="000A0B0F"/>
    <w:rsid w:val="000A1BD5"/>
    <w:rsid w:val="000A42AC"/>
    <w:rsid w:val="000A4F37"/>
    <w:rsid w:val="000A581D"/>
    <w:rsid w:val="000A6E44"/>
    <w:rsid w:val="000B0AEC"/>
    <w:rsid w:val="000B3D37"/>
    <w:rsid w:val="000B5B37"/>
    <w:rsid w:val="000B5CB9"/>
    <w:rsid w:val="000B6A11"/>
    <w:rsid w:val="000B7C09"/>
    <w:rsid w:val="000C0BDE"/>
    <w:rsid w:val="000C0CA7"/>
    <w:rsid w:val="000C15A8"/>
    <w:rsid w:val="000C32E6"/>
    <w:rsid w:val="000C4207"/>
    <w:rsid w:val="000C598B"/>
    <w:rsid w:val="000C6A90"/>
    <w:rsid w:val="000C7424"/>
    <w:rsid w:val="000C7D90"/>
    <w:rsid w:val="000D13B1"/>
    <w:rsid w:val="000D398C"/>
    <w:rsid w:val="000D5E0A"/>
    <w:rsid w:val="000D6161"/>
    <w:rsid w:val="000E043C"/>
    <w:rsid w:val="000E06D6"/>
    <w:rsid w:val="000E1050"/>
    <w:rsid w:val="000E1235"/>
    <w:rsid w:val="000E1C2F"/>
    <w:rsid w:val="000E3618"/>
    <w:rsid w:val="000E37FC"/>
    <w:rsid w:val="000E489F"/>
    <w:rsid w:val="000E50B3"/>
    <w:rsid w:val="000E521B"/>
    <w:rsid w:val="000E590A"/>
    <w:rsid w:val="000E677E"/>
    <w:rsid w:val="000E7468"/>
    <w:rsid w:val="000F1916"/>
    <w:rsid w:val="000F2E56"/>
    <w:rsid w:val="000F2EE4"/>
    <w:rsid w:val="000F42F4"/>
    <w:rsid w:val="000F4671"/>
    <w:rsid w:val="000F4B27"/>
    <w:rsid w:val="000F5A75"/>
    <w:rsid w:val="000F6057"/>
    <w:rsid w:val="000F7FE4"/>
    <w:rsid w:val="00100F5B"/>
    <w:rsid w:val="0010137B"/>
    <w:rsid w:val="0010402D"/>
    <w:rsid w:val="00107E58"/>
    <w:rsid w:val="0011059F"/>
    <w:rsid w:val="001112D4"/>
    <w:rsid w:val="00111449"/>
    <w:rsid w:val="00111BD5"/>
    <w:rsid w:val="001125B1"/>
    <w:rsid w:val="0011472B"/>
    <w:rsid w:val="00114D13"/>
    <w:rsid w:val="0011733C"/>
    <w:rsid w:val="0011737B"/>
    <w:rsid w:val="0012026E"/>
    <w:rsid w:val="00120E76"/>
    <w:rsid w:val="00121478"/>
    <w:rsid w:val="00123746"/>
    <w:rsid w:val="0012381D"/>
    <w:rsid w:val="00123E39"/>
    <w:rsid w:val="0012418A"/>
    <w:rsid w:val="00124C11"/>
    <w:rsid w:val="00125A24"/>
    <w:rsid w:val="001261B4"/>
    <w:rsid w:val="00126E6E"/>
    <w:rsid w:val="00127B56"/>
    <w:rsid w:val="00127DE6"/>
    <w:rsid w:val="00130B30"/>
    <w:rsid w:val="00131D47"/>
    <w:rsid w:val="00132773"/>
    <w:rsid w:val="0014034B"/>
    <w:rsid w:val="0014194D"/>
    <w:rsid w:val="00142C84"/>
    <w:rsid w:val="0014398E"/>
    <w:rsid w:val="001458C8"/>
    <w:rsid w:val="00146B9B"/>
    <w:rsid w:val="00146BD6"/>
    <w:rsid w:val="0014750E"/>
    <w:rsid w:val="00147694"/>
    <w:rsid w:val="001524A9"/>
    <w:rsid w:val="0015290D"/>
    <w:rsid w:val="001532BD"/>
    <w:rsid w:val="00153358"/>
    <w:rsid w:val="00154814"/>
    <w:rsid w:val="00155567"/>
    <w:rsid w:val="001610BF"/>
    <w:rsid w:val="0016227F"/>
    <w:rsid w:val="00162C12"/>
    <w:rsid w:val="00164244"/>
    <w:rsid w:val="001658FC"/>
    <w:rsid w:val="0016794B"/>
    <w:rsid w:val="0017032A"/>
    <w:rsid w:val="001737DA"/>
    <w:rsid w:val="00173ED3"/>
    <w:rsid w:val="0017531B"/>
    <w:rsid w:val="001755B5"/>
    <w:rsid w:val="00175CF3"/>
    <w:rsid w:val="0017621E"/>
    <w:rsid w:val="001768B7"/>
    <w:rsid w:val="0018174A"/>
    <w:rsid w:val="00182272"/>
    <w:rsid w:val="00183482"/>
    <w:rsid w:val="00183846"/>
    <w:rsid w:val="00185722"/>
    <w:rsid w:val="00191D14"/>
    <w:rsid w:val="0019207D"/>
    <w:rsid w:val="0019241A"/>
    <w:rsid w:val="00194422"/>
    <w:rsid w:val="00194C02"/>
    <w:rsid w:val="001954E8"/>
    <w:rsid w:val="00195B85"/>
    <w:rsid w:val="0019797A"/>
    <w:rsid w:val="001A0B13"/>
    <w:rsid w:val="001A105A"/>
    <w:rsid w:val="001A1AC0"/>
    <w:rsid w:val="001A1B32"/>
    <w:rsid w:val="001A273D"/>
    <w:rsid w:val="001A2E10"/>
    <w:rsid w:val="001A39AF"/>
    <w:rsid w:val="001A6C31"/>
    <w:rsid w:val="001B044A"/>
    <w:rsid w:val="001B0E19"/>
    <w:rsid w:val="001B2788"/>
    <w:rsid w:val="001B3543"/>
    <w:rsid w:val="001B3A1A"/>
    <w:rsid w:val="001B416F"/>
    <w:rsid w:val="001B4BC1"/>
    <w:rsid w:val="001B5E0D"/>
    <w:rsid w:val="001B67BE"/>
    <w:rsid w:val="001B763E"/>
    <w:rsid w:val="001C001D"/>
    <w:rsid w:val="001C1216"/>
    <w:rsid w:val="001C4063"/>
    <w:rsid w:val="001C52E8"/>
    <w:rsid w:val="001C6590"/>
    <w:rsid w:val="001C7344"/>
    <w:rsid w:val="001D0059"/>
    <w:rsid w:val="001D023A"/>
    <w:rsid w:val="001D2E6B"/>
    <w:rsid w:val="001D5800"/>
    <w:rsid w:val="001D6AE7"/>
    <w:rsid w:val="001E05A9"/>
    <w:rsid w:val="001E0C10"/>
    <w:rsid w:val="001E13CE"/>
    <w:rsid w:val="001E1ED0"/>
    <w:rsid w:val="001E2A56"/>
    <w:rsid w:val="001E46C1"/>
    <w:rsid w:val="001E6CC8"/>
    <w:rsid w:val="001E72F6"/>
    <w:rsid w:val="001F06E1"/>
    <w:rsid w:val="001F1D01"/>
    <w:rsid w:val="001F30F0"/>
    <w:rsid w:val="001F34CD"/>
    <w:rsid w:val="001F65D0"/>
    <w:rsid w:val="001F72BE"/>
    <w:rsid w:val="001F77B1"/>
    <w:rsid w:val="001F782E"/>
    <w:rsid w:val="00200539"/>
    <w:rsid w:val="00200ECE"/>
    <w:rsid w:val="00201E2E"/>
    <w:rsid w:val="002047F8"/>
    <w:rsid w:val="00207C18"/>
    <w:rsid w:val="002104F2"/>
    <w:rsid w:val="002104FD"/>
    <w:rsid w:val="00210606"/>
    <w:rsid w:val="0021155E"/>
    <w:rsid w:val="00211A49"/>
    <w:rsid w:val="00211D49"/>
    <w:rsid w:val="00211D75"/>
    <w:rsid w:val="00211D7A"/>
    <w:rsid w:val="0021403B"/>
    <w:rsid w:val="0021406D"/>
    <w:rsid w:val="002157DE"/>
    <w:rsid w:val="002159BD"/>
    <w:rsid w:val="00216358"/>
    <w:rsid w:val="0021768C"/>
    <w:rsid w:val="00220745"/>
    <w:rsid w:val="0022183B"/>
    <w:rsid w:val="002219EF"/>
    <w:rsid w:val="0022227C"/>
    <w:rsid w:val="00224F4E"/>
    <w:rsid w:val="002250AF"/>
    <w:rsid w:val="0022521D"/>
    <w:rsid w:val="00226493"/>
    <w:rsid w:val="0022774D"/>
    <w:rsid w:val="002311A4"/>
    <w:rsid w:val="00231D99"/>
    <w:rsid w:val="0023226C"/>
    <w:rsid w:val="00233AC2"/>
    <w:rsid w:val="0023405D"/>
    <w:rsid w:val="00234352"/>
    <w:rsid w:val="00234CCB"/>
    <w:rsid w:val="0023586D"/>
    <w:rsid w:val="00235C97"/>
    <w:rsid w:val="00240C18"/>
    <w:rsid w:val="002424F8"/>
    <w:rsid w:val="0024269F"/>
    <w:rsid w:val="00243176"/>
    <w:rsid w:val="002438FE"/>
    <w:rsid w:val="0024768A"/>
    <w:rsid w:val="00250C32"/>
    <w:rsid w:val="00251456"/>
    <w:rsid w:val="0025192F"/>
    <w:rsid w:val="00253AE1"/>
    <w:rsid w:val="00253DDB"/>
    <w:rsid w:val="00254758"/>
    <w:rsid w:val="002553A1"/>
    <w:rsid w:val="0025569C"/>
    <w:rsid w:val="002605E6"/>
    <w:rsid w:val="00260655"/>
    <w:rsid w:val="0026083E"/>
    <w:rsid w:val="00261820"/>
    <w:rsid w:val="002626F3"/>
    <w:rsid w:val="0026274D"/>
    <w:rsid w:val="00263639"/>
    <w:rsid w:val="00264275"/>
    <w:rsid w:val="00266F48"/>
    <w:rsid w:val="00267097"/>
    <w:rsid w:val="00267142"/>
    <w:rsid w:val="00267F8D"/>
    <w:rsid w:val="002725F9"/>
    <w:rsid w:val="002729E7"/>
    <w:rsid w:val="002740BB"/>
    <w:rsid w:val="002743FF"/>
    <w:rsid w:val="00276409"/>
    <w:rsid w:val="0027643F"/>
    <w:rsid w:val="00280F47"/>
    <w:rsid w:val="00282365"/>
    <w:rsid w:val="002828D8"/>
    <w:rsid w:val="00283147"/>
    <w:rsid w:val="00284351"/>
    <w:rsid w:val="00284880"/>
    <w:rsid w:val="002875C2"/>
    <w:rsid w:val="00290212"/>
    <w:rsid w:val="00291845"/>
    <w:rsid w:val="002952FE"/>
    <w:rsid w:val="00295A46"/>
    <w:rsid w:val="002A0AFC"/>
    <w:rsid w:val="002A2544"/>
    <w:rsid w:val="002A3B3E"/>
    <w:rsid w:val="002A3BCB"/>
    <w:rsid w:val="002A3D86"/>
    <w:rsid w:val="002A40AE"/>
    <w:rsid w:val="002A4455"/>
    <w:rsid w:val="002A579C"/>
    <w:rsid w:val="002B0057"/>
    <w:rsid w:val="002B1202"/>
    <w:rsid w:val="002B19F9"/>
    <w:rsid w:val="002B2390"/>
    <w:rsid w:val="002B299D"/>
    <w:rsid w:val="002B3029"/>
    <w:rsid w:val="002B4808"/>
    <w:rsid w:val="002B4AE7"/>
    <w:rsid w:val="002B61B1"/>
    <w:rsid w:val="002B79CF"/>
    <w:rsid w:val="002C0AAF"/>
    <w:rsid w:val="002C0C2D"/>
    <w:rsid w:val="002C2523"/>
    <w:rsid w:val="002C3A35"/>
    <w:rsid w:val="002C4F91"/>
    <w:rsid w:val="002D08A4"/>
    <w:rsid w:val="002D1C55"/>
    <w:rsid w:val="002D2A40"/>
    <w:rsid w:val="002D3883"/>
    <w:rsid w:val="002D39F7"/>
    <w:rsid w:val="002D4C85"/>
    <w:rsid w:val="002D4DC0"/>
    <w:rsid w:val="002D56A5"/>
    <w:rsid w:val="002D5DB0"/>
    <w:rsid w:val="002D6DCC"/>
    <w:rsid w:val="002E033C"/>
    <w:rsid w:val="002E1C7D"/>
    <w:rsid w:val="002E4A90"/>
    <w:rsid w:val="002E545F"/>
    <w:rsid w:val="002F0FC8"/>
    <w:rsid w:val="002F1359"/>
    <w:rsid w:val="002F17B6"/>
    <w:rsid w:val="002F2C0F"/>
    <w:rsid w:val="002F46F4"/>
    <w:rsid w:val="002F49A6"/>
    <w:rsid w:val="002F7710"/>
    <w:rsid w:val="002F7D23"/>
    <w:rsid w:val="002F7E16"/>
    <w:rsid w:val="002F7E5D"/>
    <w:rsid w:val="002F7EF3"/>
    <w:rsid w:val="00301420"/>
    <w:rsid w:val="0030165B"/>
    <w:rsid w:val="00301B92"/>
    <w:rsid w:val="00304472"/>
    <w:rsid w:val="00304C79"/>
    <w:rsid w:val="003065C6"/>
    <w:rsid w:val="00306638"/>
    <w:rsid w:val="003072C1"/>
    <w:rsid w:val="00307DC6"/>
    <w:rsid w:val="003105B9"/>
    <w:rsid w:val="00310C41"/>
    <w:rsid w:val="00311C64"/>
    <w:rsid w:val="003122AE"/>
    <w:rsid w:val="00312D1B"/>
    <w:rsid w:val="003130A1"/>
    <w:rsid w:val="00313E95"/>
    <w:rsid w:val="00314A15"/>
    <w:rsid w:val="0031568F"/>
    <w:rsid w:val="00315D63"/>
    <w:rsid w:val="003164E2"/>
    <w:rsid w:val="00317848"/>
    <w:rsid w:val="003179A2"/>
    <w:rsid w:val="0032007C"/>
    <w:rsid w:val="00320CAD"/>
    <w:rsid w:val="00321885"/>
    <w:rsid w:val="00321FD5"/>
    <w:rsid w:val="00322EDE"/>
    <w:rsid w:val="00323F84"/>
    <w:rsid w:val="00324782"/>
    <w:rsid w:val="00327735"/>
    <w:rsid w:val="003324D9"/>
    <w:rsid w:val="00332A78"/>
    <w:rsid w:val="00332C17"/>
    <w:rsid w:val="00332DDE"/>
    <w:rsid w:val="003334B7"/>
    <w:rsid w:val="00333E26"/>
    <w:rsid w:val="0033419E"/>
    <w:rsid w:val="00334C1F"/>
    <w:rsid w:val="003351BB"/>
    <w:rsid w:val="003353FA"/>
    <w:rsid w:val="0033615A"/>
    <w:rsid w:val="003367A0"/>
    <w:rsid w:val="00336EF3"/>
    <w:rsid w:val="0033737E"/>
    <w:rsid w:val="00341735"/>
    <w:rsid w:val="00341B92"/>
    <w:rsid w:val="00341BA1"/>
    <w:rsid w:val="00341DDA"/>
    <w:rsid w:val="0034411A"/>
    <w:rsid w:val="00350BD1"/>
    <w:rsid w:val="0035176B"/>
    <w:rsid w:val="003519F3"/>
    <w:rsid w:val="00351BE1"/>
    <w:rsid w:val="00351EB2"/>
    <w:rsid w:val="00352645"/>
    <w:rsid w:val="00352874"/>
    <w:rsid w:val="003540BD"/>
    <w:rsid w:val="00354FAD"/>
    <w:rsid w:val="00355A47"/>
    <w:rsid w:val="00355F9F"/>
    <w:rsid w:val="00356083"/>
    <w:rsid w:val="00357213"/>
    <w:rsid w:val="0035753E"/>
    <w:rsid w:val="003579C8"/>
    <w:rsid w:val="00357F14"/>
    <w:rsid w:val="003613F7"/>
    <w:rsid w:val="003634E4"/>
    <w:rsid w:val="0036411F"/>
    <w:rsid w:val="00364401"/>
    <w:rsid w:val="003651F1"/>
    <w:rsid w:val="003656E5"/>
    <w:rsid w:val="00365703"/>
    <w:rsid w:val="00366D3A"/>
    <w:rsid w:val="00367CC7"/>
    <w:rsid w:val="00370776"/>
    <w:rsid w:val="0037077C"/>
    <w:rsid w:val="003709A8"/>
    <w:rsid w:val="00371281"/>
    <w:rsid w:val="003717DC"/>
    <w:rsid w:val="0037289F"/>
    <w:rsid w:val="00372CEA"/>
    <w:rsid w:val="003736E3"/>
    <w:rsid w:val="00374E35"/>
    <w:rsid w:val="003770D6"/>
    <w:rsid w:val="00380D71"/>
    <w:rsid w:val="0038190E"/>
    <w:rsid w:val="003827C3"/>
    <w:rsid w:val="00384E73"/>
    <w:rsid w:val="00385857"/>
    <w:rsid w:val="0038669F"/>
    <w:rsid w:val="00386A98"/>
    <w:rsid w:val="00390304"/>
    <w:rsid w:val="00392256"/>
    <w:rsid w:val="0039230B"/>
    <w:rsid w:val="00392C86"/>
    <w:rsid w:val="00394636"/>
    <w:rsid w:val="00395B22"/>
    <w:rsid w:val="00396249"/>
    <w:rsid w:val="003968DD"/>
    <w:rsid w:val="00396930"/>
    <w:rsid w:val="00396CC5"/>
    <w:rsid w:val="00396D67"/>
    <w:rsid w:val="003A1DA5"/>
    <w:rsid w:val="003A5EE2"/>
    <w:rsid w:val="003A63B2"/>
    <w:rsid w:val="003A656C"/>
    <w:rsid w:val="003A74C2"/>
    <w:rsid w:val="003A7667"/>
    <w:rsid w:val="003B0D18"/>
    <w:rsid w:val="003B1109"/>
    <w:rsid w:val="003B11D3"/>
    <w:rsid w:val="003B21E3"/>
    <w:rsid w:val="003B2B8A"/>
    <w:rsid w:val="003B3F09"/>
    <w:rsid w:val="003B610E"/>
    <w:rsid w:val="003B69AD"/>
    <w:rsid w:val="003C0030"/>
    <w:rsid w:val="003C0668"/>
    <w:rsid w:val="003C13A3"/>
    <w:rsid w:val="003C1C9A"/>
    <w:rsid w:val="003C3BBB"/>
    <w:rsid w:val="003C4F8E"/>
    <w:rsid w:val="003C5B48"/>
    <w:rsid w:val="003C5DDC"/>
    <w:rsid w:val="003C6F80"/>
    <w:rsid w:val="003C79BE"/>
    <w:rsid w:val="003C79E1"/>
    <w:rsid w:val="003D072E"/>
    <w:rsid w:val="003D0EDB"/>
    <w:rsid w:val="003D1621"/>
    <w:rsid w:val="003D1FBC"/>
    <w:rsid w:val="003D24D2"/>
    <w:rsid w:val="003D2D4A"/>
    <w:rsid w:val="003D3F0E"/>
    <w:rsid w:val="003D42C9"/>
    <w:rsid w:val="003E0B77"/>
    <w:rsid w:val="003E0B8B"/>
    <w:rsid w:val="003E1054"/>
    <w:rsid w:val="003E1DA2"/>
    <w:rsid w:val="003E21E5"/>
    <w:rsid w:val="003E2A5B"/>
    <w:rsid w:val="003E56FA"/>
    <w:rsid w:val="003E7920"/>
    <w:rsid w:val="003E7DB9"/>
    <w:rsid w:val="003F1BA6"/>
    <w:rsid w:val="003F1EE5"/>
    <w:rsid w:val="003F2543"/>
    <w:rsid w:val="003F2BCB"/>
    <w:rsid w:val="003F4F30"/>
    <w:rsid w:val="003F50D1"/>
    <w:rsid w:val="003F55D5"/>
    <w:rsid w:val="003F6868"/>
    <w:rsid w:val="003F6D4F"/>
    <w:rsid w:val="003F6ECC"/>
    <w:rsid w:val="003F7016"/>
    <w:rsid w:val="003F7AD9"/>
    <w:rsid w:val="003F7D35"/>
    <w:rsid w:val="00400034"/>
    <w:rsid w:val="0040004E"/>
    <w:rsid w:val="00401D47"/>
    <w:rsid w:val="004025B9"/>
    <w:rsid w:val="0040313A"/>
    <w:rsid w:val="004039EA"/>
    <w:rsid w:val="00403B05"/>
    <w:rsid w:val="0040619D"/>
    <w:rsid w:val="0040701A"/>
    <w:rsid w:val="004112D6"/>
    <w:rsid w:val="00411CDA"/>
    <w:rsid w:val="0041269F"/>
    <w:rsid w:val="004128FE"/>
    <w:rsid w:val="004148E2"/>
    <w:rsid w:val="004165FE"/>
    <w:rsid w:val="00416AA6"/>
    <w:rsid w:val="00416B51"/>
    <w:rsid w:val="00417090"/>
    <w:rsid w:val="0041742E"/>
    <w:rsid w:val="004178C4"/>
    <w:rsid w:val="00420C07"/>
    <w:rsid w:val="00421376"/>
    <w:rsid w:val="00422480"/>
    <w:rsid w:val="00422AA1"/>
    <w:rsid w:val="00422DC3"/>
    <w:rsid w:val="00423239"/>
    <w:rsid w:val="004240C2"/>
    <w:rsid w:val="00424650"/>
    <w:rsid w:val="00424DA7"/>
    <w:rsid w:val="00425BF6"/>
    <w:rsid w:val="00427A62"/>
    <w:rsid w:val="0043124C"/>
    <w:rsid w:val="00433E8D"/>
    <w:rsid w:val="00434174"/>
    <w:rsid w:val="00435848"/>
    <w:rsid w:val="00435ED2"/>
    <w:rsid w:val="00436011"/>
    <w:rsid w:val="004377EE"/>
    <w:rsid w:val="0044211A"/>
    <w:rsid w:val="00442993"/>
    <w:rsid w:val="00444C32"/>
    <w:rsid w:val="0044517C"/>
    <w:rsid w:val="004514BB"/>
    <w:rsid w:val="00451A4E"/>
    <w:rsid w:val="00451DBD"/>
    <w:rsid w:val="00452091"/>
    <w:rsid w:val="004541E0"/>
    <w:rsid w:val="0045532C"/>
    <w:rsid w:val="00457C90"/>
    <w:rsid w:val="00461988"/>
    <w:rsid w:val="00461A02"/>
    <w:rsid w:val="004626C4"/>
    <w:rsid w:val="00464225"/>
    <w:rsid w:val="004649B5"/>
    <w:rsid w:val="00465DA3"/>
    <w:rsid w:val="004662BA"/>
    <w:rsid w:val="004677B3"/>
    <w:rsid w:val="00472883"/>
    <w:rsid w:val="00472994"/>
    <w:rsid w:val="0047308A"/>
    <w:rsid w:val="004761B3"/>
    <w:rsid w:val="00476DE3"/>
    <w:rsid w:val="004811E0"/>
    <w:rsid w:val="004814BC"/>
    <w:rsid w:val="004823CB"/>
    <w:rsid w:val="00482DA3"/>
    <w:rsid w:val="00484B69"/>
    <w:rsid w:val="004850F8"/>
    <w:rsid w:val="004868F5"/>
    <w:rsid w:val="00486D0E"/>
    <w:rsid w:val="0049056B"/>
    <w:rsid w:val="004907DE"/>
    <w:rsid w:val="00490D5C"/>
    <w:rsid w:val="004918A4"/>
    <w:rsid w:val="00494EE0"/>
    <w:rsid w:val="00496E5A"/>
    <w:rsid w:val="004A3157"/>
    <w:rsid w:val="004A3785"/>
    <w:rsid w:val="004A5DC7"/>
    <w:rsid w:val="004A7E20"/>
    <w:rsid w:val="004A7E66"/>
    <w:rsid w:val="004B01E0"/>
    <w:rsid w:val="004B11EC"/>
    <w:rsid w:val="004B2DBB"/>
    <w:rsid w:val="004B3D63"/>
    <w:rsid w:val="004B6EB8"/>
    <w:rsid w:val="004B77F7"/>
    <w:rsid w:val="004C201D"/>
    <w:rsid w:val="004C2138"/>
    <w:rsid w:val="004C288A"/>
    <w:rsid w:val="004C3F57"/>
    <w:rsid w:val="004C43A0"/>
    <w:rsid w:val="004C46BF"/>
    <w:rsid w:val="004D0626"/>
    <w:rsid w:val="004D24D3"/>
    <w:rsid w:val="004D394F"/>
    <w:rsid w:val="004D6321"/>
    <w:rsid w:val="004D663E"/>
    <w:rsid w:val="004D76DE"/>
    <w:rsid w:val="004E1151"/>
    <w:rsid w:val="004E18CF"/>
    <w:rsid w:val="004E4B19"/>
    <w:rsid w:val="004E4E0D"/>
    <w:rsid w:val="004E51DB"/>
    <w:rsid w:val="004E51E7"/>
    <w:rsid w:val="004E7E53"/>
    <w:rsid w:val="004F0D79"/>
    <w:rsid w:val="004F1AC6"/>
    <w:rsid w:val="004F4848"/>
    <w:rsid w:val="004F5BE3"/>
    <w:rsid w:val="004F7EB7"/>
    <w:rsid w:val="0050043E"/>
    <w:rsid w:val="00502725"/>
    <w:rsid w:val="00503BE5"/>
    <w:rsid w:val="00505876"/>
    <w:rsid w:val="005105C7"/>
    <w:rsid w:val="00510638"/>
    <w:rsid w:val="00513348"/>
    <w:rsid w:val="0051480E"/>
    <w:rsid w:val="00514B59"/>
    <w:rsid w:val="00514D2B"/>
    <w:rsid w:val="005164A0"/>
    <w:rsid w:val="00516B58"/>
    <w:rsid w:val="00516D6E"/>
    <w:rsid w:val="005172C0"/>
    <w:rsid w:val="005202DE"/>
    <w:rsid w:val="0052228B"/>
    <w:rsid w:val="00522E37"/>
    <w:rsid w:val="005233D5"/>
    <w:rsid w:val="00523631"/>
    <w:rsid w:val="00525FA6"/>
    <w:rsid w:val="005274D3"/>
    <w:rsid w:val="00530C3D"/>
    <w:rsid w:val="00530FE2"/>
    <w:rsid w:val="00531EE2"/>
    <w:rsid w:val="00531F18"/>
    <w:rsid w:val="00532473"/>
    <w:rsid w:val="0053333D"/>
    <w:rsid w:val="0053365C"/>
    <w:rsid w:val="0053405D"/>
    <w:rsid w:val="005351CB"/>
    <w:rsid w:val="005358C7"/>
    <w:rsid w:val="00537005"/>
    <w:rsid w:val="00537333"/>
    <w:rsid w:val="00537739"/>
    <w:rsid w:val="00540201"/>
    <w:rsid w:val="005402E1"/>
    <w:rsid w:val="00540BDF"/>
    <w:rsid w:val="00540FBD"/>
    <w:rsid w:val="0054178D"/>
    <w:rsid w:val="005417FC"/>
    <w:rsid w:val="00543117"/>
    <w:rsid w:val="005443CE"/>
    <w:rsid w:val="005444E9"/>
    <w:rsid w:val="00544C0F"/>
    <w:rsid w:val="00545091"/>
    <w:rsid w:val="00547381"/>
    <w:rsid w:val="005476B5"/>
    <w:rsid w:val="005525AF"/>
    <w:rsid w:val="00554CE5"/>
    <w:rsid w:val="00554E74"/>
    <w:rsid w:val="00554EB0"/>
    <w:rsid w:val="0055660E"/>
    <w:rsid w:val="00562942"/>
    <w:rsid w:val="00562D68"/>
    <w:rsid w:val="0056438E"/>
    <w:rsid w:val="00565238"/>
    <w:rsid w:val="00565727"/>
    <w:rsid w:val="005666B9"/>
    <w:rsid w:val="00571956"/>
    <w:rsid w:val="005743E7"/>
    <w:rsid w:val="005748E8"/>
    <w:rsid w:val="00574DBE"/>
    <w:rsid w:val="00577539"/>
    <w:rsid w:val="0058037C"/>
    <w:rsid w:val="00583A54"/>
    <w:rsid w:val="00584D64"/>
    <w:rsid w:val="00584EE7"/>
    <w:rsid w:val="00585F7F"/>
    <w:rsid w:val="00586642"/>
    <w:rsid w:val="00587660"/>
    <w:rsid w:val="00587DC2"/>
    <w:rsid w:val="00590E57"/>
    <w:rsid w:val="00591D54"/>
    <w:rsid w:val="005935F5"/>
    <w:rsid w:val="00594CFF"/>
    <w:rsid w:val="00595213"/>
    <w:rsid w:val="00596B83"/>
    <w:rsid w:val="005977A9"/>
    <w:rsid w:val="005A2F74"/>
    <w:rsid w:val="005A3720"/>
    <w:rsid w:val="005A4026"/>
    <w:rsid w:val="005A476B"/>
    <w:rsid w:val="005A51E7"/>
    <w:rsid w:val="005A5AF1"/>
    <w:rsid w:val="005A6109"/>
    <w:rsid w:val="005A610B"/>
    <w:rsid w:val="005B0390"/>
    <w:rsid w:val="005B0451"/>
    <w:rsid w:val="005B131C"/>
    <w:rsid w:val="005B2DD6"/>
    <w:rsid w:val="005B348F"/>
    <w:rsid w:val="005B5A08"/>
    <w:rsid w:val="005B6310"/>
    <w:rsid w:val="005B6365"/>
    <w:rsid w:val="005B7D40"/>
    <w:rsid w:val="005C00F0"/>
    <w:rsid w:val="005C0BE2"/>
    <w:rsid w:val="005C0C64"/>
    <w:rsid w:val="005C1C95"/>
    <w:rsid w:val="005C1ED6"/>
    <w:rsid w:val="005C56EC"/>
    <w:rsid w:val="005C57A1"/>
    <w:rsid w:val="005C668B"/>
    <w:rsid w:val="005C71F0"/>
    <w:rsid w:val="005D00E1"/>
    <w:rsid w:val="005D0441"/>
    <w:rsid w:val="005D085A"/>
    <w:rsid w:val="005D2808"/>
    <w:rsid w:val="005D3311"/>
    <w:rsid w:val="005D33C8"/>
    <w:rsid w:val="005D33E0"/>
    <w:rsid w:val="005D483E"/>
    <w:rsid w:val="005D57A3"/>
    <w:rsid w:val="005D6922"/>
    <w:rsid w:val="005E0093"/>
    <w:rsid w:val="005E2784"/>
    <w:rsid w:val="005E368D"/>
    <w:rsid w:val="005E3D2F"/>
    <w:rsid w:val="005E6F8D"/>
    <w:rsid w:val="005E7298"/>
    <w:rsid w:val="005E7745"/>
    <w:rsid w:val="005F056D"/>
    <w:rsid w:val="005F2860"/>
    <w:rsid w:val="005F4862"/>
    <w:rsid w:val="005F4B6D"/>
    <w:rsid w:val="005F5B6E"/>
    <w:rsid w:val="005F5D8D"/>
    <w:rsid w:val="005F5DA8"/>
    <w:rsid w:val="005F6217"/>
    <w:rsid w:val="005F6C55"/>
    <w:rsid w:val="005F7077"/>
    <w:rsid w:val="006003DA"/>
    <w:rsid w:val="006005CA"/>
    <w:rsid w:val="006016C8"/>
    <w:rsid w:val="0060349B"/>
    <w:rsid w:val="00604518"/>
    <w:rsid w:val="006048C1"/>
    <w:rsid w:val="006050E4"/>
    <w:rsid w:val="0060535B"/>
    <w:rsid w:val="00606979"/>
    <w:rsid w:val="006072F5"/>
    <w:rsid w:val="006074AC"/>
    <w:rsid w:val="00610268"/>
    <w:rsid w:val="006106AB"/>
    <w:rsid w:val="00610BC3"/>
    <w:rsid w:val="00611FB4"/>
    <w:rsid w:val="006120B0"/>
    <w:rsid w:val="006143D4"/>
    <w:rsid w:val="00614C4B"/>
    <w:rsid w:val="00615279"/>
    <w:rsid w:val="00616D18"/>
    <w:rsid w:val="006173B6"/>
    <w:rsid w:val="00617A8C"/>
    <w:rsid w:val="00617D2B"/>
    <w:rsid w:val="00620BC5"/>
    <w:rsid w:val="00620C71"/>
    <w:rsid w:val="006210FC"/>
    <w:rsid w:val="00621145"/>
    <w:rsid w:val="006213D9"/>
    <w:rsid w:val="00621783"/>
    <w:rsid w:val="00621951"/>
    <w:rsid w:val="00621AE0"/>
    <w:rsid w:val="00622F58"/>
    <w:rsid w:val="00624574"/>
    <w:rsid w:val="00624FE8"/>
    <w:rsid w:val="00625603"/>
    <w:rsid w:val="0062648F"/>
    <w:rsid w:val="00630C32"/>
    <w:rsid w:val="00632338"/>
    <w:rsid w:val="00632746"/>
    <w:rsid w:val="00633000"/>
    <w:rsid w:val="00633459"/>
    <w:rsid w:val="0063346A"/>
    <w:rsid w:val="006347B6"/>
    <w:rsid w:val="00634D6E"/>
    <w:rsid w:val="00635C2A"/>
    <w:rsid w:val="0063699F"/>
    <w:rsid w:val="00636BDE"/>
    <w:rsid w:val="0063794E"/>
    <w:rsid w:val="00637EDD"/>
    <w:rsid w:val="00641D04"/>
    <w:rsid w:val="00642CC4"/>
    <w:rsid w:val="00642E37"/>
    <w:rsid w:val="00643866"/>
    <w:rsid w:val="0064448D"/>
    <w:rsid w:val="006447F9"/>
    <w:rsid w:val="00644B0A"/>
    <w:rsid w:val="00646576"/>
    <w:rsid w:val="0064735B"/>
    <w:rsid w:val="00647694"/>
    <w:rsid w:val="00650833"/>
    <w:rsid w:val="006555E4"/>
    <w:rsid w:val="0065579A"/>
    <w:rsid w:val="00655B6A"/>
    <w:rsid w:val="006564D2"/>
    <w:rsid w:val="006567F0"/>
    <w:rsid w:val="00657723"/>
    <w:rsid w:val="00657BFF"/>
    <w:rsid w:val="00661B92"/>
    <w:rsid w:val="006625DA"/>
    <w:rsid w:val="00662CCD"/>
    <w:rsid w:val="0066492A"/>
    <w:rsid w:val="00664B1E"/>
    <w:rsid w:val="00664F5A"/>
    <w:rsid w:val="00664FD9"/>
    <w:rsid w:val="006650F2"/>
    <w:rsid w:val="006660B3"/>
    <w:rsid w:val="00667127"/>
    <w:rsid w:val="00667469"/>
    <w:rsid w:val="00672356"/>
    <w:rsid w:val="00672393"/>
    <w:rsid w:val="0067258D"/>
    <w:rsid w:val="0067372D"/>
    <w:rsid w:val="00673DB9"/>
    <w:rsid w:val="00680C0E"/>
    <w:rsid w:val="006845EA"/>
    <w:rsid w:val="00686EAE"/>
    <w:rsid w:val="006923EB"/>
    <w:rsid w:val="00694902"/>
    <w:rsid w:val="0069519F"/>
    <w:rsid w:val="00695BD8"/>
    <w:rsid w:val="00697C88"/>
    <w:rsid w:val="006A0750"/>
    <w:rsid w:val="006A0B96"/>
    <w:rsid w:val="006A16E3"/>
    <w:rsid w:val="006A2A69"/>
    <w:rsid w:val="006A31F4"/>
    <w:rsid w:val="006A410F"/>
    <w:rsid w:val="006A4405"/>
    <w:rsid w:val="006A4A4C"/>
    <w:rsid w:val="006A7426"/>
    <w:rsid w:val="006B0A0F"/>
    <w:rsid w:val="006B17F5"/>
    <w:rsid w:val="006B3B32"/>
    <w:rsid w:val="006B4282"/>
    <w:rsid w:val="006B46B1"/>
    <w:rsid w:val="006B4944"/>
    <w:rsid w:val="006B4AB0"/>
    <w:rsid w:val="006B7019"/>
    <w:rsid w:val="006B7471"/>
    <w:rsid w:val="006B764A"/>
    <w:rsid w:val="006C2A6A"/>
    <w:rsid w:val="006C2FFC"/>
    <w:rsid w:val="006C5110"/>
    <w:rsid w:val="006C5B8A"/>
    <w:rsid w:val="006C5E3B"/>
    <w:rsid w:val="006C62F6"/>
    <w:rsid w:val="006C68C1"/>
    <w:rsid w:val="006D0037"/>
    <w:rsid w:val="006D1679"/>
    <w:rsid w:val="006D3E1C"/>
    <w:rsid w:val="006D420C"/>
    <w:rsid w:val="006D55BE"/>
    <w:rsid w:val="006D5944"/>
    <w:rsid w:val="006D66E1"/>
    <w:rsid w:val="006E2370"/>
    <w:rsid w:val="006E2F2B"/>
    <w:rsid w:val="006E41F1"/>
    <w:rsid w:val="006E4F77"/>
    <w:rsid w:val="006E6B07"/>
    <w:rsid w:val="006E7514"/>
    <w:rsid w:val="006E7D31"/>
    <w:rsid w:val="006F0977"/>
    <w:rsid w:val="006F19B9"/>
    <w:rsid w:val="006F2B54"/>
    <w:rsid w:val="006F2CD9"/>
    <w:rsid w:val="006F3170"/>
    <w:rsid w:val="006F3763"/>
    <w:rsid w:val="006F4B65"/>
    <w:rsid w:val="006F4C8F"/>
    <w:rsid w:val="006F4CF1"/>
    <w:rsid w:val="006F53D3"/>
    <w:rsid w:val="006F67A4"/>
    <w:rsid w:val="006F68CE"/>
    <w:rsid w:val="006F736E"/>
    <w:rsid w:val="006F7D24"/>
    <w:rsid w:val="00703489"/>
    <w:rsid w:val="00704608"/>
    <w:rsid w:val="00706834"/>
    <w:rsid w:val="00706D74"/>
    <w:rsid w:val="0070734C"/>
    <w:rsid w:val="00707480"/>
    <w:rsid w:val="007114EA"/>
    <w:rsid w:val="00711A39"/>
    <w:rsid w:val="00712BEC"/>
    <w:rsid w:val="00713903"/>
    <w:rsid w:val="007147F5"/>
    <w:rsid w:val="007148FB"/>
    <w:rsid w:val="00721233"/>
    <w:rsid w:val="00722E95"/>
    <w:rsid w:val="0072428D"/>
    <w:rsid w:val="00725344"/>
    <w:rsid w:val="00725720"/>
    <w:rsid w:val="00725A82"/>
    <w:rsid w:val="00730163"/>
    <w:rsid w:val="0073176F"/>
    <w:rsid w:val="00732CC2"/>
    <w:rsid w:val="007330F0"/>
    <w:rsid w:val="0073363F"/>
    <w:rsid w:val="00733BB1"/>
    <w:rsid w:val="007348B2"/>
    <w:rsid w:val="00736BC0"/>
    <w:rsid w:val="00736DA0"/>
    <w:rsid w:val="00737A31"/>
    <w:rsid w:val="00740B87"/>
    <w:rsid w:val="007412B4"/>
    <w:rsid w:val="00741C59"/>
    <w:rsid w:val="00743861"/>
    <w:rsid w:val="00743BF6"/>
    <w:rsid w:val="007446E9"/>
    <w:rsid w:val="007462BF"/>
    <w:rsid w:val="0074691D"/>
    <w:rsid w:val="00747F09"/>
    <w:rsid w:val="007501AE"/>
    <w:rsid w:val="00751E72"/>
    <w:rsid w:val="0075213F"/>
    <w:rsid w:val="007536AC"/>
    <w:rsid w:val="00755BF6"/>
    <w:rsid w:val="00757785"/>
    <w:rsid w:val="00760AC4"/>
    <w:rsid w:val="00762B6A"/>
    <w:rsid w:val="007651C8"/>
    <w:rsid w:val="00765D9C"/>
    <w:rsid w:val="00773F7C"/>
    <w:rsid w:val="0077496C"/>
    <w:rsid w:val="007751D1"/>
    <w:rsid w:val="00775B46"/>
    <w:rsid w:val="00777573"/>
    <w:rsid w:val="007775CE"/>
    <w:rsid w:val="0078151B"/>
    <w:rsid w:val="007820CA"/>
    <w:rsid w:val="007821A5"/>
    <w:rsid w:val="00782C72"/>
    <w:rsid w:val="00782D78"/>
    <w:rsid w:val="00783B23"/>
    <w:rsid w:val="007844AC"/>
    <w:rsid w:val="00785654"/>
    <w:rsid w:val="0078712B"/>
    <w:rsid w:val="0078792C"/>
    <w:rsid w:val="007903BB"/>
    <w:rsid w:val="00795D3F"/>
    <w:rsid w:val="00796004"/>
    <w:rsid w:val="00796C36"/>
    <w:rsid w:val="007A0ADA"/>
    <w:rsid w:val="007A0B73"/>
    <w:rsid w:val="007A1849"/>
    <w:rsid w:val="007A27C9"/>
    <w:rsid w:val="007A2CAF"/>
    <w:rsid w:val="007A3C6E"/>
    <w:rsid w:val="007A4DB8"/>
    <w:rsid w:val="007A6823"/>
    <w:rsid w:val="007A6D2D"/>
    <w:rsid w:val="007A7A4D"/>
    <w:rsid w:val="007B00CE"/>
    <w:rsid w:val="007B13B5"/>
    <w:rsid w:val="007B354D"/>
    <w:rsid w:val="007B3EAB"/>
    <w:rsid w:val="007B6524"/>
    <w:rsid w:val="007B655F"/>
    <w:rsid w:val="007B6DA9"/>
    <w:rsid w:val="007C0C63"/>
    <w:rsid w:val="007C10D2"/>
    <w:rsid w:val="007C164D"/>
    <w:rsid w:val="007C1BE2"/>
    <w:rsid w:val="007C2C7A"/>
    <w:rsid w:val="007C39E5"/>
    <w:rsid w:val="007C3E94"/>
    <w:rsid w:val="007C3FD3"/>
    <w:rsid w:val="007C4064"/>
    <w:rsid w:val="007C5E6C"/>
    <w:rsid w:val="007C6A66"/>
    <w:rsid w:val="007D1A74"/>
    <w:rsid w:val="007D1DA5"/>
    <w:rsid w:val="007D245A"/>
    <w:rsid w:val="007D3372"/>
    <w:rsid w:val="007D365A"/>
    <w:rsid w:val="007D489C"/>
    <w:rsid w:val="007D5313"/>
    <w:rsid w:val="007D6133"/>
    <w:rsid w:val="007D6214"/>
    <w:rsid w:val="007D6523"/>
    <w:rsid w:val="007D6F1A"/>
    <w:rsid w:val="007D7654"/>
    <w:rsid w:val="007D7A69"/>
    <w:rsid w:val="007D7EAE"/>
    <w:rsid w:val="007E12B3"/>
    <w:rsid w:val="007E1818"/>
    <w:rsid w:val="007E1930"/>
    <w:rsid w:val="007E1B7C"/>
    <w:rsid w:val="007E1FAC"/>
    <w:rsid w:val="007E2104"/>
    <w:rsid w:val="007E2639"/>
    <w:rsid w:val="007E2968"/>
    <w:rsid w:val="007E3466"/>
    <w:rsid w:val="007E635C"/>
    <w:rsid w:val="007E6776"/>
    <w:rsid w:val="007E6BC1"/>
    <w:rsid w:val="007E787E"/>
    <w:rsid w:val="007E7B15"/>
    <w:rsid w:val="007F0721"/>
    <w:rsid w:val="007F0DE7"/>
    <w:rsid w:val="007F13D6"/>
    <w:rsid w:val="007F1866"/>
    <w:rsid w:val="007F1AF6"/>
    <w:rsid w:val="007F2357"/>
    <w:rsid w:val="007F3928"/>
    <w:rsid w:val="007F3CD3"/>
    <w:rsid w:val="007F3EBC"/>
    <w:rsid w:val="007F504F"/>
    <w:rsid w:val="007F5AA1"/>
    <w:rsid w:val="007F62AC"/>
    <w:rsid w:val="007F6838"/>
    <w:rsid w:val="007F7904"/>
    <w:rsid w:val="007F7AC6"/>
    <w:rsid w:val="007F7ACE"/>
    <w:rsid w:val="008011E7"/>
    <w:rsid w:val="00801AEA"/>
    <w:rsid w:val="00801DC5"/>
    <w:rsid w:val="00802F69"/>
    <w:rsid w:val="00803408"/>
    <w:rsid w:val="008052F6"/>
    <w:rsid w:val="00805310"/>
    <w:rsid w:val="008067B7"/>
    <w:rsid w:val="0081036B"/>
    <w:rsid w:val="00810D30"/>
    <w:rsid w:val="008118ED"/>
    <w:rsid w:val="00813584"/>
    <w:rsid w:val="00814DA4"/>
    <w:rsid w:val="00815F95"/>
    <w:rsid w:val="00816A77"/>
    <w:rsid w:val="00817509"/>
    <w:rsid w:val="008177C4"/>
    <w:rsid w:val="00824E8D"/>
    <w:rsid w:val="00825EAD"/>
    <w:rsid w:val="00826ABE"/>
    <w:rsid w:val="00827D8D"/>
    <w:rsid w:val="0083286C"/>
    <w:rsid w:val="00832B06"/>
    <w:rsid w:val="00835DA4"/>
    <w:rsid w:val="008409DD"/>
    <w:rsid w:val="00840F2F"/>
    <w:rsid w:val="00841952"/>
    <w:rsid w:val="008426C1"/>
    <w:rsid w:val="00842F39"/>
    <w:rsid w:val="008434F7"/>
    <w:rsid w:val="008437FA"/>
    <w:rsid w:val="008447BB"/>
    <w:rsid w:val="008462CC"/>
    <w:rsid w:val="0084671C"/>
    <w:rsid w:val="008515BF"/>
    <w:rsid w:val="00851CE2"/>
    <w:rsid w:val="008525C3"/>
    <w:rsid w:val="00852D8C"/>
    <w:rsid w:val="00853855"/>
    <w:rsid w:val="00854AA8"/>
    <w:rsid w:val="00854EEC"/>
    <w:rsid w:val="00855926"/>
    <w:rsid w:val="00857984"/>
    <w:rsid w:val="00857C78"/>
    <w:rsid w:val="00860610"/>
    <w:rsid w:val="00860947"/>
    <w:rsid w:val="008615A9"/>
    <w:rsid w:val="00863509"/>
    <w:rsid w:val="00863854"/>
    <w:rsid w:val="00863B46"/>
    <w:rsid w:val="008645CE"/>
    <w:rsid w:val="0086520A"/>
    <w:rsid w:val="0086551C"/>
    <w:rsid w:val="0086671D"/>
    <w:rsid w:val="008671C3"/>
    <w:rsid w:val="00867E07"/>
    <w:rsid w:val="00867E2F"/>
    <w:rsid w:val="00870BB6"/>
    <w:rsid w:val="008714C9"/>
    <w:rsid w:val="00871505"/>
    <w:rsid w:val="00872323"/>
    <w:rsid w:val="008724FF"/>
    <w:rsid w:val="00872752"/>
    <w:rsid w:val="00872FE4"/>
    <w:rsid w:val="0087331A"/>
    <w:rsid w:val="00873AA0"/>
    <w:rsid w:val="008740C8"/>
    <w:rsid w:val="0087430B"/>
    <w:rsid w:val="00874F76"/>
    <w:rsid w:val="00875E64"/>
    <w:rsid w:val="0088170A"/>
    <w:rsid w:val="0088469E"/>
    <w:rsid w:val="0088758A"/>
    <w:rsid w:val="00893483"/>
    <w:rsid w:val="00895BC0"/>
    <w:rsid w:val="00896375"/>
    <w:rsid w:val="00897705"/>
    <w:rsid w:val="00897884"/>
    <w:rsid w:val="008A0393"/>
    <w:rsid w:val="008A0517"/>
    <w:rsid w:val="008A201B"/>
    <w:rsid w:val="008A2551"/>
    <w:rsid w:val="008A2A17"/>
    <w:rsid w:val="008A3B0C"/>
    <w:rsid w:val="008A43FE"/>
    <w:rsid w:val="008B016D"/>
    <w:rsid w:val="008B3C19"/>
    <w:rsid w:val="008B4A93"/>
    <w:rsid w:val="008B6005"/>
    <w:rsid w:val="008B73D4"/>
    <w:rsid w:val="008B7497"/>
    <w:rsid w:val="008B785C"/>
    <w:rsid w:val="008C0ABA"/>
    <w:rsid w:val="008C1151"/>
    <w:rsid w:val="008C330A"/>
    <w:rsid w:val="008C59B3"/>
    <w:rsid w:val="008C660F"/>
    <w:rsid w:val="008C6C59"/>
    <w:rsid w:val="008C6D3F"/>
    <w:rsid w:val="008C7B93"/>
    <w:rsid w:val="008D0B97"/>
    <w:rsid w:val="008D11AB"/>
    <w:rsid w:val="008D1C6F"/>
    <w:rsid w:val="008D2DCA"/>
    <w:rsid w:val="008D2ECA"/>
    <w:rsid w:val="008D51FD"/>
    <w:rsid w:val="008D5613"/>
    <w:rsid w:val="008D6E2A"/>
    <w:rsid w:val="008E0576"/>
    <w:rsid w:val="008E0BE7"/>
    <w:rsid w:val="008E11E4"/>
    <w:rsid w:val="008E1C6A"/>
    <w:rsid w:val="008E354E"/>
    <w:rsid w:val="008E409F"/>
    <w:rsid w:val="008E4196"/>
    <w:rsid w:val="008E4FE0"/>
    <w:rsid w:val="008E5D25"/>
    <w:rsid w:val="008E72AD"/>
    <w:rsid w:val="008F062E"/>
    <w:rsid w:val="008F1587"/>
    <w:rsid w:val="008F170D"/>
    <w:rsid w:val="008F1FC1"/>
    <w:rsid w:val="008F2253"/>
    <w:rsid w:val="008F361F"/>
    <w:rsid w:val="008F3637"/>
    <w:rsid w:val="008F4727"/>
    <w:rsid w:val="008F50CB"/>
    <w:rsid w:val="008F6C78"/>
    <w:rsid w:val="008F6D6C"/>
    <w:rsid w:val="008F734A"/>
    <w:rsid w:val="008F7871"/>
    <w:rsid w:val="0090080E"/>
    <w:rsid w:val="00902104"/>
    <w:rsid w:val="0090259F"/>
    <w:rsid w:val="00903E3C"/>
    <w:rsid w:val="00904330"/>
    <w:rsid w:val="009051CB"/>
    <w:rsid w:val="00905A99"/>
    <w:rsid w:val="0090632F"/>
    <w:rsid w:val="009063E2"/>
    <w:rsid w:val="00906DA4"/>
    <w:rsid w:val="009078AF"/>
    <w:rsid w:val="00910105"/>
    <w:rsid w:val="00911078"/>
    <w:rsid w:val="009126B8"/>
    <w:rsid w:val="0091300A"/>
    <w:rsid w:val="009139B9"/>
    <w:rsid w:val="009146E0"/>
    <w:rsid w:val="00914FED"/>
    <w:rsid w:val="00915D58"/>
    <w:rsid w:val="00915EE9"/>
    <w:rsid w:val="00916138"/>
    <w:rsid w:val="00916835"/>
    <w:rsid w:val="009228F7"/>
    <w:rsid w:val="00924362"/>
    <w:rsid w:val="009248BB"/>
    <w:rsid w:val="00924E20"/>
    <w:rsid w:val="00924F0C"/>
    <w:rsid w:val="00925E48"/>
    <w:rsid w:val="0092679D"/>
    <w:rsid w:val="00927A88"/>
    <w:rsid w:val="00930A1B"/>
    <w:rsid w:val="00931636"/>
    <w:rsid w:val="0093293C"/>
    <w:rsid w:val="009332BD"/>
    <w:rsid w:val="00934634"/>
    <w:rsid w:val="00935897"/>
    <w:rsid w:val="00935D72"/>
    <w:rsid w:val="00940947"/>
    <w:rsid w:val="00941221"/>
    <w:rsid w:val="00941531"/>
    <w:rsid w:val="0094185D"/>
    <w:rsid w:val="00943215"/>
    <w:rsid w:val="009437BF"/>
    <w:rsid w:val="009438B7"/>
    <w:rsid w:val="009441FD"/>
    <w:rsid w:val="00944B62"/>
    <w:rsid w:val="00944F68"/>
    <w:rsid w:val="00945154"/>
    <w:rsid w:val="00945588"/>
    <w:rsid w:val="0094691F"/>
    <w:rsid w:val="0094709A"/>
    <w:rsid w:val="00947412"/>
    <w:rsid w:val="009503C6"/>
    <w:rsid w:val="009514E4"/>
    <w:rsid w:val="00951F62"/>
    <w:rsid w:val="009538CD"/>
    <w:rsid w:val="00954205"/>
    <w:rsid w:val="009546D2"/>
    <w:rsid w:val="0095569F"/>
    <w:rsid w:val="0095591E"/>
    <w:rsid w:val="00957070"/>
    <w:rsid w:val="00961CD7"/>
    <w:rsid w:val="00963EE6"/>
    <w:rsid w:val="00964CB8"/>
    <w:rsid w:val="009659BD"/>
    <w:rsid w:val="0096601A"/>
    <w:rsid w:val="00966568"/>
    <w:rsid w:val="00966660"/>
    <w:rsid w:val="00967A65"/>
    <w:rsid w:val="00967F18"/>
    <w:rsid w:val="00970478"/>
    <w:rsid w:val="00970AF9"/>
    <w:rsid w:val="00970E46"/>
    <w:rsid w:val="00971A13"/>
    <w:rsid w:val="00971C04"/>
    <w:rsid w:val="00971D0D"/>
    <w:rsid w:val="009749CA"/>
    <w:rsid w:val="00981E5A"/>
    <w:rsid w:val="009829FB"/>
    <w:rsid w:val="009833BC"/>
    <w:rsid w:val="00984C76"/>
    <w:rsid w:val="00987EAA"/>
    <w:rsid w:val="0099022C"/>
    <w:rsid w:val="0099109D"/>
    <w:rsid w:val="0099144D"/>
    <w:rsid w:val="00991E93"/>
    <w:rsid w:val="0099200A"/>
    <w:rsid w:val="00992966"/>
    <w:rsid w:val="009930B4"/>
    <w:rsid w:val="0099376D"/>
    <w:rsid w:val="00993D01"/>
    <w:rsid w:val="00994623"/>
    <w:rsid w:val="009A0570"/>
    <w:rsid w:val="009A0911"/>
    <w:rsid w:val="009A0D29"/>
    <w:rsid w:val="009A1557"/>
    <w:rsid w:val="009A17B5"/>
    <w:rsid w:val="009A2AAC"/>
    <w:rsid w:val="009A2DCE"/>
    <w:rsid w:val="009A42FE"/>
    <w:rsid w:val="009B1783"/>
    <w:rsid w:val="009B239D"/>
    <w:rsid w:val="009B2C05"/>
    <w:rsid w:val="009B41A7"/>
    <w:rsid w:val="009B5434"/>
    <w:rsid w:val="009C1680"/>
    <w:rsid w:val="009C2BAD"/>
    <w:rsid w:val="009C4BCF"/>
    <w:rsid w:val="009C4DC8"/>
    <w:rsid w:val="009C6205"/>
    <w:rsid w:val="009D0B4C"/>
    <w:rsid w:val="009D11E7"/>
    <w:rsid w:val="009D2531"/>
    <w:rsid w:val="009D2BF7"/>
    <w:rsid w:val="009D3053"/>
    <w:rsid w:val="009D41F9"/>
    <w:rsid w:val="009D4A0F"/>
    <w:rsid w:val="009D5487"/>
    <w:rsid w:val="009D54B6"/>
    <w:rsid w:val="009D551C"/>
    <w:rsid w:val="009D5CD1"/>
    <w:rsid w:val="009D75B0"/>
    <w:rsid w:val="009E1729"/>
    <w:rsid w:val="009E1739"/>
    <w:rsid w:val="009E28C7"/>
    <w:rsid w:val="009E29F4"/>
    <w:rsid w:val="009E3DAF"/>
    <w:rsid w:val="009E602A"/>
    <w:rsid w:val="009E691F"/>
    <w:rsid w:val="009E6AD7"/>
    <w:rsid w:val="009E7390"/>
    <w:rsid w:val="009E7820"/>
    <w:rsid w:val="009F02CE"/>
    <w:rsid w:val="009F0A0F"/>
    <w:rsid w:val="009F0EEB"/>
    <w:rsid w:val="009F104D"/>
    <w:rsid w:val="009F255D"/>
    <w:rsid w:val="009F2636"/>
    <w:rsid w:val="009F3208"/>
    <w:rsid w:val="009F4889"/>
    <w:rsid w:val="009F4D4F"/>
    <w:rsid w:val="009F5152"/>
    <w:rsid w:val="009F5748"/>
    <w:rsid w:val="009F5DB5"/>
    <w:rsid w:val="009F5F4E"/>
    <w:rsid w:val="009F683E"/>
    <w:rsid w:val="009F7847"/>
    <w:rsid w:val="009F7E12"/>
    <w:rsid w:val="00A006EB"/>
    <w:rsid w:val="00A04447"/>
    <w:rsid w:val="00A05E86"/>
    <w:rsid w:val="00A07407"/>
    <w:rsid w:val="00A11148"/>
    <w:rsid w:val="00A11649"/>
    <w:rsid w:val="00A11BF6"/>
    <w:rsid w:val="00A15968"/>
    <w:rsid w:val="00A159EF"/>
    <w:rsid w:val="00A170D4"/>
    <w:rsid w:val="00A17E64"/>
    <w:rsid w:val="00A21771"/>
    <w:rsid w:val="00A21C38"/>
    <w:rsid w:val="00A2270D"/>
    <w:rsid w:val="00A266DD"/>
    <w:rsid w:val="00A30057"/>
    <w:rsid w:val="00A303D7"/>
    <w:rsid w:val="00A33F8C"/>
    <w:rsid w:val="00A35434"/>
    <w:rsid w:val="00A35F3F"/>
    <w:rsid w:val="00A36157"/>
    <w:rsid w:val="00A369F5"/>
    <w:rsid w:val="00A40BF3"/>
    <w:rsid w:val="00A43B11"/>
    <w:rsid w:val="00A43EA2"/>
    <w:rsid w:val="00A44AC1"/>
    <w:rsid w:val="00A46622"/>
    <w:rsid w:val="00A46A68"/>
    <w:rsid w:val="00A47E8D"/>
    <w:rsid w:val="00A5256A"/>
    <w:rsid w:val="00A52D52"/>
    <w:rsid w:val="00A54180"/>
    <w:rsid w:val="00A54281"/>
    <w:rsid w:val="00A54C7D"/>
    <w:rsid w:val="00A56C4A"/>
    <w:rsid w:val="00A57B55"/>
    <w:rsid w:val="00A57B87"/>
    <w:rsid w:val="00A57C7B"/>
    <w:rsid w:val="00A62995"/>
    <w:rsid w:val="00A63C67"/>
    <w:rsid w:val="00A648C3"/>
    <w:rsid w:val="00A67CEB"/>
    <w:rsid w:val="00A7141D"/>
    <w:rsid w:val="00A71D50"/>
    <w:rsid w:val="00A72718"/>
    <w:rsid w:val="00A72CB4"/>
    <w:rsid w:val="00A73697"/>
    <w:rsid w:val="00A743CF"/>
    <w:rsid w:val="00A77D4A"/>
    <w:rsid w:val="00A811B6"/>
    <w:rsid w:val="00A81434"/>
    <w:rsid w:val="00A815FF"/>
    <w:rsid w:val="00A838C9"/>
    <w:rsid w:val="00A84443"/>
    <w:rsid w:val="00A860A3"/>
    <w:rsid w:val="00A86A8E"/>
    <w:rsid w:val="00A87137"/>
    <w:rsid w:val="00A872B1"/>
    <w:rsid w:val="00A87A2A"/>
    <w:rsid w:val="00A90385"/>
    <w:rsid w:val="00A9046C"/>
    <w:rsid w:val="00A963F2"/>
    <w:rsid w:val="00A969FD"/>
    <w:rsid w:val="00A96C89"/>
    <w:rsid w:val="00A97D9A"/>
    <w:rsid w:val="00AA0040"/>
    <w:rsid w:val="00AA0B20"/>
    <w:rsid w:val="00AA1B0F"/>
    <w:rsid w:val="00AA21D1"/>
    <w:rsid w:val="00AA2F6A"/>
    <w:rsid w:val="00AA4D7E"/>
    <w:rsid w:val="00AA65B0"/>
    <w:rsid w:val="00AA77F0"/>
    <w:rsid w:val="00AA7B37"/>
    <w:rsid w:val="00AA7FDE"/>
    <w:rsid w:val="00AB1883"/>
    <w:rsid w:val="00AB1C98"/>
    <w:rsid w:val="00AB2129"/>
    <w:rsid w:val="00AB30C1"/>
    <w:rsid w:val="00AB4887"/>
    <w:rsid w:val="00AB728D"/>
    <w:rsid w:val="00AB78FE"/>
    <w:rsid w:val="00AB7BC1"/>
    <w:rsid w:val="00AC25ED"/>
    <w:rsid w:val="00AC7104"/>
    <w:rsid w:val="00AC71AE"/>
    <w:rsid w:val="00AC7D6E"/>
    <w:rsid w:val="00AC7FE7"/>
    <w:rsid w:val="00AD068E"/>
    <w:rsid w:val="00AD0C08"/>
    <w:rsid w:val="00AD1390"/>
    <w:rsid w:val="00AD2154"/>
    <w:rsid w:val="00AD279F"/>
    <w:rsid w:val="00AD2DED"/>
    <w:rsid w:val="00AD4111"/>
    <w:rsid w:val="00AD4A71"/>
    <w:rsid w:val="00AE37FD"/>
    <w:rsid w:val="00AE49DE"/>
    <w:rsid w:val="00AE5123"/>
    <w:rsid w:val="00AE5183"/>
    <w:rsid w:val="00AE5937"/>
    <w:rsid w:val="00AE5C0F"/>
    <w:rsid w:val="00AE63EC"/>
    <w:rsid w:val="00AE7274"/>
    <w:rsid w:val="00AE7E8A"/>
    <w:rsid w:val="00AF237A"/>
    <w:rsid w:val="00AF4296"/>
    <w:rsid w:val="00AF5CB7"/>
    <w:rsid w:val="00AF69A3"/>
    <w:rsid w:val="00AF6F62"/>
    <w:rsid w:val="00AF714D"/>
    <w:rsid w:val="00AF737A"/>
    <w:rsid w:val="00AF7534"/>
    <w:rsid w:val="00B012F0"/>
    <w:rsid w:val="00B0157B"/>
    <w:rsid w:val="00B01B1D"/>
    <w:rsid w:val="00B03DA3"/>
    <w:rsid w:val="00B04635"/>
    <w:rsid w:val="00B04AE1"/>
    <w:rsid w:val="00B04D78"/>
    <w:rsid w:val="00B05C07"/>
    <w:rsid w:val="00B05EA5"/>
    <w:rsid w:val="00B06131"/>
    <w:rsid w:val="00B06178"/>
    <w:rsid w:val="00B07119"/>
    <w:rsid w:val="00B07E73"/>
    <w:rsid w:val="00B12A6A"/>
    <w:rsid w:val="00B130C3"/>
    <w:rsid w:val="00B1332F"/>
    <w:rsid w:val="00B15BFC"/>
    <w:rsid w:val="00B15D1B"/>
    <w:rsid w:val="00B17E87"/>
    <w:rsid w:val="00B20D39"/>
    <w:rsid w:val="00B21930"/>
    <w:rsid w:val="00B22A47"/>
    <w:rsid w:val="00B23E23"/>
    <w:rsid w:val="00B252F1"/>
    <w:rsid w:val="00B25716"/>
    <w:rsid w:val="00B259DE"/>
    <w:rsid w:val="00B2782B"/>
    <w:rsid w:val="00B27900"/>
    <w:rsid w:val="00B300AE"/>
    <w:rsid w:val="00B3203C"/>
    <w:rsid w:val="00B348C7"/>
    <w:rsid w:val="00B36206"/>
    <w:rsid w:val="00B36BDE"/>
    <w:rsid w:val="00B36FB0"/>
    <w:rsid w:val="00B41C7A"/>
    <w:rsid w:val="00B4500D"/>
    <w:rsid w:val="00B472A4"/>
    <w:rsid w:val="00B50544"/>
    <w:rsid w:val="00B50D97"/>
    <w:rsid w:val="00B50E8F"/>
    <w:rsid w:val="00B5201C"/>
    <w:rsid w:val="00B52344"/>
    <w:rsid w:val="00B545A3"/>
    <w:rsid w:val="00B54948"/>
    <w:rsid w:val="00B564D9"/>
    <w:rsid w:val="00B56636"/>
    <w:rsid w:val="00B56A5B"/>
    <w:rsid w:val="00B56A79"/>
    <w:rsid w:val="00B56DDF"/>
    <w:rsid w:val="00B5712B"/>
    <w:rsid w:val="00B60071"/>
    <w:rsid w:val="00B60C80"/>
    <w:rsid w:val="00B60EBE"/>
    <w:rsid w:val="00B635B7"/>
    <w:rsid w:val="00B6471A"/>
    <w:rsid w:val="00B65C21"/>
    <w:rsid w:val="00B67234"/>
    <w:rsid w:val="00B711CD"/>
    <w:rsid w:val="00B71AC9"/>
    <w:rsid w:val="00B72271"/>
    <w:rsid w:val="00B72804"/>
    <w:rsid w:val="00B74505"/>
    <w:rsid w:val="00B74B00"/>
    <w:rsid w:val="00B76987"/>
    <w:rsid w:val="00B76DBA"/>
    <w:rsid w:val="00B80F9B"/>
    <w:rsid w:val="00B811E6"/>
    <w:rsid w:val="00B83E28"/>
    <w:rsid w:val="00B84250"/>
    <w:rsid w:val="00B845EC"/>
    <w:rsid w:val="00B84C88"/>
    <w:rsid w:val="00B85B3F"/>
    <w:rsid w:val="00B86AAB"/>
    <w:rsid w:val="00B870B8"/>
    <w:rsid w:val="00B87887"/>
    <w:rsid w:val="00B911A0"/>
    <w:rsid w:val="00B912F6"/>
    <w:rsid w:val="00B91747"/>
    <w:rsid w:val="00B92108"/>
    <w:rsid w:val="00B927D8"/>
    <w:rsid w:val="00B92E76"/>
    <w:rsid w:val="00B936AF"/>
    <w:rsid w:val="00B93755"/>
    <w:rsid w:val="00B94633"/>
    <w:rsid w:val="00B94F64"/>
    <w:rsid w:val="00B9642C"/>
    <w:rsid w:val="00B96842"/>
    <w:rsid w:val="00B9756F"/>
    <w:rsid w:val="00BA004A"/>
    <w:rsid w:val="00BA1208"/>
    <w:rsid w:val="00BA1527"/>
    <w:rsid w:val="00BA2BCB"/>
    <w:rsid w:val="00BA3D56"/>
    <w:rsid w:val="00BA403A"/>
    <w:rsid w:val="00BA4B50"/>
    <w:rsid w:val="00BA68AA"/>
    <w:rsid w:val="00BA6CD6"/>
    <w:rsid w:val="00BA72B0"/>
    <w:rsid w:val="00BB050A"/>
    <w:rsid w:val="00BB052C"/>
    <w:rsid w:val="00BB1380"/>
    <w:rsid w:val="00BB1550"/>
    <w:rsid w:val="00BB29DB"/>
    <w:rsid w:val="00BB4858"/>
    <w:rsid w:val="00BB589E"/>
    <w:rsid w:val="00BB7592"/>
    <w:rsid w:val="00BB76C4"/>
    <w:rsid w:val="00BC015C"/>
    <w:rsid w:val="00BC1B2E"/>
    <w:rsid w:val="00BC1D02"/>
    <w:rsid w:val="00BC1D67"/>
    <w:rsid w:val="00BC2D6A"/>
    <w:rsid w:val="00BC4400"/>
    <w:rsid w:val="00BC5D66"/>
    <w:rsid w:val="00BC662B"/>
    <w:rsid w:val="00BC6EB2"/>
    <w:rsid w:val="00BC7106"/>
    <w:rsid w:val="00BC7FFB"/>
    <w:rsid w:val="00BD0068"/>
    <w:rsid w:val="00BD0B1A"/>
    <w:rsid w:val="00BD127A"/>
    <w:rsid w:val="00BD1809"/>
    <w:rsid w:val="00BD280F"/>
    <w:rsid w:val="00BD2E40"/>
    <w:rsid w:val="00BD52AB"/>
    <w:rsid w:val="00BD5560"/>
    <w:rsid w:val="00BD56D0"/>
    <w:rsid w:val="00BD5743"/>
    <w:rsid w:val="00BD58E2"/>
    <w:rsid w:val="00BD59D8"/>
    <w:rsid w:val="00BD63F1"/>
    <w:rsid w:val="00BD67D6"/>
    <w:rsid w:val="00BD6EA8"/>
    <w:rsid w:val="00BD6EF8"/>
    <w:rsid w:val="00BE4597"/>
    <w:rsid w:val="00BE5A03"/>
    <w:rsid w:val="00BE7163"/>
    <w:rsid w:val="00BF0201"/>
    <w:rsid w:val="00BF1512"/>
    <w:rsid w:val="00BF1F5C"/>
    <w:rsid w:val="00BF61B5"/>
    <w:rsid w:val="00BF68A1"/>
    <w:rsid w:val="00BF6E6B"/>
    <w:rsid w:val="00BF7724"/>
    <w:rsid w:val="00C002E7"/>
    <w:rsid w:val="00C025E7"/>
    <w:rsid w:val="00C02BA0"/>
    <w:rsid w:val="00C05708"/>
    <w:rsid w:val="00C05820"/>
    <w:rsid w:val="00C0673A"/>
    <w:rsid w:val="00C10613"/>
    <w:rsid w:val="00C118EA"/>
    <w:rsid w:val="00C14304"/>
    <w:rsid w:val="00C16170"/>
    <w:rsid w:val="00C16E94"/>
    <w:rsid w:val="00C16F7A"/>
    <w:rsid w:val="00C17F94"/>
    <w:rsid w:val="00C20EA6"/>
    <w:rsid w:val="00C212F6"/>
    <w:rsid w:val="00C22D71"/>
    <w:rsid w:val="00C24083"/>
    <w:rsid w:val="00C2418D"/>
    <w:rsid w:val="00C241CF"/>
    <w:rsid w:val="00C2495C"/>
    <w:rsid w:val="00C25E00"/>
    <w:rsid w:val="00C26EDB"/>
    <w:rsid w:val="00C300ED"/>
    <w:rsid w:val="00C349EA"/>
    <w:rsid w:val="00C362F4"/>
    <w:rsid w:val="00C364B8"/>
    <w:rsid w:val="00C37580"/>
    <w:rsid w:val="00C376FE"/>
    <w:rsid w:val="00C37BD0"/>
    <w:rsid w:val="00C37C4B"/>
    <w:rsid w:val="00C37CD7"/>
    <w:rsid w:val="00C37D42"/>
    <w:rsid w:val="00C409D5"/>
    <w:rsid w:val="00C42C80"/>
    <w:rsid w:val="00C4361E"/>
    <w:rsid w:val="00C43AF1"/>
    <w:rsid w:val="00C43D2E"/>
    <w:rsid w:val="00C4499B"/>
    <w:rsid w:val="00C45B15"/>
    <w:rsid w:val="00C46E23"/>
    <w:rsid w:val="00C515D2"/>
    <w:rsid w:val="00C5307E"/>
    <w:rsid w:val="00C534E3"/>
    <w:rsid w:val="00C54C98"/>
    <w:rsid w:val="00C55FAA"/>
    <w:rsid w:val="00C56EEF"/>
    <w:rsid w:val="00C576B7"/>
    <w:rsid w:val="00C5779B"/>
    <w:rsid w:val="00C57F41"/>
    <w:rsid w:val="00C60318"/>
    <w:rsid w:val="00C616EF"/>
    <w:rsid w:val="00C62708"/>
    <w:rsid w:val="00C62EE5"/>
    <w:rsid w:val="00C640F7"/>
    <w:rsid w:val="00C64BF0"/>
    <w:rsid w:val="00C66FFA"/>
    <w:rsid w:val="00C72192"/>
    <w:rsid w:val="00C72BEB"/>
    <w:rsid w:val="00C76360"/>
    <w:rsid w:val="00C77672"/>
    <w:rsid w:val="00C808C0"/>
    <w:rsid w:val="00C80905"/>
    <w:rsid w:val="00C827F9"/>
    <w:rsid w:val="00C82C5B"/>
    <w:rsid w:val="00C8541A"/>
    <w:rsid w:val="00C864B5"/>
    <w:rsid w:val="00C874D3"/>
    <w:rsid w:val="00C87DFE"/>
    <w:rsid w:val="00C905B2"/>
    <w:rsid w:val="00C90D7F"/>
    <w:rsid w:val="00C92772"/>
    <w:rsid w:val="00C95280"/>
    <w:rsid w:val="00C97F6E"/>
    <w:rsid w:val="00CA0F36"/>
    <w:rsid w:val="00CA2213"/>
    <w:rsid w:val="00CA5EBD"/>
    <w:rsid w:val="00CA6213"/>
    <w:rsid w:val="00CA6ABF"/>
    <w:rsid w:val="00CA70C8"/>
    <w:rsid w:val="00CA7A58"/>
    <w:rsid w:val="00CB0165"/>
    <w:rsid w:val="00CB06AB"/>
    <w:rsid w:val="00CB43CB"/>
    <w:rsid w:val="00CB7FB1"/>
    <w:rsid w:val="00CC053E"/>
    <w:rsid w:val="00CC0F93"/>
    <w:rsid w:val="00CC1A7E"/>
    <w:rsid w:val="00CC36A6"/>
    <w:rsid w:val="00CC4023"/>
    <w:rsid w:val="00CC4782"/>
    <w:rsid w:val="00CC7A12"/>
    <w:rsid w:val="00CD10A5"/>
    <w:rsid w:val="00CD1A9F"/>
    <w:rsid w:val="00CD4393"/>
    <w:rsid w:val="00CD5432"/>
    <w:rsid w:val="00CD578A"/>
    <w:rsid w:val="00CD62DC"/>
    <w:rsid w:val="00CD6397"/>
    <w:rsid w:val="00CD661E"/>
    <w:rsid w:val="00CD77E4"/>
    <w:rsid w:val="00CE01B2"/>
    <w:rsid w:val="00CE1956"/>
    <w:rsid w:val="00CE1D6B"/>
    <w:rsid w:val="00CE321D"/>
    <w:rsid w:val="00CE38CF"/>
    <w:rsid w:val="00CE46D7"/>
    <w:rsid w:val="00CE6B18"/>
    <w:rsid w:val="00CE7305"/>
    <w:rsid w:val="00CE7ED9"/>
    <w:rsid w:val="00CE7EF2"/>
    <w:rsid w:val="00CF1379"/>
    <w:rsid w:val="00CF3B22"/>
    <w:rsid w:val="00CF481D"/>
    <w:rsid w:val="00CF5042"/>
    <w:rsid w:val="00D013C6"/>
    <w:rsid w:val="00D01BF4"/>
    <w:rsid w:val="00D02505"/>
    <w:rsid w:val="00D0281F"/>
    <w:rsid w:val="00D038D9"/>
    <w:rsid w:val="00D06161"/>
    <w:rsid w:val="00D073FF"/>
    <w:rsid w:val="00D0744F"/>
    <w:rsid w:val="00D07C5F"/>
    <w:rsid w:val="00D111A9"/>
    <w:rsid w:val="00D12008"/>
    <w:rsid w:val="00D12DFA"/>
    <w:rsid w:val="00D13989"/>
    <w:rsid w:val="00D14228"/>
    <w:rsid w:val="00D14C41"/>
    <w:rsid w:val="00D15650"/>
    <w:rsid w:val="00D204F8"/>
    <w:rsid w:val="00D20790"/>
    <w:rsid w:val="00D20E55"/>
    <w:rsid w:val="00D21209"/>
    <w:rsid w:val="00D2301D"/>
    <w:rsid w:val="00D23792"/>
    <w:rsid w:val="00D247FF"/>
    <w:rsid w:val="00D24D8D"/>
    <w:rsid w:val="00D25A60"/>
    <w:rsid w:val="00D27D43"/>
    <w:rsid w:val="00D27DC9"/>
    <w:rsid w:val="00D3056E"/>
    <w:rsid w:val="00D30774"/>
    <w:rsid w:val="00D31390"/>
    <w:rsid w:val="00D31E53"/>
    <w:rsid w:val="00D32881"/>
    <w:rsid w:val="00D3298F"/>
    <w:rsid w:val="00D330BF"/>
    <w:rsid w:val="00D3494D"/>
    <w:rsid w:val="00D34E6D"/>
    <w:rsid w:val="00D430C1"/>
    <w:rsid w:val="00D434F9"/>
    <w:rsid w:val="00D43DD9"/>
    <w:rsid w:val="00D44281"/>
    <w:rsid w:val="00D4457B"/>
    <w:rsid w:val="00D448FD"/>
    <w:rsid w:val="00D45F91"/>
    <w:rsid w:val="00D46D1F"/>
    <w:rsid w:val="00D47368"/>
    <w:rsid w:val="00D504D5"/>
    <w:rsid w:val="00D5323F"/>
    <w:rsid w:val="00D540D8"/>
    <w:rsid w:val="00D54A8D"/>
    <w:rsid w:val="00D55FFA"/>
    <w:rsid w:val="00D561CD"/>
    <w:rsid w:val="00D5729F"/>
    <w:rsid w:val="00D57B0A"/>
    <w:rsid w:val="00D61D30"/>
    <w:rsid w:val="00D62A31"/>
    <w:rsid w:val="00D64967"/>
    <w:rsid w:val="00D657B2"/>
    <w:rsid w:val="00D65938"/>
    <w:rsid w:val="00D672B5"/>
    <w:rsid w:val="00D70218"/>
    <w:rsid w:val="00D7024F"/>
    <w:rsid w:val="00D70471"/>
    <w:rsid w:val="00D70F7C"/>
    <w:rsid w:val="00D72ABE"/>
    <w:rsid w:val="00D72C08"/>
    <w:rsid w:val="00D72D77"/>
    <w:rsid w:val="00D735FA"/>
    <w:rsid w:val="00D73DAC"/>
    <w:rsid w:val="00D741AE"/>
    <w:rsid w:val="00D74B76"/>
    <w:rsid w:val="00D764CA"/>
    <w:rsid w:val="00D768BF"/>
    <w:rsid w:val="00D774CF"/>
    <w:rsid w:val="00D80BEC"/>
    <w:rsid w:val="00D85543"/>
    <w:rsid w:val="00D86136"/>
    <w:rsid w:val="00D87CB2"/>
    <w:rsid w:val="00D9089D"/>
    <w:rsid w:val="00D908E5"/>
    <w:rsid w:val="00D9162B"/>
    <w:rsid w:val="00D92508"/>
    <w:rsid w:val="00D927ED"/>
    <w:rsid w:val="00D93211"/>
    <w:rsid w:val="00D944EC"/>
    <w:rsid w:val="00D94CD8"/>
    <w:rsid w:val="00D967D6"/>
    <w:rsid w:val="00D97CF2"/>
    <w:rsid w:val="00DA08BD"/>
    <w:rsid w:val="00DA0C81"/>
    <w:rsid w:val="00DA2AC6"/>
    <w:rsid w:val="00DA314D"/>
    <w:rsid w:val="00DA3F1D"/>
    <w:rsid w:val="00DA4844"/>
    <w:rsid w:val="00DA4B12"/>
    <w:rsid w:val="00DA6E0D"/>
    <w:rsid w:val="00DA7712"/>
    <w:rsid w:val="00DA7AE6"/>
    <w:rsid w:val="00DB0356"/>
    <w:rsid w:val="00DB1941"/>
    <w:rsid w:val="00DB215E"/>
    <w:rsid w:val="00DB2D0B"/>
    <w:rsid w:val="00DB538B"/>
    <w:rsid w:val="00DB5A80"/>
    <w:rsid w:val="00DB7517"/>
    <w:rsid w:val="00DB79C2"/>
    <w:rsid w:val="00DB7CF3"/>
    <w:rsid w:val="00DC0721"/>
    <w:rsid w:val="00DC1813"/>
    <w:rsid w:val="00DC2905"/>
    <w:rsid w:val="00DC322C"/>
    <w:rsid w:val="00DC3716"/>
    <w:rsid w:val="00DC468F"/>
    <w:rsid w:val="00DC4F9B"/>
    <w:rsid w:val="00DC52DC"/>
    <w:rsid w:val="00DC5A1B"/>
    <w:rsid w:val="00DC6295"/>
    <w:rsid w:val="00DC640B"/>
    <w:rsid w:val="00DC7245"/>
    <w:rsid w:val="00DC7893"/>
    <w:rsid w:val="00DC7959"/>
    <w:rsid w:val="00DC7ADB"/>
    <w:rsid w:val="00DD05FD"/>
    <w:rsid w:val="00DD0693"/>
    <w:rsid w:val="00DD0F0C"/>
    <w:rsid w:val="00DD1B2D"/>
    <w:rsid w:val="00DD230F"/>
    <w:rsid w:val="00DD58C4"/>
    <w:rsid w:val="00DD6432"/>
    <w:rsid w:val="00DE0681"/>
    <w:rsid w:val="00DE1B3F"/>
    <w:rsid w:val="00DE1FF4"/>
    <w:rsid w:val="00DE25CA"/>
    <w:rsid w:val="00DE3F21"/>
    <w:rsid w:val="00DE44F7"/>
    <w:rsid w:val="00DE54B0"/>
    <w:rsid w:val="00DE71AE"/>
    <w:rsid w:val="00DE7F68"/>
    <w:rsid w:val="00DF0685"/>
    <w:rsid w:val="00DF2CCD"/>
    <w:rsid w:val="00DF5026"/>
    <w:rsid w:val="00E01017"/>
    <w:rsid w:val="00E012BF"/>
    <w:rsid w:val="00E01E6F"/>
    <w:rsid w:val="00E02508"/>
    <w:rsid w:val="00E04004"/>
    <w:rsid w:val="00E04DE1"/>
    <w:rsid w:val="00E05EDA"/>
    <w:rsid w:val="00E064B7"/>
    <w:rsid w:val="00E07536"/>
    <w:rsid w:val="00E07BBB"/>
    <w:rsid w:val="00E1102F"/>
    <w:rsid w:val="00E111F7"/>
    <w:rsid w:val="00E1179B"/>
    <w:rsid w:val="00E1226C"/>
    <w:rsid w:val="00E135CB"/>
    <w:rsid w:val="00E14832"/>
    <w:rsid w:val="00E14C8A"/>
    <w:rsid w:val="00E14F52"/>
    <w:rsid w:val="00E15268"/>
    <w:rsid w:val="00E155B8"/>
    <w:rsid w:val="00E15ED6"/>
    <w:rsid w:val="00E16A4B"/>
    <w:rsid w:val="00E175E5"/>
    <w:rsid w:val="00E17F2E"/>
    <w:rsid w:val="00E2065F"/>
    <w:rsid w:val="00E208D2"/>
    <w:rsid w:val="00E21BBA"/>
    <w:rsid w:val="00E21D83"/>
    <w:rsid w:val="00E22675"/>
    <w:rsid w:val="00E23370"/>
    <w:rsid w:val="00E242E0"/>
    <w:rsid w:val="00E25181"/>
    <w:rsid w:val="00E27794"/>
    <w:rsid w:val="00E30FF3"/>
    <w:rsid w:val="00E3220F"/>
    <w:rsid w:val="00E329C7"/>
    <w:rsid w:val="00E3606A"/>
    <w:rsid w:val="00E415F4"/>
    <w:rsid w:val="00E42911"/>
    <w:rsid w:val="00E42DDB"/>
    <w:rsid w:val="00E44148"/>
    <w:rsid w:val="00E47FE4"/>
    <w:rsid w:val="00E50106"/>
    <w:rsid w:val="00E5034D"/>
    <w:rsid w:val="00E531AE"/>
    <w:rsid w:val="00E5428E"/>
    <w:rsid w:val="00E57557"/>
    <w:rsid w:val="00E57A48"/>
    <w:rsid w:val="00E601C7"/>
    <w:rsid w:val="00E60521"/>
    <w:rsid w:val="00E60F3F"/>
    <w:rsid w:val="00E622B2"/>
    <w:rsid w:val="00E629A6"/>
    <w:rsid w:val="00E64AB1"/>
    <w:rsid w:val="00E665D8"/>
    <w:rsid w:val="00E66977"/>
    <w:rsid w:val="00E7025B"/>
    <w:rsid w:val="00E708C8"/>
    <w:rsid w:val="00E7192A"/>
    <w:rsid w:val="00E72726"/>
    <w:rsid w:val="00E73A3B"/>
    <w:rsid w:val="00E75C34"/>
    <w:rsid w:val="00E75F23"/>
    <w:rsid w:val="00E770CE"/>
    <w:rsid w:val="00E7724E"/>
    <w:rsid w:val="00E77371"/>
    <w:rsid w:val="00E80477"/>
    <w:rsid w:val="00E80EA7"/>
    <w:rsid w:val="00E812CA"/>
    <w:rsid w:val="00E81847"/>
    <w:rsid w:val="00E819B3"/>
    <w:rsid w:val="00E82209"/>
    <w:rsid w:val="00E82801"/>
    <w:rsid w:val="00E82A73"/>
    <w:rsid w:val="00E83A0C"/>
    <w:rsid w:val="00E862AA"/>
    <w:rsid w:val="00E864EF"/>
    <w:rsid w:val="00E86541"/>
    <w:rsid w:val="00E86DDB"/>
    <w:rsid w:val="00E87317"/>
    <w:rsid w:val="00E87C75"/>
    <w:rsid w:val="00E9016F"/>
    <w:rsid w:val="00E916B6"/>
    <w:rsid w:val="00E92457"/>
    <w:rsid w:val="00E93764"/>
    <w:rsid w:val="00E94A8F"/>
    <w:rsid w:val="00E9518F"/>
    <w:rsid w:val="00E9589C"/>
    <w:rsid w:val="00E95E69"/>
    <w:rsid w:val="00E9603E"/>
    <w:rsid w:val="00E9623B"/>
    <w:rsid w:val="00E971CA"/>
    <w:rsid w:val="00E97487"/>
    <w:rsid w:val="00E97C31"/>
    <w:rsid w:val="00EA067E"/>
    <w:rsid w:val="00EA0AAA"/>
    <w:rsid w:val="00EA209F"/>
    <w:rsid w:val="00EA20C4"/>
    <w:rsid w:val="00EA34D5"/>
    <w:rsid w:val="00EA43A9"/>
    <w:rsid w:val="00EA6D90"/>
    <w:rsid w:val="00EA7206"/>
    <w:rsid w:val="00EA7C89"/>
    <w:rsid w:val="00EB072A"/>
    <w:rsid w:val="00EB1D57"/>
    <w:rsid w:val="00EB2309"/>
    <w:rsid w:val="00EB26ED"/>
    <w:rsid w:val="00EB36A7"/>
    <w:rsid w:val="00EB61E8"/>
    <w:rsid w:val="00EB7762"/>
    <w:rsid w:val="00EC114C"/>
    <w:rsid w:val="00EC1A91"/>
    <w:rsid w:val="00EC2304"/>
    <w:rsid w:val="00EC266A"/>
    <w:rsid w:val="00EC3078"/>
    <w:rsid w:val="00EC3DCF"/>
    <w:rsid w:val="00EC5F2E"/>
    <w:rsid w:val="00EC61A6"/>
    <w:rsid w:val="00EC6B21"/>
    <w:rsid w:val="00EC6ECD"/>
    <w:rsid w:val="00EC70A3"/>
    <w:rsid w:val="00EC7D91"/>
    <w:rsid w:val="00EC7DBD"/>
    <w:rsid w:val="00ED11CC"/>
    <w:rsid w:val="00ED1DD3"/>
    <w:rsid w:val="00ED46FB"/>
    <w:rsid w:val="00ED5F1B"/>
    <w:rsid w:val="00ED6011"/>
    <w:rsid w:val="00EE1C94"/>
    <w:rsid w:val="00EE2286"/>
    <w:rsid w:val="00EE277D"/>
    <w:rsid w:val="00EE29BC"/>
    <w:rsid w:val="00EE334C"/>
    <w:rsid w:val="00EE3ECA"/>
    <w:rsid w:val="00EE4055"/>
    <w:rsid w:val="00EE4336"/>
    <w:rsid w:val="00EE5142"/>
    <w:rsid w:val="00EE6307"/>
    <w:rsid w:val="00EE6521"/>
    <w:rsid w:val="00EE6A39"/>
    <w:rsid w:val="00EF0A23"/>
    <w:rsid w:val="00EF13BD"/>
    <w:rsid w:val="00EF1A2F"/>
    <w:rsid w:val="00EF1A67"/>
    <w:rsid w:val="00EF20C8"/>
    <w:rsid w:val="00EF25FA"/>
    <w:rsid w:val="00EF2757"/>
    <w:rsid w:val="00EF477A"/>
    <w:rsid w:val="00EF5861"/>
    <w:rsid w:val="00F0182C"/>
    <w:rsid w:val="00F02D98"/>
    <w:rsid w:val="00F04B74"/>
    <w:rsid w:val="00F04C20"/>
    <w:rsid w:val="00F05CF1"/>
    <w:rsid w:val="00F060E0"/>
    <w:rsid w:val="00F076BA"/>
    <w:rsid w:val="00F07AB4"/>
    <w:rsid w:val="00F10087"/>
    <w:rsid w:val="00F1099F"/>
    <w:rsid w:val="00F109FC"/>
    <w:rsid w:val="00F118C3"/>
    <w:rsid w:val="00F123A0"/>
    <w:rsid w:val="00F134CD"/>
    <w:rsid w:val="00F1371F"/>
    <w:rsid w:val="00F13B5E"/>
    <w:rsid w:val="00F14AAD"/>
    <w:rsid w:val="00F15D31"/>
    <w:rsid w:val="00F16861"/>
    <w:rsid w:val="00F16CFE"/>
    <w:rsid w:val="00F17B68"/>
    <w:rsid w:val="00F202CF"/>
    <w:rsid w:val="00F221C9"/>
    <w:rsid w:val="00F22556"/>
    <w:rsid w:val="00F23467"/>
    <w:rsid w:val="00F23E74"/>
    <w:rsid w:val="00F23FA4"/>
    <w:rsid w:val="00F24182"/>
    <w:rsid w:val="00F241AB"/>
    <w:rsid w:val="00F25117"/>
    <w:rsid w:val="00F25558"/>
    <w:rsid w:val="00F2649E"/>
    <w:rsid w:val="00F2735C"/>
    <w:rsid w:val="00F27977"/>
    <w:rsid w:val="00F31102"/>
    <w:rsid w:val="00F3238D"/>
    <w:rsid w:val="00F32DF2"/>
    <w:rsid w:val="00F33D98"/>
    <w:rsid w:val="00F37CB4"/>
    <w:rsid w:val="00F408B4"/>
    <w:rsid w:val="00F428D3"/>
    <w:rsid w:val="00F444D8"/>
    <w:rsid w:val="00F445A1"/>
    <w:rsid w:val="00F462AF"/>
    <w:rsid w:val="00F51EC5"/>
    <w:rsid w:val="00F51FD1"/>
    <w:rsid w:val="00F52375"/>
    <w:rsid w:val="00F531FF"/>
    <w:rsid w:val="00F53F5F"/>
    <w:rsid w:val="00F54ABB"/>
    <w:rsid w:val="00F54BCF"/>
    <w:rsid w:val="00F54FC4"/>
    <w:rsid w:val="00F55B11"/>
    <w:rsid w:val="00F55BAB"/>
    <w:rsid w:val="00F55CAC"/>
    <w:rsid w:val="00F56878"/>
    <w:rsid w:val="00F56FAE"/>
    <w:rsid w:val="00F57ADC"/>
    <w:rsid w:val="00F60972"/>
    <w:rsid w:val="00F60983"/>
    <w:rsid w:val="00F6362D"/>
    <w:rsid w:val="00F637D6"/>
    <w:rsid w:val="00F652C2"/>
    <w:rsid w:val="00F6713E"/>
    <w:rsid w:val="00F6760D"/>
    <w:rsid w:val="00F67B68"/>
    <w:rsid w:val="00F7155B"/>
    <w:rsid w:val="00F72AC1"/>
    <w:rsid w:val="00F73E81"/>
    <w:rsid w:val="00F74C0C"/>
    <w:rsid w:val="00F75EEA"/>
    <w:rsid w:val="00F7623C"/>
    <w:rsid w:val="00F76418"/>
    <w:rsid w:val="00F76FCB"/>
    <w:rsid w:val="00F817C8"/>
    <w:rsid w:val="00F81F83"/>
    <w:rsid w:val="00F824B0"/>
    <w:rsid w:val="00F82CF0"/>
    <w:rsid w:val="00F82EF7"/>
    <w:rsid w:val="00F83CAC"/>
    <w:rsid w:val="00F847CC"/>
    <w:rsid w:val="00F85660"/>
    <w:rsid w:val="00F863F3"/>
    <w:rsid w:val="00F867B2"/>
    <w:rsid w:val="00F868DC"/>
    <w:rsid w:val="00F87353"/>
    <w:rsid w:val="00F87783"/>
    <w:rsid w:val="00F9019C"/>
    <w:rsid w:val="00F91445"/>
    <w:rsid w:val="00F916BD"/>
    <w:rsid w:val="00F93E9A"/>
    <w:rsid w:val="00F94B40"/>
    <w:rsid w:val="00F952C2"/>
    <w:rsid w:val="00F9541C"/>
    <w:rsid w:val="00F95F5C"/>
    <w:rsid w:val="00F96103"/>
    <w:rsid w:val="00F968DA"/>
    <w:rsid w:val="00F970F3"/>
    <w:rsid w:val="00F97522"/>
    <w:rsid w:val="00FA0427"/>
    <w:rsid w:val="00FA1B87"/>
    <w:rsid w:val="00FA40A1"/>
    <w:rsid w:val="00FA4391"/>
    <w:rsid w:val="00FA4574"/>
    <w:rsid w:val="00FA7437"/>
    <w:rsid w:val="00FA7D0F"/>
    <w:rsid w:val="00FA7F03"/>
    <w:rsid w:val="00FB0383"/>
    <w:rsid w:val="00FB0802"/>
    <w:rsid w:val="00FB3A1E"/>
    <w:rsid w:val="00FB5DDB"/>
    <w:rsid w:val="00FC0C5F"/>
    <w:rsid w:val="00FC29A5"/>
    <w:rsid w:val="00FC2A17"/>
    <w:rsid w:val="00FC2B9E"/>
    <w:rsid w:val="00FC2CB9"/>
    <w:rsid w:val="00FC352F"/>
    <w:rsid w:val="00FC400E"/>
    <w:rsid w:val="00FC57EC"/>
    <w:rsid w:val="00FC5CBA"/>
    <w:rsid w:val="00FC6E90"/>
    <w:rsid w:val="00FC7557"/>
    <w:rsid w:val="00FC79D4"/>
    <w:rsid w:val="00FD0204"/>
    <w:rsid w:val="00FD05A4"/>
    <w:rsid w:val="00FD22A4"/>
    <w:rsid w:val="00FD3225"/>
    <w:rsid w:val="00FD3C9B"/>
    <w:rsid w:val="00FD4023"/>
    <w:rsid w:val="00FD5115"/>
    <w:rsid w:val="00FD52B9"/>
    <w:rsid w:val="00FD6083"/>
    <w:rsid w:val="00FD7497"/>
    <w:rsid w:val="00FD7D1F"/>
    <w:rsid w:val="00FE0385"/>
    <w:rsid w:val="00FE0439"/>
    <w:rsid w:val="00FE091E"/>
    <w:rsid w:val="00FE120C"/>
    <w:rsid w:val="00FE2863"/>
    <w:rsid w:val="00FE2E6A"/>
    <w:rsid w:val="00FE46A7"/>
    <w:rsid w:val="00FE5E4D"/>
    <w:rsid w:val="00FE6F59"/>
    <w:rsid w:val="00FE7225"/>
    <w:rsid w:val="00FE79AC"/>
    <w:rsid w:val="00FF0F8D"/>
    <w:rsid w:val="00FF1024"/>
    <w:rsid w:val="00FF105B"/>
    <w:rsid w:val="00FF124A"/>
    <w:rsid w:val="00FF1C80"/>
    <w:rsid w:val="00FF2FD7"/>
    <w:rsid w:val="00FF4AED"/>
    <w:rsid w:val="00FF60F7"/>
    <w:rsid w:val="00FF6C7C"/>
    <w:rsid w:val="63098FDC"/>
    <w:rsid w:val="74026D98"/>
    <w:rsid w:val="78DEC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D4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2C"/>
    <w:pPr>
      <w:spacing w:before="60" w:after="60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1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8F1FC1"/>
    <w:pPr>
      <w:keepNext w:val="0"/>
      <w:keepLines w:val="0"/>
      <w:numPr>
        <w:ilvl w:val="2"/>
        <w:numId w:val="2"/>
      </w:numPr>
      <w:spacing w:before="60" w:after="60" w:line="240" w:lineRule="auto"/>
      <w:outlineLvl w:val="2"/>
    </w:pPr>
    <w:rPr>
      <w:rFonts w:ascii="EYInterstate Light" w:eastAsiaTheme="minorHAnsi" w:hAnsi="EYInterstate Light" w:cstheme="minorBidi"/>
      <w:b w:val="0"/>
      <w:bCs w:val="0"/>
      <w:color w:val="auto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76F"/>
  </w:style>
  <w:style w:type="paragraph" w:styleId="Pieddepage">
    <w:name w:val="footer"/>
    <w:basedOn w:val="Normal"/>
    <w:link w:val="PieddepageCar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76F"/>
  </w:style>
  <w:style w:type="paragraph" w:styleId="Paragraphedeliste">
    <w:name w:val="List Paragraph"/>
    <w:basedOn w:val="Normal"/>
    <w:uiPriority w:val="34"/>
    <w:qFormat/>
    <w:rsid w:val="00E23370"/>
    <w:pPr>
      <w:ind w:left="720"/>
      <w:contextualSpacing/>
    </w:pPr>
  </w:style>
  <w:style w:type="paragraph" w:customStyle="1" w:styleId="Default">
    <w:name w:val="Default"/>
    <w:rsid w:val="00B3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5377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773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77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7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77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73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8F1FC1"/>
    <w:rPr>
      <w:rFonts w:ascii="EYInterstate Light" w:hAnsi="EYInterstate Light"/>
      <w:sz w:val="16"/>
      <w:szCs w:val="16"/>
    </w:rPr>
  </w:style>
  <w:style w:type="numbering" w:customStyle="1" w:styleId="ListePP">
    <w:name w:val="Liste PP"/>
    <w:uiPriority w:val="99"/>
    <w:rsid w:val="008F1FC1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8F1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Paragraphedeliste"/>
    <w:qFormat/>
    <w:rsid w:val="00FF105B"/>
    <w:pPr>
      <w:numPr>
        <w:numId w:val="3"/>
      </w:numPr>
      <w:spacing w:line="240" w:lineRule="auto"/>
      <w:contextualSpacing w:val="0"/>
    </w:pPr>
    <w:rPr>
      <w:rFonts w:cs="Arial"/>
      <w:sz w:val="16"/>
      <w:szCs w:val="16"/>
    </w:rPr>
  </w:style>
  <w:style w:type="paragraph" w:styleId="Rvision">
    <w:name w:val="Revision"/>
    <w:hidden/>
    <w:uiPriority w:val="99"/>
    <w:semiHidden/>
    <w:rsid w:val="00254758"/>
    <w:pPr>
      <w:spacing w:after="0" w:line="240" w:lineRule="auto"/>
    </w:pPr>
    <w:rPr>
      <w:rFonts w:ascii="Arial" w:hAnsi="Arial"/>
      <w:sz w:val="20"/>
    </w:rPr>
  </w:style>
  <w:style w:type="paragraph" w:styleId="Listepuces">
    <w:name w:val="List Bullet"/>
    <w:basedOn w:val="Normal"/>
    <w:uiPriority w:val="99"/>
    <w:unhideWhenUsed/>
    <w:rsid w:val="000951D2"/>
    <w:pPr>
      <w:numPr>
        <w:numId w:val="4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7C31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7C31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7C31"/>
    <w:rPr>
      <w:vertAlign w:val="superscript"/>
    </w:rPr>
  </w:style>
  <w:style w:type="character" w:customStyle="1" w:styleId="eael-tab-title3">
    <w:name w:val="eael-tab-title3"/>
    <w:basedOn w:val="Policepardfaut"/>
    <w:rsid w:val="00D7024F"/>
  </w:style>
  <w:style w:type="character" w:styleId="Lienhypertexte">
    <w:name w:val="Hyperlink"/>
    <w:basedOn w:val="Policepardfaut"/>
    <w:uiPriority w:val="99"/>
    <w:unhideWhenUsed/>
    <w:rsid w:val="00D7024F"/>
    <w:rPr>
      <w:strike w:val="0"/>
      <w:dstrike w:val="0"/>
      <w:color w:val="656665"/>
      <w:u w:val="none"/>
      <w:effect w:val="none"/>
      <w:shd w:val="clear" w:color="auto" w:fill="auto"/>
    </w:rPr>
  </w:style>
  <w:style w:type="paragraph" w:customStyle="1" w:styleId="point-bullet-kpi">
    <w:name w:val="point-bullet-kpi"/>
    <w:basedOn w:val="Normal"/>
    <w:rsid w:val="00D7024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de-CH" w:bidi="ar-SA"/>
    </w:rPr>
  </w:style>
  <w:style w:type="character" w:customStyle="1" w:styleId="kpi-questions1">
    <w:name w:val="kpi-questions1"/>
    <w:basedOn w:val="Policepardfaut"/>
    <w:rsid w:val="00D7024F"/>
    <w:rPr>
      <w:i/>
      <w:iCs/>
    </w:rPr>
  </w:style>
  <w:style w:type="paragraph" w:customStyle="1" w:styleId="FINMAStandardAbsatz">
    <w:name w:val="FINMA Standard Absatz"/>
    <w:basedOn w:val="Normal"/>
    <w:qFormat/>
    <w:rsid w:val="006E6B07"/>
    <w:pPr>
      <w:spacing w:before="260" w:after="260" w:line="260" w:lineRule="atLeast"/>
      <w:jc w:val="both"/>
    </w:pPr>
    <w:rPr>
      <w:rFonts w:eastAsia="Times New Roman" w:cs="Times New Roman"/>
      <w:szCs w:val="20"/>
      <w:lang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E819B3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1B92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1B92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01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2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7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8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22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1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57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8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2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7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8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8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8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6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07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6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7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71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17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2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55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4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24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89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61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7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5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0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0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3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85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2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4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4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7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7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2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17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1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4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7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1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6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1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2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30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0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9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5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7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0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48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1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8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40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19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1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62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200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40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305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28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74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12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62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8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21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93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1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18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1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7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56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28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8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32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2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7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25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35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0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1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18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7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7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8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5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1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9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490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1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6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9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74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650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9bcf4-53cf-403b-9048-936b1531f1ad">G01315675-000116</_dlc_DocId>
    <_dlc_DocIdUrl xmlns="6a69bcf4-53cf-403b-9048-936b1531f1ad">
      <Url>https://gdok.finma.ch/container/1446/_layouts/15/DocIdRedir.aspx?ID=G01315675-000116</Url>
      <Description>G01315675-000116</Description>
    </_dlc_DocIdUrl>
    <FinmaDocumentDate xmlns="6a69bcf4-53cf-403b-9048-936b1531f1ad">2024-01-07T23:00:00+00:00</FinmaDocumentDate>
    <g1c9cab47ab34847b4ac830bba5063b0 xmlns="6a69bcf4-53cf-403b-9048-936b1531f1ad">
      <Terms xmlns="http://schemas.microsoft.com/office/infopath/2007/PartnerControls"/>
    </g1c9cab47ab34847b4ac830bba5063b0>
    <FinmaPasswordProtected xmlns="6a69bcf4-53cf-403b-9048-936b1531f1ad">false</FinmaPasswordProtected>
    <FinmaObjectId xmlns="6a69bcf4-53cf-403b-9048-936b1531f1ad">F00164912</FinmaObjectId>
    <TaxCatchAll xmlns="6a69bcf4-53cf-403b-9048-936b1531f1ad">
      <Value>1</Value>
    </TaxCatchAll>
    <FinmaCaseDescription xmlns="6a69bcf4-53cf-403b-9048-936b1531f1ad">Prüfpunkte (G01315675)</FinmaCaseDescription>
    <n1f5c6536ac648a38ad663cdf8bd44e6 xmlns="6a69bcf4-53cf-403b-9048-936b1531f1ad">
      <Terms xmlns="http://schemas.microsoft.com/office/infopath/2007/PartnerControls"/>
    </n1f5c6536ac648a38ad663cdf8bd44e6>
    <f6ac7f7711e24d149a1ab98f6cfad432 xmlns="6a69bcf4-53cf-403b-9048-936b1531f1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Aktiv</TermName>
          <TermId xmlns="http://schemas.microsoft.com/office/infopath/2007/PartnerControls">7439e81f-a110-4e88-a7af-acf8d4806223</TermId>
        </TermInfo>
      </Terms>
    </f6ac7f7711e24d149a1ab98f6cfad432>
    <FinmaValidationDate xmlns="6a69bcf4-53cf-403b-9048-936b1531f1ad">2024-01-08T12:39:57+00:00</FinmaValidationDate>
    <Aktionswert xmlns="6a69bcf4-53cf-403b-9048-936b1531f1ad" xsi:nil="true"/>
    <FinmaObjectName xmlns="6a69bcf4-53cf-403b-9048-936b1531f1ad">Eidgenössische Finanzmarktaufsicht FINMA (F00164912)</FinmaObjectName>
    <FinmaValidationResult xmlns="6a69bcf4-53cf-403b-9048-936b1531f1ad" xsi:nil="true"/>
    <FinmaCaseID xmlns="6a69bcf4-53cf-403b-9048-936b1531f1ad">G01315675</FinmaCaseID>
    <h5452bf913d342ef967d06fb0970c0a5 xmlns="6a69bcf4-53cf-403b-9048-936b1531f1ad">
      <Terms xmlns="http://schemas.microsoft.com/office/infopath/2007/PartnerControls"/>
    </h5452bf913d342ef967d06fb0970c0a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ok Document" ma:contentTypeID="0x0101003A499141982C43AFAF241BDE541C18D50000519DF5795C73439C3BCF439616D716" ma:contentTypeVersion="18" ma:contentTypeDescription="Create a new document." ma:contentTypeScope="" ma:versionID="3e9dbafe18dff3d69f8d18d881175270">
  <xsd:schema xmlns:xsd="http://www.w3.org/2001/XMLSchema" xmlns:xs="http://www.w3.org/2001/XMLSchema" xmlns:p="http://schemas.microsoft.com/office/2006/metadata/properties" xmlns:ns2="6a69bcf4-53cf-403b-9048-936b1531f1ad" targetNamespace="http://schemas.microsoft.com/office/2006/metadata/properties" ma:root="true" ma:fieldsID="c38773aaff0ce6d2ba3f1ef59662825f" ns2:_="">
    <xsd:import namespace="6a69bcf4-53cf-403b-9048-936b1531f1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maDocumentDate" minOccurs="0"/>
                <xsd:element ref="ns2:FinmaCaseDescription" minOccurs="0"/>
                <xsd:element ref="ns2:f6ac7f7711e24d149a1ab98f6cfad432" minOccurs="0"/>
                <xsd:element ref="ns2:TaxCatchAll" minOccurs="0"/>
                <xsd:element ref="ns2:TaxCatchAllLabel" minOccurs="0"/>
                <xsd:element ref="ns2:FinmaCaseID" minOccurs="0"/>
                <xsd:element ref="ns2:g1c9cab47ab34847b4ac830bba5063b0" minOccurs="0"/>
                <xsd:element ref="ns2:h5452bf913d342ef967d06fb0970c0a5" minOccurs="0"/>
                <xsd:element ref="ns2:n1f5c6536ac648a38ad663cdf8bd44e6" minOccurs="0"/>
                <xsd:element ref="ns2:FinmaPasswordProtected" minOccurs="0"/>
                <xsd:element ref="ns2:FinmaValidationDate" minOccurs="0"/>
                <xsd:element ref="ns2:FinmaValidationResult" minOccurs="0"/>
                <xsd:element ref="ns2:FinmaObjectId" minOccurs="0"/>
                <xsd:element ref="ns2:FinmaObjectName" minOccurs="0"/>
                <xsd:element ref="ns2:Aktionsw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bcf4-53cf-403b-9048-936b1531f1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maDocumentDate" ma:index="11" nillable="true" ma:displayName="Dokument Datum" ma:format="DateOnly" ma:internalName="FinmaDocumentDate">
      <xsd:simpleType>
        <xsd:restriction base="dms:DateTime"/>
      </xsd:simpleType>
    </xsd:element>
    <xsd:element name="FinmaCaseDescription" ma:index="12" nillable="true" ma:displayName="Geschäfts Bezeichnung" ma:default="Prüfpunkte (G01315675)" ma:internalName="FinmaCaseDescription">
      <xsd:simpleType>
        <xsd:restriction base="dms:Text">
          <xsd:maxLength value="255"/>
        </xsd:restriction>
      </xsd:simpleType>
    </xsd:element>
    <xsd:element name="f6ac7f7711e24d149a1ab98f6cfad432" ma:index="13" nillable="true" ma:taxonomy="true" ma:internalName="f6ac7f7711e24d149a1ab98f6cfad432" ma:taxonomyFieldName="FinmaCaseStatus" ma:displayName="Geschäfts Status" ma:default="1;#Aktiv|7439e81f-a110-4e88-a7af-acf8d4806223" ma:fieldId="{f6ac7f77-11e2-4d14-9a1a-b98f6cfad432}" ma:sspId="1614e331-078d-4830-aac2-889f77d1de05" ma:termSetId="fbd22871-fe11-4cfd-b99d-0f5fc7eae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1d897c7-6512-47f2-a160-da422b0663e8}" ma:internalName="TaxCatchAll" ma:showField="CatchAllData" ma:web="6a69bcf4-53cf-403b-9048-936b1531f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1d897c7-6512-47f2-a160-da422b0663e8}" ma:internalName="TaxCatchAllLabel" ma:readOnly="true" ma:showField="CatchAllDataLabel" ma:web="6a69bcf4-53cf-403b-9048-936b1531f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maCaseID" ma:index="17" nillable="true" ma:displayName="Geschäfts ID" ma:default="G01315675" ma:internalName="FinmaCaseID">
      <xsd:simpleType>
        <xsd:restriction base="dms:Text">
          <xsd:maxLength value="255"/>
        </xsd:restriction>
      </xsd:simpleType>
    </xsd:element>
    <xsd:element name="g1c9cab47ab34847b4ac830bba5063b0" ma:index="18" nillable="true" ma:taxonomy="true" ma:internalName="g1c9cab47ab34847b4ac830bba5063b0" ma:taxonomyFieldName="FinmaCatchphrases" ma:displayName="Schlagwort" ma:fieldId="{01c9cab4-7ab3-4847-b4ac-830bba5063b0}" ma:taxonomyMulti="true" ma:sspId="1614e331-078d-4830-aac2-889f77d1de05" ma:termSetId="35ed469d-bfb4-4e58-83fd-01918edae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452bf913d342ef967d06fb0970c0a5" ma:index="20" nillable="true" ma:taxonomy="true" ma:internalName="h5452bf913d342ef967d06fb0970c0a5" ma:taxonomyFieldName="FinmaCategory" ma:displayName="Kategorie" ma:fieldId="{15452bf9-13d3-42ef-967d-06fb0970c0a5}" ma:sspId="1614e331-078d-4830-aac2-889f77d1de05" ma:termSetId="76a2fa96-3e9b-4d62-901d-d1895154867f" ma:anchorId="de8e377e-5092-4bcb-9739-6ef0d154a6b9" ma:open="false" ma:isKeyword="false">
      <xsd:complexType>
        <xsd:sequence>
          <xsd:element ref="pc:Terms" minOccurs="0" maxOccurs="1"/>
        </xsd:sequence>
      </xsd:complexType>
    </xsd:element>
    <xsd:element name="n1f5c6536ac648a38ad663cdf8bd44e6" ma:index="22" nillable="true" ma:taxonomy="true" ma:internalName="n1f5c6536ac648a38ad663cdf8bd44e6" ma:taxonomyFieldName="FinmaCrmEntityIDs" ma:displayName="CRM Verknüpfung IDs" ma:fieldId="{71f5c653-6ac6-48a3-8ad6-63cdf8bd44e6}" ma:taxonomyMulti="true" ma:sspId="1614e331-078d-4830-aac2-889f77d1de05" ma:termSetId="82dd8aca-48d0-4b35-8214-4412d12ff6a5" ma:anchorId="014b0467-8825-4d4f-8a01-d04ca28bebe8" ma:open="false" ma:isKeyword="false">
      <xsd:complexType>
        <xsd:sequence>
          <xsd:element ref="pc:Terms" minOccurs="0" maxOccurs="1"/>
        </xsd:sequence>
      </xsd:complexType>
    </xsd:element>
    <xsd:element name="FinmaPasswordProtected" ma:index="24" nillable="true" ma:displayName="Passwortgeschützt" ma:internalName="FinmaPasswordProtected">
      <xsd:simpleType>
        <xsd:restriction base="dms:Boolean"/>
      </xsd:simpleType>
    </xsd:element>
    <xsd:element name="FinmaValidationDate" ma:index="25" nillable="true" ma:displayName="Prüfzeitpunkt" ma:format="DateTime" ma:internalName="FinmaValidationDate">
      <xsd:simpleType>
        <xsd:restriction base="dms:DateTime"/>
      </xsd:simpleType>
    </xsd:element>
    <xsd:element name="FinmaValidationResult" ma:index="27" nillable="true" ma:displayName="ValidationResults" ma:internalName="FinmaValidationResult">
      <xsd:simpleType>
        <xsd:restriction base="dms:Note">
          <xsd:maxLength value="255"/>
        </xsd:restriction>
      </xsd:simpleType>
    </xsd:element>
    <xsd:element name="FinmaObjectId" ma:index="28" nillable="true" ma:displayName="Finma Objekt ID" ma:default="F00164912" ma:internalName="FinmaObjectId">
      <xsd:simpleType>
        <xsd:restriction base="dms:Text">
          <xsd:maxLength value="255"/>
        </xsd:restriction>
      </xsd:simpleType>
    </xsd:element>
    <xsd:element name="FinmaObjectName" ma:index="29" nillable="true" ma:displayName="Finma Objekt Bezeichnung" ma:default="Eidgenössische Finanzmarktaufsicht FINMA (F00164912)" ma:internalName="FinmaObjectName">
      <xsd:simpleType>
        <xsd:restriction base="dms:Text">
          <xsd:maxLength value="255"/>
        </xsd:restriction>
      </xsd:simpleType>
    </xsd:element>
    <xsd:element name="Aktionswert" ma:index="30" nillable="true" ma:displayName="Aktionswert" ma:hidden="true" ma:internalName="Aktionswer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F6C7-E182-4CEA-92D7-3AA3295CD3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69bcf4-53cf-403b-9048-936b1531f1a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9C0542-D058-4061-9074-5D6943307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AA75C-BF1B-4DA8-B07B-3600D42BF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9bcf4-53cf-403b-9048-936b1531f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17B90-3696-4677-8894-F15B75789D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6FC71C-D9E3-439F-84E7-CDD50D00FA3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8</ap:Pages>
  <ap:Words>2062</ap:Words>
  <ap:Characters>12993</ap:Characters>
  <ap:Application>Microsoft Office Word</ap:Application>
  <ap:DocSecurity>0</ap:DocSecurity>
  <ap:Lines>108</ap:Lines>
  <ap:Paragraphs>30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15025</ap:CharactersWithSpaces>
  <ap:SharedDoc>false</ap:SharedDoc>
  <ap:HyperlinksChanged>false</ap:HyperlinksChanged>
  <ap:AppVersion>16.0000</ap:AppVersion>
  <ap:Company/>
  <ap:Manager/>
  <ap:HyperlinkBas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dcterms:created xsi:type="dcterms:W3CDTF">2024-01-08T12:29:00.0000000Z</dcterms:created>
  <dcterms:modified xsi:type="dcterms:W3CDTF">2024-01-09T15:56:00.0000000Z</dcterms:modified>
  <category/>
  <contentType/>
  <contentStatus/>
  <version/>
  <dc:language/>
  <dc:identifier/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3" name="ContentTypeId">
    <vt:lpwstr>0x0101003A499141982C43AFAF241BDE541C18D50000519DF5795C73439C3BCF439616D716</vt:lpwstr>
  </op:property>
  <op:property fmtid="{D5CDD505-2E9C-101B-9397-08002B2CF9AE}" pid="4" name="OSP">
    <vt:lpwstr>24;#4-01.9 Verschiedenes|e6fcb4e3-30b0-4407-a767-d767f5fd947e</vt:lpwstr>
  </op:property>
  <op:property fmtid="{D5CDD505-2E9C-101B-9397-08002B2CF9AE}" pid="5" name="OU">
    <vt:lpwstr>2;#GB-B|e94a01d0-8159-4312-8c27-537da63eee99</vt:lpwstr>
  </op:property>
  <op:property fmtid="{D5CDD505-2E9C-101B-9397-08002B2CF9AE}" pid="6" name="_dlc_DocIdItemGuid">
    <vt:lpwstr>20d31b99-036e-4833-b434-8cf58264c15a</vt:lpwstr>
  </op:property>
  <op:property fmtid="{D5CDD505-2E9C-101B-9397-08002B2CF9AE}" pid="7" name="FinmaCrmEntityIDs">
    <vt:lpwstr/>
  </op:property>
  <op:property fmtid="{D5CDD505-2E9C-101B-9397-08002B2CF9AE}" pid="8" name="FinmaCatchphrases">
    <vt:lpwstr/>
  </op:property>
  <op:property fmtid="{D5CDD505-2E9C-101B-9397-08002B2CF9AE}" pid="9" name="FinmaCaseStatus">
    <vt:lpwstr>1;#Aktiv|7439e81f-a110-4e88-a7af-acf8d4806223</vt:lpwstr>
  </op:property>
  <op:property fmtid="{D5CDD505-2E9C-101B-9397-08002B2CF9AE}" pid="10" name="FinmaCategory">
    <vt:lpwstr/>
  </op:property>
</op:Properties>
</file>