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190D7" w14:textId="6D9D2561" w:rsidR="001B763E" w:rsidRPr="00E82754" w:rsidRDefault="0073176F">
      <w:pPr>
        <w:rPr>
          <w:rFonts w:cs="Arial"/>
          <w:b/>
          <w:sz w:val="28"/>
          <w:szCs w:val="28"/>
        </w:rPr>
      </w:pPr>
      <w:r>
        <w:rPr>
          <w:b/>
          <w:sz w:val="28"/>
          <w:szCs w:val="28"/>
        </w:rPr>
        <w:t>Audit points for centralised risk control and risk mitigation functions</w:t>
      </w:r>
    </w:p>
    <w:p w14:paraId="50FE4B2A" w14:textId="77777777" w:rsidR="00DB7CF3" w:rsidRPr="00E76257" w:rsidRDefault="00DB7CF3">
      <w:pPr>
        <w:rPr>
          <w:rFonts w:cs="Arial"/>
          <w:b/>
          <w:lang w:val="en-US"/>
        </w:rPr>
      </w:pPr>
    </w:p>
    <w:p w14:paraId="469679E7" w14:textId="77777777" w:rsidR="00D247FF" w:rsidRPr="00B90D29" w:rsidRDefault="005D00E1">
      <w:pPr>
        <w:rPr>
          <w:rFonts w:cs="Arial"/>
          <w:b/>
        </w:rPr>
      </w:pPr>
      <w:r>
        <w:rPr>
          <w:b/>
        </w:rPr>
        <w:t>Overview</w:t>
      </w:r>
    </w:p>
    <w:tbl>
      <w:tblPr>
        <w:tblStyle w:val="Grilledutableau"/>
        <w:tblW w:w="0" w:type="auto"/>
        <w:tblInd w:w="108" w:type="dxa"/>
        <w:tblLook w:val="04A0" w:firstRow="1" w:lastRow="0" w:firstColumn="1" w:lastColumn="0" w:noHBand="0" w:noVBand="1"/>
      </w:tblPr>
      <w:tblGrid>
        <w:gridCol w:w="2653"/>
        <w:gridCol w:w="11516"/>
      </w:tblGrid>
      <w:tr w:rsidR="001B763E" w:rsidRPr="00B90D29" w14:paraId="21AAE318" w14:textId="77777777" w:rsidTr="00EA067E">
        <w:tc>
          <w:tcPr>
            <w:tcW w:w="2694" w:type="dxa"/>
            <w:shd w:val="pct10" w:color="auto" w:fill="auto"/>
          </w:tcPr>
          <w:p w14:paraId="15CF5F1F" w14:textId="5D731F57" w:rsidR="001B763E" w:rsidRPr="00B90D29" w:rsidRDefault="00EA0476" w:rsidP="00352874">
            <w:pPr>
              <w:tabs>
                <w:tab w:val="left" w:pos="1418"/>
              </w:tabs>
              <w:rPr>
                <w:rFonts w:cs="Arial"/>
                <w:b/>
                <w:szCs w:val="18"/>
              </w:rPr>
            </w:pPr>
            <w:r>
              <w:rPr>
                <w:b/>
              </w:rPr>
              <w:t>Audit field</w:t>
            </w:r>
            <w:r w:rsidR="001B763E">
              <w:rPr>
                <w:b/>
              </w:rPr>
              <w:t>:</w:t>
            </w:r>
          </w:p>
        </w:tc>
        <w:tc>
          <w:tcPr>
            <w:tcW w:w="11701" w:type="dxa"/>
            <w:shd w:val="pct10" w:color="auto" w:fill="auto"/>
          </w:tcPr>
          <w:p w14:paraId="4F80F7AF" w14:textId="40EE4C32" w:rsidR="001B763E" w:rsidRPr="00B90D29" w:rsidRDefault="006213D9" w:rsidP="00863E60">
            <w:pPr>
              <w:tabs>
                <w:tab w:val="left" w:pos="1859"/>
              </w:tabs>
              <w:rPr>
                <w:rFonts w:cs="Arial"/>
                <w:b/>
                <w:szCs w:val="18"/>
              </w:rPr>
            </w:pPr>
            <w:r>
              <w:rPr>
                <w:b/>
              </w:rPr>
              <w:t>Centralised risk control and risk mitigation functions (risk control function, compliance function)</w:t>
            </w:r>
          </w:p>
        </w:tc>
      </w:tr>
      <w:tr w:rsidR="009F7E12" w:rsidRPr="00B90D29" w14:paraId="176A8BA3" w14:textId="77777777" w:rsidTr="00EA067E">
        <w:tc>
          <w:tcPr>
            <w:tcW w:w="2694" w:type="dxa"/>
            <w:shd w:val="pct10" w:color="auto" w:fill="auto"/>
          </w:tcPr>
          <w:p w14:paraId="33D6E67D" w14:textId="77777777" w:rsidR="009F7E12" w:rsidRPr="00B90D29" w:rsidRDefault="009F7E12" w:rsidP="00352874">
            <w:pPr>
              <w:tabs>
                <w:tab w:val="left" w:pos="1418"/>
              </w:tabs>
              <w:rPr>
                <w:rFonts w:cs="Arial"/>
                <w:b/>
                <w:szCs w:val="18"/>
              </w:rPr>
            </w:pPr>
            <w:r>
              <w:rPr>
                <w:b/>
              </w:rPr>
              <w:t>Audit depth:</w:t>
            </w:r>
          </w:p>
        </w:tc>
        <w:tc>
          <w:tcPr>
            <w:tcW w:w="11701" w:type="dxa"/>
            <w:shd w:val="pct10" w:color="auto" w:fill="auto"/>
          </w:tcPr>
          <w:p w14:paraId="565509EC" w14:textId="3830093F" w:rsidR="009F7E12" w:rsidRPr="00B90D29" w:rsidRDefault="00424650" w:rsidP="006C2A6A">
            <w:pPr>
              <w:tabs>
                <w:tab w:val="left" w:pos="1859"/>
              </w:tabs>
              <w:rPr>
                <w:rFonts w:cs="Arial"/>
                <w:szCs w:val="18"/>
              </w:rPr>
            </w:pPr>
            <w:r>
              <w:rPr>
                <w:highlight w:val="yellow"/>
              </w:rPr>
              <w:t>[Audit/critical assessment]</w:t>
            </w:r>
            <w:r w:rsidR="009A6740" w:rsidRPr="009A6740">
              <w:rPr>
                <w:rStyle w:val="Appelnotedebasdep"/>
                <w:lang w:val="de-CH"/>
              </w:rPr>
              <w:footnoteReference w:id="2"/>
            </w:r>
          </w:p>
        </w:tc>
      </w:tr>
      <w:tr w:rsidR="00F37CB4" w:rsidRPr="00B90D29" w14:paraId="733116B0" w14:textId="77777777" w:rsidTr="00F37CB4">
        <w:tc>
          <w:tcPr>
            <w:tcW w:w="2694" w:type="dxa"/>
          </w:tcPr>
          <w:p w14:paraId="6D7BAB14" w14:textId="77777777" w:rsidR="00F37CB4" w:rsidRPr="0063713C" w:rsidRDefault="00F37CB4" w:rsidP="00352874">
            <w:pPr>
              <w:tabs>
                <w:tab w:val="left" w:pos="1418"/>
              </w:tabs>
              <w:rPr>
                <w:rFonts w:cs="Arial"/>
                <w:b/>
                <w:szCs w:val="20"/>
              </w:rPr>
            </w:pPr>
            <w:r>
              <w:rPr>
                <w:b/>
              </w:rPr>
              <w:t>Regulations</w:t>
            </w:r>
          </w:p>
          <w:p w14:paraId="3C5F0751" w14:textId="77777777" w:rsidR="008F1FC1" w:rsidRPr="0063713C" w:rsidRDefault="008F1FC1" w:rsidP="00352874">
            <w:pPr>
              <w:tabs>
                <w:tab w:val="left" w:pos="1418"/>
              </w:tabs>
              <w:rPr>
                <w:rFonts w:cs="Arial"/>
                <w:szCs w:val="20"/>
              </w:rPr>
            </w:pPr>
            <w:r>
              <w:t>(non-exhaustive list)</w:t>
            </w:r>
          </w:p>
        </w:tc>
        <w:tc>
          <w:tcPr>
            <w:tcW w:w="11701" w:type="dxa"/>
          </w:tcPr>
          <w:p w14:paraId="536611C8" w14:textId="2C4C66E2" w:rsidR="006A167C" w:rsidRDefault="006A167C" w:rsidP="006A167C">
            <w:pPr>
              <w:tabs>
                <w:tab w:val="left" w:pos="1859"/>
              </w:tabs>
            </w:pPr>
            <w:r>
              <w:t>Art</w:t>
            </w:r>
            <w:r w:rsidR="00E81092">
              <w:t>icle</w:t>
            </w:r>
            <w:r>
              <w:t xml:space="preserve"> 3 para. 2 let. a Banking Act </w:t>
            </w:r>
            <w:r w:rsidR="00E81092">
              <w:t xml:space="preserve">of 8 November 1934 </w:t>
            </w:r>
            <w:r>
              <w:t>(BA</w:t>
            </w:r>
            <w:r w:rsidR="00E81092">
              <w:t>; SR </w:t>
            </w:r>
            <w:r w:rsidR="00E81092" w:rsidRPr="00117A16">
              <w:rPr>
                <w:i/>
                <w:iCs/>
              </w:rPr>
              <w:t>952.0</w:t>
            </w:r>
            <w:r>
              <w:t>)</w:t>
            </w:r>
          </w:p>
          <w:p w14:paraId="5845AB6C" w14:textId="2F2416B1" w:rsidR="006A167C" w:rsidRDefault="006A167C" w:rsidP="006A167C">
            <w:pPr>
              <w:tabs>
                <w:tab w:val="left" w:pos="1859"/>
              </w:tabs>
            </w:pPr>
            <w:r>
              <w:t>Art</w:t>
            </w:r>
            <w:r w:rsidR="00E81092">
              <w:t>icle</w:t>
            </w:r>
            <w:r>
              <w:t xml:space="preserve"> 12 </w:t>
            </w:r>
            <w:r w:rsidR="00EA0476">
              <w:t>para</w:t>
            </w:r>
            <w:r w:rsidR="00E81092">
              <w:t>s</w:t>
            </w:r>
            <w:r w:rsidR="00EA0476">
              <w:t>. 2</w:t>
            </w:r>
            <w:r w:rsidR="00E81092">
              <w:t>–</w:t>
            </w:r>
            <w:r w:rsidR="00EA0476">
              <w:t xml:space="preserve">4 </w:t>
            </w:r>
            <w:r>
              <w:t xml:space="preserve">Ordinance </w:t>
            </w:r>
            <w:r w:rsidR="00E81092">
              <w:t xml:space="preserve">of 30 April 2014 on Banks and Savings Banks </w:t>
            </w:r>
            <w:r>
              <w:t>(BO</w:t>
            </w:r>
            <w:r w:rsidR="00E81092">
              <w:t>; SR </w:t>
            </w:r>
            <w:r w:rsidR="00E81092" w:rsidRPr="00117A16">
              <w:rPr>
                <w:i/>
                <w:iCs/>
              </w:rPr>
              <w:t>952.02</w:t>
            </w:r>
            <w:r>
              <w:t>)</w:t>
            </w:r>
          </w:p>
          <w:p w14:paraId="46CC5296" w14:textId="64E3FC1F" w:rsidR="00E81092" w:rsidRDefault="00E81092" w:rsidP="006A167C">
            <w:pPr>
              <w:tabs>
                <w:tab w:val="left" w:pos="1859"/>
              </w:tabs>
            </w:pPr>
            <w:r>
              <w:t>Article 9 Swiss Federal Act of 15 June 2018 on Financial Institutions (</w:t>
            </w:r>
            <w:proofErr w:type="spellStart"/>
            <w:r>
              <w:t>FinIA</w:t>
            </w:r>
            <w:proofErr w:type="spellEnd"/>
            <w:r>
              <w:t>; SR </w:t>
            </w:r>
            <w:r w:rsidRPr="00117A16">
              <w:rPr>
                <w:i/>
                <w:iCs/>
              </w:rPr>
              <w:t>954.1</w:t>
            </w:r>
            <w:r>
              <w:t>)</w:t>
            </w:r>
          </w:p>
          <w:p w14:paraId="03CE2CF3" w14:textId="6DBC4363" w:rsidR="006A167C" w:rsidRDefault="006A167C" w:rsidP="006A167C">
            <w:pPr>
              <w:tabs>
                <w:tab w:val="left" w:pos="1859"/>
              </w:tabs>
            </w:pPr>
            <w:r>
              <w:t>Art</w:t>
            </w:r>
            <w:r w:rsidR="00E81092">
              <w:t>icle</w:t>
            </w:r>
            <w:r>
              <w:t xml:space="preserve"> 12 </w:t>
            </w:r>
            <w:r w:rsidR="00EA0476">
              <w:t xml:space="preserve">para. 4, </w:t>
            </w:r>
            <w:r w:rsidR="00E81092">
              <w:t>A</w:t>
            </w:r>
            <w:r w:rsidR="00EA0476">
              <w:t>rt</w:t>
            </w:r>
            <w:r w:rsidR="00E81092">
              <w:t>icles</w:t>
            </w:r>
            <w:r w:rsidR="00EA0476">
              <w:t xml:space="preserve"> 68 </w:t>
            </w:r>
            <w:r>
              <w:t xml:space="preserve">and </w:t>
            </w:r>
            <w:r w:rsidR="00EA0476">
              <w:t>73</w:t>
            </w:r>
            <w:r>
              <w:t xml:space="preserve"> </w:t>
            </w:r>
            <w:r w:rsidR="00E81092">
              <w:t xml:space="preserve">Ordinance of 6 November 2019 on </w:t>
            </w:r>
            <w:r>
              <w:t>Financial Institutions (</w:t>
            </w:r>
            <w:proofErr w:type="spellStart"/>
            <w:r>
              <w:t>FinIO</w:t>
            </w:r>
            <w:proofErr w:type="spellEnd"/>
            <w:r w:rsidR="00E81092">
              <w:t>; SR </w:t>
            </w:r>
            <w:r w:rsidR="00E81092" w:rsidRPr="00117A16">
              <w:rPr>
                <w:i/>
                <w:iCs/>
              </w:rPr>
              <w:t>954.11</w:t>
            </w:r>
            <w:r>
              <w:t>)</w:t>
            </w:r>
          </w:p>
          <w:p w14:paraId="00B32222" w14:textId="55771A3C" w:rsidR="006B7471" w:rsidRPr="00B90D29" w:rsidRDefault="00EA0476" w:rsidP="006A167C">
            <w:pPr>
              <w:tabs>
                <w:tab w:val="left" w:pos="1859"/>
              </w:tabs>
              <w:rPr>
                <w:rFonts w:cs="Arial"/>
                <w:szCs w:val="20"/>
              </w:rPr>
            </w:pPr>
            <w:r>
              <w:t>Margin nos. 62</w:t>
            </w:r>
            <w:r w:rsidR="00E81092">
              <w:t>–</w:t>
            </w:r>
            <w:r>
              <w:t xml:space="preserve">81 </w:t>
            </w:r>
            <w:r w:rsidR="006967AE">
              <w:t xml:space="preserve">FINMA </w:t>
            </w:r>
            <w:r w:rsidR="004754C5">
              <w:t>Circular 2017/1 “Corpo</w:t>
            </w:r>
            <w:r w:rsidR="0069241B">
              <w:t>rate governance - banks”</w:t>
            </w:r>
          </w:p>
        </w:tc>
      </w:tr>
      <w:tr w:rsidR="00F37CB4" w:rsidRPr="00B90D29" w14:paraId="7B5A8B17" w14:textId="77777777" w:rsidTr="0041269F">
        <w:trPr>
          <w:trHeight w:val="2160"/>
        </w:trPr>
        <w:tc>
          <w:tcPr>
            <w:tcW w:w="2694" w:type="dxa"/>
          </w:tcPr>
          <w:p w14:paraId="3D4061D0" w14:textId="77777777" w:rsidR="00F37CB4" w:rsidRPr="00B90D29" w:rsidRDefault="00F37CB4" w:rsidP="00B54948">
            <w:pPr>
              <w:tabs>
                <w:tab w:val="left" w:pos="1418"/>
              </w:tabs>
              <w:spacing w:before="120" w:after="120"/>
              <w:rPr>
                <w:rFonts w:cs="Arial"/>
                <w:b/>
                <w:szCs w:val="20"/>
              </w:rPr>
            </w:pPr>
            <w:r>
              <w:rPr>
                <w:b/>
              </w:rPr>
              <w:t>Sign-offs:</w:t>
            </w:r>
          </w:p>
        </w:tc>
        <w:tc>
          <w:tcPr>
            <w:tcW w:w="11701" w:type="dxa"/>
          </w:tcPr>
          <w:p w14:paraId="69F541F3" w14:textId="77777777" w:rsidR="00F37CB4" w:rsidRPr="00E76257" w:rsidRDefault="00F37CB4" w:rsidP="0041269F">
            <w:pPr>
              <w:tabs>
                <w:tab w:val="left" w:pos="1859"/>
              </w:tabs>
              <w:spacing w:before="120"/>
              <w:rPr>
                <w:rFonts w:cs="Arial"/>
                <w:sz w:val="2"/>
                <w:szCs w:val="2"/>
                <w:lang w:val="en-US"/>
              </w:rPr>
            </w:pPr>
          </w:p>
          <w:tbl>
            <w:tblPr>
              <w:tblStyle w:val="Grilledutableau"/>
              <w:tblW w:w="0" w:type="auto"/>
              <w:tblLook w:val="04A0" w:firstRow="1" w:lastRow="0" w:firstColumn="1" w:lastColumn="0" w:noHBand="0" w:noVBand="1"/>
            </w:tblPr>
            <w:tblGrid>
              <w:gridCol w:w="1986"/>
              <w:gridCol w:w="3623"/>
              <w:gridCol w:w="3483"/>
              <w:gridCol w:w="2197"/>
            </w:tblGrid>
            <w:tr w:rsidR="009F7E12" w:rsidRPr="00B90D29" w14:paraId="2A83BD2F" w14:textId="77777777" w:rsidTr="00DB7CF3">
              <w:tc>
                <w:tcPr>
                  <w:tcW w:w="2013" w:type="dxa"/>
                  <w:shd w:val="clear" w:color="auto" w:fill="D9D9D9" w:themeFill="background1" w:themeFillShade="D9"/>
                </w:tcPr>
                <w:p w14:paraId="00EFFBDF" w14:textId="77777777" w:rsidR="009F7E12" w:rsidRPr="00B90D29" w:rsidRDefault="009F7E12" w:rsidP="00537739">
                  <w:pPr>
                    <w:tabs>
                      <w:tab w:val="left" w:pos="1859"/>
                    </w:tabs>
                    <w:spacing w:before="120" w:after="120"/>
                    <w:rPr>
                      <w:rFonts w:cs="Arial"/>
                      <w:b/>
                      <w:sz w:val="18"/>
                      <w:szCs w:val="18"/>
                    </w:rPr>
                  </w:pPr>
                  <w:r>
                    <w:rPr>
                      <w:b/>
                      <w:sz w:val="18"/>
                    </w:rPr>
                    <w:t>Sign-offs:</w:t>
                  </w:r>
                </w:p>
              </w:tc>
              <w:tc>
                <w:tcPr>
                  <w:tcW w:w="3685" w:type="dxa"/>
                  <w:shd w:val="clear" w:color="auto" w:fill="D9D9D9" w:themeFill="background1" w:themeFillShade="D9"/>
                </w:tcPr>
                <w:p w14:paraId="119E3F67" w14:textId="77777777" w:rsidR="009F7E12" w:rsidRPr="00B90D29" w:rsidRDefault="009F7E12" w:rsidP="00537739">
                  <w:pPr>
                    <w:tabs>
                      <w:tab w:val="left" w:pos="1859"/>
                    </w:tabs>
                    <w:spacing w:before="120" w:after="120"/>
                    <w:jc w:val="center"/>
                    <w:rPr>
                      <w:rFonts w:cs="Arial"/>
                      <w:b/>
                      <w:sz w:val="18"/>
                      <w:szCs w:val="18"/>
                    </w:rPr>
                  </w:pPr>
                  <w:r>
                    <w:rPr>
                      <w:b/>
                      <w:sz w:val="18"/>
                    </w:rPr>
                    <w:t>Name:</w:t>
                  </w:r>
                </w:p>
              </w:tc>
              <w:tc>
                <w:tcPr>
                  <w:tcW w:w="3544" w:type="dxa"/>
                  <w:shd w:val="clear" w:color="auto" w:fill="D9D9D9" w:themeFill="background1" w:themeFillShade="D9"/>
                </w:tcPr>
                <w:p w14:paraId="7EF31E65" w14:textId="77777777" w:rsidR="009F7E12" w:rsidRPr="00B90D29" w:rsidRDefault="009F7E12" w:rsidP="00537739">
                  <w:pPr>
                    <w:tabs>
                      <w:tab w:val="left" w:pos="1859"/>
                    </w:tabs>
                    <w:spacing w:before="120" w:after="120"/>
                    <w:jc w:val="center"/>
                    <w:rPr>
                      <w:rFonts w:cs="Arial"/>
                      <w:b/>
                      <w:sz w:val="18"/>
                      <w:szCs w:val="18"/>
                    </w:rPr>
                  </w:pPr>
                  <w:r>
                    <w:rPr>
                      <w:b/>
                      <w:sz w:val="18"/>
                    </w:rPr>
                    <w:t>Function:</w:t>
                  </w:r>
                </w:p>
              </w:tc>
              <w:tc>
                <w:tcPr>
                  <w:tcW w:w="2228" w:type="dxa"/>
                  <w:shd w:val="clear" w:color="auto" w:fill="D9D9D9" w:themeFill="background1" w:themeFillShade="D9"/>
                </w:tcPr>
                <w:p w14:paraId="4FE1F513" w14:textId="77777777" w:rsidR="009F7E12" w:rsidRPr="00B90D29" w:rsidRDefault="009F7E12" w:rsidP="00537739">
                  <w:pPr>
                    <w:tabs>
                      <w:tab w:val="left" w:pos="1859"/>
                    </w:tabs>
                    <w:spacing w:before="120" w:after="120"/>
                    <w:jc w:val="center"/>
                    <w:rPr>
                      <w:rFonts w:cs="Arial"/>
                      <w:b/>
                      <w:sz w:val="18"/>
                      <w:szCs w:val="18"/>
                    </w:rPr>
                  </w:pPr>
                  <w:r>
                    <w:rPr>
                      <w:b/>
                      <w:sz w:val="18"/>
                    </w:rPr>
                    <w:t>Date:</w:t>
                  </w:r>
                </w:p>
              </w:tc>
            </w:tr>
            <w:tr w:rsidR="009F7E12" w:rsidRPr="00B90D29" w14:paraId="7CC1D21C" w14:textId="77777777" w:rsidTr="00537739">
              <w:tc>
                <w:tcPr>
                  <w:tcW w:w="2013" w:type="dxa"/>
                </w:tcPr>
                <w:p w14:paraId="1AFD8167" w14:textId="77777777" w:rsidR="009F7E12" w:rsidRPr="00B90D29" w:rsidRDefault="009F7E12" w:rsidP="00537739">
                  <w:pPr>
                    <w:tabs>
                      <w:tab w:val="left" w:pos="1859"/>
                    </w:tabs>
                    <w:spacing w:before="120" w:after="120"/>
                    <w:rPr>
                      <w:rFonts w:cs="Arial"/>
                      <w:sz w:val="18"/>
                      <w:szCs w:val="18"/>
                    </w:rPr>
                  </w:pPr>
                  <w:r>
                    <w:rPr>
                      <w:sz w:val="18"/>
                    </w:rPr>
                    <w:t xml:space="preserve">Prepared by: </w:t>
                  </w:r>
                </w:p>
              </w:tc>
              <w:tc>
                <w:tcPr>
                  <w:tcW w:w="3685" w:type="dxa"/>
                </w:tcPr>
                <w:p w14:paraId="0A5A1148" w14:textId="77777777" w:rsidR="009F7E12" w:rsidRPr="00B90D29" w:rsidRDefault="009F7E12" w:rsidP="00537739">
                  <w:pPr>
                    <w:tabs>
                      <w:tab w:val="left" w:pos="1859"/>
                    </w:tabs>
                    <w:spacing w:before="120" w:after="120"/>
                    <w:jc w:val="center"/>
                    <w:rPr>
                      <w:rFonts w:cs="Arial"/>
                      <w:sz w:val="18"/>
                      <w:szCs w:val="18"/>
                    </w:rPr>
                  </w:pPr>
                  <w:r>
                    <w:rPr>
                      <w:sz w:val="18"/>
                      <w:highlight w:val="yellow"/>
                    </w:rPr>
                    <w:t>[Name]</w:t>
                  </w:r>
                </w:p>
              </w:tc>
              <w:tc>
                <w:tcPr>
                  <w:tcW w:w="3544" w:type="dxa"/>
                </w:tcPr>
                <w:p w14:paraId="3C55A7DC" w14:textId="77777777" w:rsidR="009F7E12" w:rsidRPr="00B90D29" w:rsidRDefault="009F7E12" w:rsidP="00537739">
                  <w:pPr>
                    <w:tabs>
                      <w:tab w:val="left" w:pos="1859"/>
                    </w:tabs>
                    <w:spacing w:before="120" w:after="120"/>
                    <w:jc w:val="center"/>
                    <w:rPr>
                      <w:rFonts w:cs="Arial"/>
                      <w:sz w:val="18"/>
                      <w:szCs w:val="18"/>
                    </w:rPr>
                  </w:pPr>
                  <w:r>
                    <w:rPr>
                      <w:sz w:val="18"/>
                      <w:highlight w:val="yellow"/>
                    </w:rPr>
                    <w:t>[Assistant / Senior / Manager / Senior Manager / Partner]</w:t>
                  </w:r>
                </w:p>
              </w:tc>
              <w:tc>
                <w:tcPr>
                  <w:tcW w:w="2228" w:type="dxa"/>
                </w:tcPr>
                <w:p w14:paraId="3D157F4F" w14:textId="77777777" w:rsidR="009F7E12" w:rsidRPr="00B90D29" w:rsidRDefault="009F7E12" w:rsidP="00537739">
                  <w:pPr>
                    <w:tabs>
                      <w:tab w:val="left" w:pos="1859"/>
                    </w:tabs>
                    <w:spacing w:before="120" w:after="120"/>
                    <w:jc w:val="center"/>
                    <w:rPr>
                      <w:rFonts w:cs="Arial"/>
                      <w:sz w:val="18"/>
                      <w:szCs w:val="18"/>
                    </w:rPr>
                  </w:pPr>
                  <w:r>
                    <w:rPr>
                      <w:sz w:val="18"/>
                      <w:highlight w:val="yellow"/>
                    </w:rPr>
                    <w:t>[DD MMMM YYYY]</w:t>
                  </w:r>
                </w:p>
              </w:tc>
            </w:tr>
            <w:tr w:rsidR="009F7E12" w:rsidRPr="00B90D29" w14:paraId="29A77CBF" w14:textId="77777777" w:rsidTr="00537739">
              <w:tc>
                <w:tcPr>
                  <w:tcW w:w="2013" w:type="dxa"/>
                </w:tcPr>
                <w:p w14:paraId="32A68943" w14:textId="77777777" w:rsidR="009F7E12" w:rsidRPr="00B90D29" w:rsidRDefault="009F7E12" w:rsidP="00537739">
                  <w:pPr>
                    <w:tabs>
                      <w:tab w:val="left" w:pos="1859"/>
                    </w:tabs>
                    <w:spacing w:before="120" w:after="120"/>
                    <w:rPr>
                      <w:rFonts w:cs="Arial"/>
                      <w:sz w:val="18"/>
                      <w:szCs w:val="18"/>
                    </w:rPr>
                  </w:pPr>
                  <w:r>
                    <w:rPr>
                      <w:sz w:val="18"/>
                    </w:rPr>
                    <w:t>Reviewer:</w:t>
                  </w:r>
                </w:p>
              </w:tc>
              <w:tc>
                <w:tcPr>
                  <w:tcW w:w="3685" w:type="dxa"/>
                </w:tcPr>
                <w:p w14:paraId="39ECAA61" w14:textId="77777777" w:rsidR="009F7E12" w:rsidRPr="00B90D29" w:rsidRDefault="009F7E12" w:rsidP="00537739">
                  <w:pPr>
                    <w:tabs>
                      <w:tab w:val="left" w:pos="1859"/>
                    </w:tabs>
                    <w:spacing w:before="120" w:after="120"/>
                    <w:jc w:val="center"/>
                    <w:rPr>
                      <w:rFonts w:cs="Arial"/>
                      <w:sz w:val="18"/>
                      <w:szCs w:val="18"/>
                      <w:highlight w:val="yellow"/>
                    </w:rPr>
                  </w:pPr>
                  <w:r>
                    <w:rPr>
                      <w:sz w:val="18"/>
                      <w:highlight w:val="yellow"/>
                    </w:rPr>
                    <w:t>[Name]</w:t>
                  </w:r>
                </w:p>
              </w:tc>
              <w:tc>
                <w:tcPr>
                  <w:tcW w:w="3544" w:type="dxa"/>
                </w:tcPr>
                <w:p w14:paraId="47511950" w14:textId="53524EB8" w:rsidR="009F7E12" w:rsidRPr="00B90D29" w:rsidRDefault="009F7E12" w:rsidP="00424650">
                  <w:pPr>
                    <w:tabs>
                      <w:tab w:val="left" w:pos="1859"/>
                    </w:tabs>
                    <w:spacing w:before="120" w:after="120"/>
                    <w:jc w:val="center"/>
                    <w:rPr>
                      <w:rFonts w:cs="Arial"/>
                      <w:sz w:val="18"/>
                      <w:szCs w:val="18"/>
                      <w:highlight w:val="yellow"/>
                    </w:rPr>
                  </w:pPr>
                  <w:r>
                    <w:rPr>
                      <w:sz w:val="18"/>
                      <w:highlight w:val="yellow"/>
                    </w:rPr>
                    <w:t xml:space="preserve">[Senior / Manager / Senior Manager </w:t>
                  </w:r>
                  <w:r>
                    <w:rPr>
                      <w:sz w:val="18"/>
                      <w:szCs w:val="18"/>
                      <w:highlight w:val="yellow"/>
                    </w:rPr>
                    <w:br/>
                  </w:r>
                  <w:r>
                    <w:rPr>
                      <w:sz w:val="18"/>
                      <w:highlight w:val="yellow"/>
                    </w:rPr>
                    <w:t>/ Partner]</w:t>
                  </w:r>
                </w:p>
              </w:tc>
              <w:tc>
                <w:tcPr>
                  <w:tcW w:w="2228" w:type="dxa"/>
                </w:tcPr>
                <w:p w14:paraId="0D44F63F" w14:textId="77777777" w:rsidR="009F7E12" w:rsidRPr="00B90D29" w:rsidRDefault="009F7E12" w:rsidP="00537739">
                  <w:pPr>
                    <w:tabs>
                      <w:tab w:val="left" w:pos="1859"/>
                    </w:tabs>
                    <w:spacing w:before="120" w:after="120"/>
                    <w:jc w:val="center"/>
                    <w:rPr>
                      <w:rFonts w:cs="Arial"/>
                      <w:sz w:val="18"/>
                      <w:szCs w:val="18"/>
                      <w:highlight w:val="yellow"/>
                    </w:rPr>
                  </w:pPr>
                  <w:r>
                    <w:rPr>
                      <w:sz w:val="18"/>
                      <w:highlight w:val="yellow"/>
                    </w:rPr>
                    <w:t>[DD MMMM YYYY]</w:t>
                  </w:r>
                </w:p>
              </w:tc>
            </w:tr>
          </w:tbl>
          <w:p w14:paraId="19696529" w14:textId="77777777" w:rsidR="00F37CB4" w:rsidRPr="00B90D29" w:rsidRDefault="00F37CB4" w:rsidP="00B54948">
            <w:pPr>
              <w:tabs>
                <w:tab w:val="left" w:pos="1859"/>
              </w:tabs>
              <w:spacing w:before="120" w:after="120"/>
              <w:rPr>
                <w:rFonts w:cs="Arial"/>
                <w:sz w:val="18"/>
                <w:szCs w:val="18"/>
                <w:lang w:val="de-CH"/>
              </w:rPr>
            </w:pPr>
          </w:p>
        </w:tc>
      </w:tr>
    </w:tbl>
    <w:p w14:paraId="5B96F035" w14:textId="77777777" w:rsidR="00F37CB4" w:rsidRPr="00B90D29" w:rsidRDefault="00F37CB4" w:rsidP="00F37CB4">
      <w:pPr>
        <w:rPr>
          <w:rFonts w:cs="Arial"/>
          <w:szCs w:val="20"/>
          <w:lang w:val="de-CH"/>
        </w:rPr>
      </w:pPr>
    </w:p>
    <w:p w14:paraId="488A0F06" w14:textId="1B329912" w:rsidR="003E1DA2" w:rsidRDefault="006F3170" w:rsidP="002B101C">
      <w:pPr>
        <w:spacing w:before="0" w:after="0"/>
        <w:jc w:val="both"/>
        <w:rPr>
          <w:b/>
        </w:rPr>
      </w:pPr>
      <w:r>
        <w:rPr>
          <w:b/>
        </w:rPr>
        <w:t>This is the standard work programme that is to be implemented for every audit in this field, under the terms of the audit strategy. It is the audit team’s responsibility to adapt the standard work programme to the audited institution’s specific situation (size, business model, organisation, processes, risk exposure etc.). If the specified audit procedures are not carried out in full, the underlying rationale must be explained in the working paper. Audit points marked with an asterisk are not applicable to Category 4 or 5 banks.</w:t>
      </w:r>
    </w:p>
    <w:p w14:paraId="736F36FD" w14:textId="77777777" w:rsidR="003E1DA2" w:rsidRPr="00AA78F7" w:rsidRDefault="003E1DA2" w:rsidP="00ED7CEA">
      <w:pPr>
        <w:rPr>
          <w:rFonts w:cs="Arial"/>
          <w:b/>
          <w:szCs w:val="20"/>
          <w:lang w:val="en-US"/>
        </w:rPr>
      </w:pPr>
    </w:p>
    <w:p w14:paraId="0C9D71A3" w14:textId="77777777" w:rsidR="00594CFF" w:rsidRPr="00B90D29" w:rsidRDefault="00594CFF">
      <w:pPr>
        <w:rPr>
          <w:rFonts w:cs="Arial"/>
          <w:szCs w:val="20"/>
        </w:rPr>
      </w:pPr>
      <w:r>
        <w:br w:type="page"/>
      </w:r>
    </w:p>
    <w:p w14:paraId="0F1D3915" w14:textId="77777777" w:rsidR="00352874" w:rsidRPr="00B90D29" w:rsidRDefault="00352874" w:rsidP="00352874">
      <w:pPr>
        <w:spacing w:line="240" w:lineRule="auto"/>
        <w:rPr>
          <w:rFonts w:cs="Arial"/>
          <w:b/>
        </w:rPr>
      </w:pPr>
      <w:r>
        <w:rPr>
          <w:b/>
        </w:rPr>
        <w:lastRenderedPageBreak/>
        <w:t>Overall conclusion</w:t>
      </w:r>
    </w:p>
    <w:p w14:paraId="6F239D50" w14:textId="77777777" w:rsidR="00352874" w:rsidRPr="00B90D29" w:rsidRDefault="00352874" w:rsidP="00352874">
      <w:pPr>
        <w:spacing w:line="240" w:lineRule="auto"/>
        <w:rPr>
          <w:rFonts w:cs="Arial"/>
          <w:szCs w:val="20"/>
          <w:lang w:val="de-CH"/>
        </w:rPr>
      </w:pPr>
    </w:p>
    <w:tbl>
      <w:tblPr>
        <w:tblStyle w:val="Grilledutableau"/>
        <w:tblW w:w="0" w:type="auto"/>
        <w:tblInd w:w="108" w:type="dxa"/>
        <w:tblLook w:val="04A0" w:firstRow="1" w:lastRow="0" w:firstColumn="1" w:lastColumn="0" w:noHBand="0" w:noVBand="1"/>
      </w:tblPr>
      <w:tblGrid>
        <w:gridCol w:w="2809"/>
        <w:gridCol w:w="11360"/>
      </w:tblGrid>
      <w:tr w:rsidR="0045532C" w:rsidRPr="00B90D29" w14:paraId="4AAB9329" w14:textId="77777777" w:rsidTr="0045532C">
        <w:trPr>
          <w:trHeight w:val="552"/>
          <w:tblHeader/>
        </w:trPr>
        <w:tc>
          <w:tcPr>
            <w:tcW w:w="2835" w:type="dxa"/>
            <w:shd w:val="pct15" w:color="auto" w:fill="auto"/>
          </w:tcPr>
          <w:p w14:paraId="4456F93A" w14:textId="77777777" w:rsidR="0045532C" w:rsidRPr="00B90D29" w:rsidRDefault="0045532C" w:rsidP="000624A4">
            <w:pPr>
              <w:tabs>
                <w:tab w:val="left" w:pos="1418"/>
              </w:tabs>
              <w:rPr>
                <w:rFonts w:cs="Arial"/>
                <w:b/>
                <w:sz w:val="16"/>
                <w:szCs w:val="16"/>
              </w:rPr>
            </w:pPr>
            <w:r>
              <w:rPr>
                <w:b/>
                <w:sz w:val="16"/>
              </w:rPr>
              <w:t>Topic:</w:t>
            </w:r>
          </w:p>
        </w:tc>
        <w:tc>
          <w:tcPr>
            <w:tcW w:w="11482" w:type="dxa"/>
            <w:shd w:val="pct15" w:color="auto" w:fill="auto"/>
          </w:tcPr>
          <w:p w14:paraId="57A406F4" w14:textId="77777777" w:rsidR="0045532C" w:rsidRPr="00B90D29" w:rsidRDefault="0045532C" w:rsidP="000624A4">
            <w:pPr>
              <w:tabs>
                <w:tab w:val="left" w:pos="1859"/>
              </w:tabs>
              <w:rPr>
                <w:rFonts w:cs="Arial"/>
                <w:b/>
                <w:sz w:val="16"/>
                <w:szCs w:val="16"/>
              </w:rPr>
            </w:pPr>
            <w:r>
              <w:rPr>
                <w:b/>
                <w:sz w:val="16"/>
              </w:rPr>
              <w:t>Information/description:</w:t>
            </w:r>
          </w:p>
        </w:tc>
      </w:tr>
      <w:tr w:rsidR="0045532C" w:rsidRPr="00B90D29" w14:paraId="52F2CB26" w14:textId="77777777" w:rsidTr="00FA041D">
        <w:trPr>
          <w:trHeight w:val="2114"/>
        </w:trPr>
        <w:tc>
          <w:tcPr>
            <w:tcW w:w="2835" w:type="dxa"/>
          </w:tcPr>
          <w:p w14:paraId="3339618A" w14:textId="244C362E" w:rsidR="0045532C" w:rsidRPr="00B90D29" w:rsidRDefault="0045532C" w:rsidP="000624A4">
            <w:pPr>
              <w:tabs>
                <w:tab w:val="left" w:pos="1418"/>
              </w:tabs>
              <w:rPr>
                <w:rFonts w:cs="Arial"/>
                <w:sz w:val="16"/>
                <w:szCs w:val="16"/>
              </w:rPr>
            </w:pPr>
            <w:r>
              <w:rPr>
                <w:sz w:val="16"/>
              </w:rPr>
              <w:t>Overall conclusion</w:t>
            </w:r>
          </w:p>
        </w:tc>
        <w:tc>
          <w:tcPr>
            <w:tcW w:w="11482" w:type="dxa"/>
          </w:tcPr>
          <w:p w14:paraId="3B5FB636" w14:textId="77777777" w:rsidR="00FA041D" w:rsidRPr="00B90D29" w:rsidRDefault="00FA041D" w:rsidP="00FA041D">
            <w:pPr>
              <w:rPr>
                <w:rFonts w:cs="Arial"/>
                <w:sz w:val="6"/>
                <w:szCs w:val="6"/>
                <w:highlight w:val="yellow"/>
                <w:lang w:val="de-CH"/>
              </w:rPr>
            </w:pPr>
          </w:p>
          <w:tbl>
            <w:tblPr>
              <w:tblStyle w:val="Grilledutableau"/>
              <w:tblW w:w="0" w:type="auto"/>
              <w:tblLook w:val="04A0" w:firstRow="1" w:lastRow="0" w:firstColumn="1" w:lastColumn="0" w:noHBand="0" w:noVBand="1"/>
            </w:tblPr>
            <w:tblGrid>
              <w:gridCol w:w="5619"/>
              <w:gridCol w:w="5515"/>
            </w:tblGrid>
            <w:tr w:rsidR="00FA041D" w:rsidRPr="00B90D29" w14:paraId="4C6FE485" w14:textId="77777777" w:rsidTr="005654C3">
              <w:tc>
                <w:tcPr>
                  <w:tcW w:w="5733" w:type="dxa"/>
                  <w:shd w:val="clear" w:color="auto" w:fill="D9D9D9" w:themeFill="background1" w:themeFillShade="D9"/>
                  <w:tcMar>
                    <w:left w:w="0" w:type="dxa"/>
                  </w:tcMar>
                </w:tcPr>
                <w:p w14:paraId="61DE0F9B" w14:textId="77777777" w:rsidR="00FA041D" w:rsidRPr="00B90D29" w:rsidRDefault="00FA041D" w:rsidP="005654C3">
                  <w:pPr>
                    <w:tabs>
                      <w:tab w:val="left" w:pos="1859"/>
                    </w:tabs>
                    <w:ind w:left="34"/>
                    <w:rPr>
                      <w:rFonts w:cs="Arial"/>
                      <w:b/>
                      <w:sz w:val="16"/>
                      <w:szCs w:val="16"/>
                    </w:rPr>
                  </w:pPr>
                  <w:r>
                    <w:rPr>
                      <w:b/>
                      <w:sz w:val="16"/>
                    </w:rPr>
                    <w:t>Confirmation in audit report:</w:t>
                  </w:r>
                </w:p>
              </w:tc>
              <w:tc>
                <w:tcPr>
                  <w:tcW w:w="5626" w:type="dxa"/>
                  <w:shd w:val="clear" w:color="auto" w:fill="D9D9D9" w:themeFill="background1" w:themeFillShade="D9"/>
                </w:tcPr>
                <w:p w14:paraId="1F098CEB" w14:textId="77777777" w:rsidR="00FA041D" w:rsidRPr="00B90D29" w:rsidRDefault="00FA041D" w:rsidP="005654C3">
                  <w:pPr>
                    <w:tabs>
                      <w:tab w:val="left" w:pos="1859"/>
                    </w:tabs>
                    <w:rPr>
                      <w:rFonts w:cs="Arial"/>
                      <w:b/>
                      <w:sz w:val="16"/>
                      <w:szCs w:val="16"/>
                    </w:rPr>
                  </w:pPr>
                  <w:r>
                    <w:rPr>
                      <w:b/>
                      <w:sz w:val="16"/>
                    </w:rPr>
                    <w:t>Conclusion:</w:t>
                  </w:r>
                </w:p>
              </w:tc>
            </w:tr>
            <w:tr w:rsidR="00FA041D" w:rsidRPr="00B90D29" w14:paraId="529CB635" w14:textId="77777777" w:rsidTr="005654C3">
              <w:tc>
                <w:tcPr>
                  <w:tcW w:w="5733" w:type="dxa"/>
                  <w:tcMar>
                    <w:left w:w="0" w:type="dxa"/>
                  </w:tcMar>
                </w:tcPr>
                <w:p w14:paraId="7B9E914A" w14:textId="04092ECC" w:rsidR="00FA041D" w:rsidRPr="00B90D29" w:rsidRDefault="00FA041D" w:rsidP="00417322">
                  <w:pPr>
                    <w:tabs>
                      <w:tab w:val="left" w:pos="1859"/>
                    </w:tabs>
                    <w:ind w:left="34"/>
                    <w:rPr>
                      <w:rFonts w:cs="Arial"/>
                      <w:sz w:val="16"/>
                      <w:szCs w:val="16"/>
                    </w:rPr>
                  </w:pPr>
                  <w:r>
                    <w:rPr>
                      <w:sz w:val="16"/>
                    </w:rPr>
                    <w:t>Confirmation that the technical and personnel resources of the compliance function were adequate and it actually assumed responsibility.</w:t>
                  </w:r>
                </w:p>
              </w:tc>
              <w:tc>
                <w:tcPr>
                  <w:tcW w:w="5626" w:type="dxa"/>
                </w:tcPr>
                <w:p w14:paraId="0D38AEF5" w14:textId="77777777" w:rsidR="00FA041D" w:rsidRPr="00B90D29" w:rsidRDefault="00FA041D" w:rsidP="005654C3">
                  <w:pPr>
                    <w:tabs>
                      <w:tab w:val="left" w:pos="1859"/>
                    </w:tabs>
                    <w:rPr>
                      <w:rFonts w:cs="Arial"/>
                      <w:i/>
                      <w:sz w:val="16"/>
                      <w:szCs w:val="16"/>
                    </w:rPr>
                  </w:pPr>
                  <w:r>
                    <w:rPr>
                      <w:b/>
                      <w:bCs/>
                      <w:i/>
                      <w:sz w:val="16"/>
                      <w:highlight w:val="yellow"/>
                    </w:rPr>
                    <w:t>Yes</w:t>
                  </w:r>
                  <w:r>
                    <w:rPr>
                      <w:i/>
                      <w:sz w:val="16"/>
                      <w:highlight w:val="yellow"/>
                    </w:rPr>
                    <w:t xml:space="preserve"> (Audit/critical assessment) / </w:t>
                  </w:r>
                  <w:r>
                    <w:rPr>
                      <w:b/>
                      <w:bCs/>
                      <w:i/>
                      <w:sz w:val="16"/>
                      <w:highlight w:val="yellow"/>
                    </w:rPr>
                    <w:t>No</w:t>
                  </w:r>
                </w:p>
              </w:tc>
            </w:tr>
            <w:tr w:rsidR="00FA041D" w:rsidRPr="00B90D29" w14:paraId="167050CF" w14:textId="77777777" w:rsidTr="005654C3">
              <w:tc>
                <w:tcPr>
                  <w:tcW w:w="5733" w:type="dxa"/>
                  <w:tcMar>
                    <w:left w:w="0" w:type="dxa"/>
                  </w:tcMar>
                </w:tcPr>
                <w:p w14:paraId="6106FAD9" w14:textId="77777777" w:rsidR="00FA041D" w:rsidRPr="00B90D29" w:rsidRDefault="00FA041D" w:rsidP="005654C3">
                  <w:pPr>
                    <w:tabs>
                      <w:tab w:val="left" w:pos="1859"/>
                    </w:tabs>
                    <w:ind w:left="34"/>
                    <w:rPr>
                      <w:rFonts w:cs="Arial"/>
                      <w:sz w:val="16"/>
                      <w:szCs w:val="16"/>
                    </w:rPr>
                  </w:pPr>
                  <w:r>
                    <w:rPr>
                      <w:sz w:val="16"/>
                    </w:rPr>
                    <w:t>Confirmation that the technical and personnel resources of the risk control function were adequate and it actually assumed responsibility.</w:t>
                  </w:r>
                </w:p>
              </w:tc>
              <w:tc>
                <w:tcPr>
                  <w:tcW w:w="5626" w:type="dxa"/>
                </w:tcPr>
                <w:p w14:paraId="63D250BD" w14:textId="77777777" w:rsidR="00FA041D" w:rsidRPr="00B90D29" w:rsidRDefault="00FA041D" w:rsidP="005654C3">
                  <w:pPr>
                    <w:tabs>
                      <w:tab w:val="left" w:pos="1859"/>
                    </w:tabs>
                    <w:rPr>
                      <w:rFonts w:cs="Arial"/>
                      <w:sz w:val="16"/>
                      <w:szCs w:val="16"/>
                    </w:rPr>
                  </w:pPr>
                  <w:r>
                    <w:rPr>
                      <w:b/>
                      <w:bCs/>
                      <w:i/>
                      <w:sz w:val="16"/>
                      <w:highlight w:val="yellow"/>
                    </w:rPr>
                    <w:t>Yes</w:t>
                  </w:r>
                  <w:r>
                    <w:rPr>
                      <w:i/>
                      <w:sz w:val="16"/>
                      <w:highlight w:val="yellow"/>
                    </w:rPr>
                    <w:t xml:space="preserve"> (Audit/critical assessment) / </w:t>
                  </w:r>
                  <w:r>
                    <w:rPr>
                      <w:b/>
                      <w:bCs/>
                      <w:i/>
                      <w:sz w:val="16"/>
                      <w:highlight w:val="yellow"/>
                    </w:rPr>
                    <w:t>No</w:t>
                  </w:r>
                </w:p>
              </w:tc>
            </w:tr>
            <w:tr w:rsidR="00FA041D" w:rsidRPr="00B90D29" w14:paraId="50EB510D" w14:textId="77777777" w:rsidTr="005654C3">
              <w:tc>
                <w:tcPr>
                  <w:tcW w:w="5733" w:type="dxa"/>
                  <w:tcMar>
                    <w:left w:w="0" w:type="dxa"/>
                  </w:tcMar>
                </w:tcPr>
                <w:p w14:paraId="6DD8C91F" w14:textId="44D40C06" w:rsidR="00FA041D" w:rsidRPr="00B90D29" w:rsidRDefault="00FA041D" w:rsidP="005654C3">
                  <w:pPr>
                    <w:tabs>
                      <w:tab w:val="left" w:pos="1859"/>
                    </w:tabs>
                    <w:ind w:left="34"/>
                    <w:rPr>
                      <w:rFonts w:cs="Arial"/>
                      <w:sz w:val="16"/>
                      <w:szCs w:val="16"/>
                    </w:rPr>
                  </w:pPr>
                  <w:r>
                    <w:rPr>
                      <w:sz w:val="16"/>
                    </w:rPr>
                    <w:t>Confirmation that the organisational set-up of the functions and the compensation system did not lead to a conflict of interest.</w:t>
                  </w:r>
                </w:p>
              </w:tc>
              <w:tc>
                <w:tcPr>
                  <w:tcW w:w="5626" w:type="dxa"/>
                </w:tcPr>
                <w:p w14:paraId="30A8A5BF" w14:textId="77777777" w:rsidR="00FA041D" w:rsidRPr="00B90D29" w:rsidRDefault="00FA041D" w:rsidP="005654C3">
                  <w:pPr>
                    <w:tabs>
                      <w:tab w:val="left" w:pos="1859"/>
                    </w:tabs>
                    <w:rPr>
                      <w:rFonts w:cs="Arial"/>
                      <w:sz w:val="16"/>
                      <w:szCs w:val="16"/>
                    </w:rPr>
                  </w:pPr>
                  <w:r>
                    <w:rPr>
                      <w:b/>
                      <w:bCs/>
                      <w:i/>
                      <w:sz w:val="16"/>
                      <w:highlight w:val="yellow"/>
                    </w:rPr>
                    <w:t>Yes</w:t>
                  </w:r>
                  <w:r>
                    <w:rPr>
                      <w:i/>
                      <w:sz w:val="16"/>
                      <w:highlight w:val="yellow"/>
                    </w:rPr>
                    <w:t xml:space="preserve"> (Audit/critical assessment) / </w:t>
                  </w:r>
                  <w:r>
                    <w:rPr>
                      <w:b/>
                      <w:bCs/>
                      <w:i/>
                      <w:sz w:val="16"/>
                      <w:highlight w:val="yellow"/>
                    </w:rPr>
                    <w:t>No</w:t>
                  </w:r>
                </w:p>
              </w:tc>
            </w:tr>
          </w:tbl>
          <w:p w14:paraId="6E913031" w14:textId="77777777" w:rsidR="00FA041D" w:rsidRPr="00E76257" w:rsidRDefault="00FA041D" w:rsidP="000624A4">
            <w:pPr>
              <w:tabs>
                <w:tab w:val="left" w:pos="1859"/>
              </w:tabs>
              <w:rPr>
                <w:rFonts w:cs="Arial"/>
                <w:sz w:val="16"/>
                <w:szCs w:val="16"/>
                <w:lang w:val="en-US"/>
              </w:rPr>
            </w:pPr>
          </w:p>
        </w:tc>
      </w:tr>
      <w:tr w:rsidR="0045532C" w:rsidRPr="00B90D29" w14:paraId="7ECA7E06" w14:textId="77777777" w:rsidTr="0045532C">
        <w:trPr>
          <w:trHeight w:val="561"/>
        </w:trPr>
        <w:tc>
          <w:tcPr>
            <w:tcW w:w="2835" w:type="dxa"/>
          </w:tcPr>
          <w:p w14:paraId="47685AAE" w14:textId="77777777" w:rsidR="0045532C" w:rsidRPr="0069241B" w:rsidRDefault="00B90D29" w:rsidP="000624A4">
            <w:pPr>
              <w:tabs>
                <w:tab w:val="left" w:pos="1418"/>
              </w:tabs>
              <w:rPr>
                <w:rFonts w:cs="Arial"/>
                <w:sz w:val="16"/>
                <w:szCs w:val="16"/>
              </w:rPr>
            </w:pPr>
            <w:r w:rsidRPr="0069241B">
              <w:rPr>
                <w:sz w:val="16"/>
                <w:szCs w:val="16"/>
              </w:rPr>
              <w:t>Summary of significant findings</w:t>
            </w:r>
            <w:r w:rsidRPr="0069241B">
              <w:rPr>
                <w:sz w:val="16"/>
                <w:szCs w:val="16"/>
              </w:rPr>
              <w:br/>
              <w:t>(For details, see below.)</w:t>
            </w:r>
          </w:p>
        </w:tc>
        <w:tc>
          <w:tcPr>
            <w:tcW w:w="11482" w:type="dxa"/>
          </w:tcPr>
          <w:p w14:paraId="096B91F1" w14:textId="77777777" w:rsidR="0045532C" w:rsidRPr="00B90D29" w:rsidRDefault="0045532C" w:rsidP="00B90D29">
            <w:pPr>
              <w:tabs>
                <w:tab w:val="left" w:pos="1859"/>
              </w:tabs>
              <w:rPr>
                <w:rFonts w:cs="Arial"/>
                <w:sz w:val="16"/>
                <w:szCs w:val="16"/>
                <w:highlight w:val="yellow"/>
              </w:rPr>
            </w:pPr>
            <w:r>
              <w:rPr>
                <w:sz w:val="16"/>
                <w:highlight w:val="yellow"/>
              </w:rPr>
              <w:t>[Summary of significant findings]</w:t>
            </w:r>
          </w:p>
        </w:tc>
      </w:tr>
      <w:tr w:rsidR="0045532C" w:rsidRPr="00B90D29" w14:paraId="3661E97B" w14:textId="77777777" w:rsidTr="0045532C">
        <w:trPr>
          <w:trHeight w:val="561"/>
        </w:trPr>
        <w:tc>
          <w:tcPr>
            <w:tcW w:w="2835" w:type="dxa"/>
          </w:tcPr>
          <w:p w14:paraId="3951A437" w14:textId="7FF60D43" w:rsidR="0045532C" w:rsidRPr="00B90D29" w:rsidRDefault="0045532C" w:rsidP="00EB55A5">
            <w:pPr>
              <w:tabs>
                <w:tab w:val="left" w:pos="1418"/>
              </w:tabs>
              <w:rPr>
                <w:rFonts w:cs="Arial"/>
                <w:sz w:val="16"/>
                <w:szCs w:val="16"/>
              </w:rPr>
            </w:pPr>
            <w:r>
              <w:rPr>
                <w:sz w:val="16"/>
              </w:rPr>
              <w:t>Audit areas, results and work performed by Internal Audit relied on by the audit firm (including audit firm’s own assessment).</w:t>
            </w:r>
          </w:p>
        </w:tc>
        <w:tc>
          <w:tcPr>
            <w:tcW w:w="11482" w:type="dxa"/>
          </w:tcPr>
          <w:p w14:paraId="0C15AB86" w14:textId="77777777" w:rsidR="0045532C" w:rsidRPr="00B90D29" w:rsidRDefault="0045532C" w:rsidP="009A0D29">
            <w:pPr>
              <w:rPr>
                <w:rFonts w:cs="Arial"/>
                <w:sz w:val="16"/>
                <w:szCs w:val="16"/>
                <w:highlight w:val="yellow"/>
              </w:rPr>
            </w:pPr>
            <w:r>
              <w:rPr>
                <w:sz w:val="16"/>
                <w:highlight w:val="yellow"/>
              </w:rPr>
              <w:t>[Description]</w:t>
            </w:r>
          </w:p>
        </w:tc>
      </w:tr>
    </w:tbl>
    <w:p w14:paraId="6546D731" w14:textId="77777777" w:rsidR="00FC6E90" w:rsidRPr="00B90D29" w:rsidRDefault="00FC6E90">
      <w:pPr>
        <w:rPr>
          <w:rFonts w:cs="Arial"/>
        </w:rPr>
      </w:pPr>
      <w:r>
        <w:br w:type="page"/>
      </w:r>
    </w:p>
    <w:p w14:paraId="69BA65E3" w14:textId="032A4D5C" w:rsidR="00352874" w:rsidRPr="00B90D29" w:rsidRDefault="002B5717" w:rsidP="00352874">
      <w:pPr>
        <w:spacing w:line="240" w:lineRule="auto"/>
        <w:rPr>
          <w:rFonts w:cs="Arial"/>
          <w:b/>
          <w:u w:val="single"/>
        </w:rPr>
      </w:pPr>
      <w:r>
        <w:rPr>
          <w:b/>
        </w:rPr>
        <w:lastRenderedPageBreak/>
        <w:t xml:space="preserve">Work programme – </w:t>
      </w:r>
      <w:r>
        <w:rPr>
          <w:b/>
          <w:u w:val="single"/>
        </w:rPr>
        <w:t>Compliance function</w:t>
      </w:r>
    </w:p>
    <w:p w14:paraId="2EE3B5AB" w14:textId="77777777" w:rsidR="00DB7CF3" w:rsidRPr="00B90D29" w:rsidRDefault="00DB7CF3" w:rsidP="00352874">
      <w:pPr>
        <w:spacing w:line="240" w:lineRule="auto"/>
        <w:rPr>
          <w:rFonts w:cs="Arial"/>
          <w:b/>
          <w:lang w:val="de-CH"/>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bottom w:w="85" w:type="dxa"/>
          <w:right w:w="57" w:type="dxa"/>
        </w:tblCellMar>
        <w:tblLook w:val="00A0" w:firstRow="1" w:lastRow="0" w:firstColumn="1" w:lastColumn="0" w:noHBand="0" w:noVBand="0"/>
      </w:tblPr>
      <w:tblGrid>
        <w:gridCol w:w="531"/>
        <w:gridCol w:w="36"/>
        <w:gridCol w:w="1560"/>
        <w:gridCol w:w="3685"/>
        <w:gridCol w:w="3827"/>
        <w:gridCol w:w="3686"/>
        <w:gridCol w:w="992"/>
      </w:tblGrid>
      <w:tr w:rsidR="00352874" w:rsidRPr="004335FA" w14:paraId="36CEB0CE" w14:textId="77777777" w:rsidTr="008439E0">
        <w:trPr>
          <w:tblHeader/>
        </w:trPr>
        <w:tc>
          <w:tcPr>
            <w:tcW w:w="567" w:type="dxa"/>
            <w:gridSpan w:val="2"/>
            <w:tcBorders>
              <w:bottom w:val="single" w:sz="4" w:space="0" w:color="auto"/>
            </w:tcBorders>
            <w:shd w:val="pct20" w:color="auto" w:fill="auto"/>
          </w:tcPr>
          <w:p w14:paraId="70BD32CA" w14:textId="3E1EB3C0" w:rsidR="00352874" w:rsidRPr="004335FA" w:rsidRDefault="00352874" w:rsidP="000624A4">
            <w:pPr>
              <w:spacing w:line="240" w:lineRule="auto"/>
              <w:rPr>
                <w:rFonts w:cs="Arial"/>
                <w:b/>
                <w:sz w:val="16"/>
                <w:szCs w:val="16"/>
              </w:rPr>
            </w:pPr>
            <w:r w:rsidRPr="004335FA">
              <w:rPr>
                <w:b/>
                <w:sz w:val="16"/>
                <w:szCs w:val="16"/>
              </w:rPr>
              <w:t>No.</w:t>
            </w:r>
          </w:p>
        </w:tc>
        <w:tc>
          <w:tcPr>
            <w:tcW w:w="1560" w:type="dxa"/>
            <w:tcBorders>
              <w:bottom w:val="single" w:sz="4" w:space="0" w:color="auto"/>
            </w:tcBorders>
            <w:shd w:val="pct20" w:color="auto" w:fill="auto"/>
          </w:tcPr>
          <w:p w14:paraId="25526F23" w14:textId="77777777" w:rsidR="00352874" w:rsidRPr="004335FA" w:rsidRDefault="00352874" w:rsidP="000624A4">
            <w:pPr>
              <w:spacing w:line="240" w:lineRule="auto"/>
              <w:rPr>
                <w:rFonts w:cs="Arial"/>
                <w:b/>
                <w:sz w:val="16"/>
                <w:szCs w:val="16"/>
              </w:rPr>
            </w:pPr>
            <w:r w:rsidRPr="004335FA">
              <w:rPr>
                <w:b/>
                <w:sz w:val="16"/>
                <w:szCs w:val="16"/>
              </w:rPr>
              <w:t>Topic:</w:t>
            </w:r>
          </w:p>
        </w:tc>
        <w:tc>
          <w:tcPr>
            <w:tcW w:w="3685" w:type="dxa"/>
            <w:tcBorders>
              <w:bottom w:val="single" w:sz="4" w:space="0" w:color="auto"/>
            </w:tcBorders>
            <w:shd w:val="pct20" w:color="auto" w:fill="auto"/>
          </w:tcPr>
          <w:p w14:paraId="667E6003" w14:textId="1F990B1D" w:rsidR="00352874" w:rsidRPr="004335FA" w:rsidRDefault="00DB7CF3" w:rsidP="00DB7CF3">
            <w:pPr>
              <w:spacing w:line="240" w:lineRule="auto"/>
              <w:rPr>
                <w:rFonts w:cs="Arial"/>
                <w:b/>
                <w:sz w:val="16"/>
                <w:szCs w:val="16"/>
              </w:rPr>
            </w:pPr>
            <w:r w:rsidRPr="004335FA">
              <w:rPr>
                <w:b/>
                <w:sz w:val="16"/>
                <w:szCs w:val="16"/>
              </w:rPr>
              <w:t xml:space="preserve">Procedures for audit depth </w:t>
            </w:r>
            <w:r w:rsidRPr="004335FA">
              <w:rPr>
                <w:b/>
                <w:sz w:val="16"/>
                <w:szCs w:val="16"/>
              </w:rPr>
              <w:br/>
              <w:t>“critical assessment”:</w:t>
            </w:r>
          </w:p>
        </w:tc>
        <w:tc>
          <w:tcPr>
            <w:tcW w:w="3827" w:type="dxa"/>
            <w:tcBorders>
              <w:bottom w:val="single" w:sz="4" w:space="0" w:color="auto"/>
            </w:tcBorders>
            <w:shd w:val="pct20" w:color="auto" w:fill="auto"/>
          </w:tcPr>
          <w:p w14:paraId="19364C2D" w14:textId="4D4C09F6" w:rsidR="00352874" w:rsidRPr="004335FA" w:rsidRDefault="00EF25FA" w:rsidP="008C2414">
            <w:pPr>
              <w:spacing w:line="240" w:lineRule="auto"/>
              <w:rPr>
                <w:rFonts w:cs="Arial"/>
                <w:b/>
                <w:sz w:val="16"/>
                <w:szCs w:val="16"/>
              </w:rPr>
            </w:pPr>
            <w:r w:rsidRPr="004335FA">
              <w:rPr>
                <w:b/>
                <w:sz w:val="16"/>
                <w:szCs w:val="16"/>
                <w:u w:val="single"/>
              </w:rPr>
              <w:t>Additional</w:t>
            </w:r>
            <w:r w:rsidRPr="004335FA">
              <w:rPr>
                <w:b/>
                <w:sz w:val="16"/>
                <w:szCs w:val="16"/>
              </w:rPr>
              <w:t xml:space="preserve"> procedures for audit depth “audit”:</w:t>
            </w:r>
          </w:p>
        </w:tc>
        <w:tc>
          <w:tcPr>
            <w:tcW w:w="3686" w:type="dxa"/>
            <w:tcBorders>
              <w:bottom w:val="single" w:sz="4" w:space="0" w:color="auto"/>
            </w:tcBorders>
            <w:shd w:val="pct20" w:color="auto" w:fill="auto"/>
          </w:tcPr>
          <w:p w14:paraId="53152234" w14:textId="12F3C65D" w:rsidR="00352874" w:rsidRPr="004335FA" w:rsidRDefault="00440BBC" w:rsidP="001E54A7">
            <w:pPr>
              <w:spacing w:line="240" w:lineRule="auto"/>
              <w:rPr>
                <w:rFonts w:cs="Arial"/>
                <w:b/>
                <w:sz w:val="16"/>
                <w:szCs w:val="16"/>
              </w:rPr>
            </w:pPr>
            <w:r w:rsidRPr="004335FA">
              <w:rPr>
                <w:b/>
                <w:sz w:val="16"/>
                <w:szCs w:val="16"/>
              </w:rPr>
              <w:t>Procedures performed/findings</w:t>
            </w:r>
          </w:p>
        </w:tc>
        <w:tc>
          <w:tcPr>
            <w:tcW w:w="992" w:type="dxa"/>
            <w:tcBorders>
              <w:bottom w:val="single" w:sz="4" w:space="0" w:color="auto"/>
            </w:tcBorders>
            <w:shd w:val="pct20" w:color="auto" w:fill="auto"/>
          </w:tcPr>
          <w:p w14:paraId="6CCE0625" w14:textId="77777777" w:rsidR="00352874" w:rsidRPr="004335FA" w:rsidRDefault="00352874" w:rsidP="000624A4">
            <w:pPr>
              <w:spacing w:line="240" w:lineRule="auto"/>
              <w:rPr>
                <w:rFonts w:cs="Arial"/>
                <w:b/>
                <w:sz w:val="16"/>
                <w:szCs w:val="16"/>
              </w:rPr>
            </w:pPr>
            <w:r w:rsidRPr="004335FA">
              <w:rPr>
                <w:b/>
                <w:sz w:val="16"/>
                <w:szCs w:val="16"/>
              </w:rPr>
              <w:t>WP ref.:</w:t>
            </w:r>
          </w:p>
        </w:tc>
      </w:tr>
      <w:tr w:rsidR="00FC6E90" w:rsidRPr="00117A16" w14:paraId="00144C12" w14:textId="77777777" w:rsidTr="008439E0">
        <w:tc>
          <w:tcPr>
            <w:tcW w:w="14317" w:type="dxa"/>
            <w:gridSpan w:val="7"/>
            <w:shd w:val="pct10" w:color="auto" w:fill="auto"/>
          </w:tcPr>
          <w:p w14:paraId="32618FF3" w14:textId="68C31551" w:rsidR="00F6760D" w:rsidRPr="004335FA" w:rsidRDefault="00FC6E90" w:rsidP="00F6760D">
            <w:pPr>
              <w:spacing w:line="240" w:lineRule="auto"/>
              <w:rPr>
                <w:rFonts w:cs="Arial"/>
                <w:i/>
                <w:sz w:val="16"/>
                <w:szCs w:val="16"/>
              </w:rPr>
            </w:pPr>
            <w:r w:rsidRPr="004335FA">
              <w:rPr>
                <w:i/>
                <w:sz w:val="16"/>
                <w:szCs w:val="16"/>
              </w:rPr>
              <w:t>“Confirmation that the technical and personnel resources of the compliance function were adequate and it actually assumed responsibility”.</w:t>
            </w:r>
          </w:p>
          <w:p w14:paraId="63DC3132" w14:textId="357EF7BF" w:rsidR="00F6760D" w:rsidRPr="00E76257" w:rsidRDefault="00FC6E90" w:rsidP="00F6760D">
            <w:pPr>
              <w:spacing w:line="240" w:lineRule="auto"/>
              <w:rPr>
                <w:rFonts w:cs="Arial"/>
                <w:i/>
                <w:sz w:val="16"/>
                <w:szCs w:val="16"/>
                <w:lang w:val="de-CH"/>
              </w:rPr>
            </w:pPr>
            <w:r w:rsidRPr="00E76257">
              <w:rPr>
                <w:i/>
                <w:sz w:val="16"/>
                <w:szCs w:val="16"/>
                <w:lang w:val="de-CH"/>
              </w:rPr>
              <w:t>„Bestätigung, dass die technischen und personellen Ressourcen bei der Funktion Compliance ausreichend waren und dass diese ihre Verantwortung effektiv wahrgenommen hat“.</w:t>
            </w:r>
          </w:p>
          <w:p w14:paraId="115835CA" w14:textId="2EC1BCCE" w:rsidR="00FC6E90" w:rsidRPr="00E76257" w:rsidRDefault="00FC6E90" w:rsidP="00F6760D">
            <w:pPr>
              <w:spacing w:line="240" w:lineRule="auto"/>
              <w:rPr>
                <w:rFonts w:cs="Arial"/>
                <w:i/>
                <w:sz w:val="16"/>
                <w:szCs w:val="16"/>
                <w:lang w:val="fr-CH"/>
              </w:rPr>
            </w:pPr>
            <w:r w:rsidRPr="00E76257">
              <w:rPr>
                <w:i/>
                <w:sz w:val="16"/>
                <w:szCs w:val="16"/>
                <w:lang w:val="fr-CH"/>
              </w:rPr>
              <w:t>„Confirmation que les ressources techniques et personnelles de la fonction de compliance étaient suffisantes et qu’elle a assumé effectivement ses responsabilités“.</w:t>
            </w:r>
          </w:p>
        </w:tc>
      </w:tr>
      <w:tr w:rsidR="00993463" w:rsidRPr="004335FA" w14:paraId="6C9350FF" w14:textId="77777777" w:rsidTr="008439E0">
        <w:tc>
          <w:tcPr>
            <w:tcW w:w="567" w:type="dxa"/>
            <w:gridSpan w:val="2"/>
            <w:shd w:val="clear" w:color="auto" w:fill="auto"/>
          </w:tcPr>
          <w:p w14:paraId="25B6FF2B" w14:textId="1D67CFE8" w:rsidR="00993463" w:rsidRPr="004335FA" w:rsidRDefault="00993463" w:rsidP="000624A4">
            <w:pPr>
              <w:spacing w:line="240" w:lineRule="auto"/>
              <w:rPr>
                <w:rFonts w:cs="Arial"/>
                <w:sz w:val="16"/>
                <w:szCs w:val="16"/>
                <w:lang w:val="fr-CH"/>
              </w:rPr>
            </w:pPr>
          </w:p>
        </w:tc>
        <w:tc>
          <w:tcPr>
            <w:tcW w:w="1560" w:type="dxa"/>
            <w:vMerge w:val="restart"/>
            <w:shd w:val="clear" w:color="auto" w:fill="auto"/>
          </w:tcPr>
          <w:p w14:paraId="7867EA0A" w14:textId="408FEEFF" w:rsidR="00993463" w:rsidRPr="004335FA" w:rsidRDefault="00993463" w:rsidP="00C309E9">
            <w:pPr>
              <w:spacing w:line="240" w:lineRule="auto"/>
              <w:rPr>
                <w:rFonts w:cs="Arial"/>
                <w:b/>
                <w:sz w:val="16"/>
                <w:szCs w:val="16"/>
              </w:rPr>
            </w:pPr>
            <w:r w:rsidRPr="004335FA">
              <w:rPr>
                <w:b/>
                <w:sz w:val="16"/>
                <w:szCs w:val="16"/>
              </w:rPr>
              <w:t>Personnel resources</w:t>
            </w:r>
          </w:p>
        </w:tc>
        <w:tc>
          <w:tcPr>
            <w:tcW w:w="3685" w:type="dxa"/>
            <w:shd w:val="clear" w:color="auto" w:fill="auto"/>
          </w:tcPr>
          <w:p w14:paraId="6A56A682" w14:textId="4CDA582C" w:rsidR="00993463" w:rsidRPr="004335FA" w:rsidRDefault="00993463" w:rsidP="00642878">
            <w:pPr>
              <w:spacing w:line="240" w:lineRule="auto"/>
              <w:rPr>
                <w:sz w:val="16"/>
                <w:szCs w:val="16"/>
              </w:rPr>
            </w:pPr>
            <w:r w:rsidRPr="004335FA">
              <w:rPr>
                <w:i/>
                <w:sz w:val="16"/>
                <w:szCs w:val="16"/>
              </w:rPr>
              <w:t xml:space="preserve">Assess whether the personnel resources of the compliance function are adequate considering the size, business and organisational complexity and the compliance risk of the institution (margin </w:t>
            </w:r>
            <w:r w:rsidR="00E76257">
              <w:rPr>
                <w:i/>
                <w:sz w:val="16"/>
                <w:szCs w:val="16"/>
              </w:rPr>
              <w:t xml:space="preserve">no. </w:t>
            </w:r>
            <w:r w:rsidRPr="004335FA">
              <w:rPr>
                <w:i/>
                <w:sz w:val="16"/>
                <w:szCs w:val="16"/>
              </w:rPr>
              <w:t>64 FINMA Circ. 17/1), specifically:</w:t>
            </w:r>
          </w:p>
        </w:tc>
        <w:tc>
          <w:tcPr>
            <w:tcW w:w="3827" w:type="dxa"/>
            <w:shd w:val="clear" w:color="auto" w:fill="auto"/>
          </w:tcPr>
          <w:p w14:paraId="193EBFEA" w14:textId="718E364D" w:rsidR="00993463" w:rsidRPr="00E76257" w:rsidRDefault="00993463" w:rsidP="00755BF6">
            <w:pPr>
              <w:spacing w:line="240" w:lineRule="auto"/>
              <w:rPr>
                <w:rFonts w:cs="Arial"/>
                <w:sz w:val="16"/>
                <w:szCs w:val="16"/>
                <w:lang w:val="en-US"/>
              </w:rPr>
            </w:pPr>
          </w:p>
        </w:tc>
        <w:tc>
          <w:tcPr>
            <w:tcW w:w="3686" w:type="dxa"/>
            <w:shd w:val="clear" w:color="auto" w:fill="auto"/>
          </w:tcPr>
          <w:p w14:paraId="1755430F" w14:textId="77777777" w:rsidR="00993463" w:rsidRPr="00E76257" w:rsidRDefault="00993463" w:rsidP="000624A4">
            <w:pPr>
              <w:spacing w:line="240" w:lineRule="auto"/>
              <w:rPr>
                <w:rFonts w:cs="Arial"/>
                <w:sz w:val="16"/>
                <w:szCs w:val="16"/>
                <w:lang w:val="en-US"/>
              </w:rPr>
            </w:pPr>
          </w:p>
        </w:tc>
        <w:tc>
          <w:tcPr>
            <w:tcW w:w="992" w:type="dxa"/>
            <w:shd w:val="clear" w:color="auto" w:fill="auto"/>
          </w:tcPr>
          <w:p w14:paraId="3CFA6221" w14:textId="77777777" w:rsidR="00993463" w:rsidRPr="00E76257" w:rsidRDefault="00993463" w:rsidP="000624A4">
            <w:pPr>
              <w:spacing w:line="240" w:lineRule="auto"/>
              <w:rPr>
                <w:rFonts w:cs="Arial"/>
                <w:sz w:val="16"/>
                <w:szCs w:val="16"/>
                <w:lang w:val="en-US"/>
              </w:rPr>
            </w:pPr>
          </w:p>
        </w:tc>
      </w:tr>
      <w:tr w:rsidR="00993463" w:rsidRPr="004335FA" w14:paraId="327B22F5" w14:textId="77777777" w:rsidTr="008439E0">
        <w:tc>
          <w:tcPr>
            <w:tcW w:w="567" w:type="dxa"/>
            <w:gridSpan w:val="2"/>
            <w:shd w:val="clear" w:color="auto" w:fill="auto"/>
          </w:tcPr>
          <w:p w14:paraId="6A972BA3" w14:textId="36C1F3F9" w:rsidR="00993463" w:rsidRPr="00E76257" w:rsidRDefault="00993463" w:rsidP="00F408E8">
            <w:pPr>
              <w:spacing w:line="240" w:lineRule="auto"/>
              <w:rPr>
                <w:rFonts w:cs="Arial"/>
                <w:sz w:val="16"/>
                <w:szCs w:val="16"/>
                <w:lang w:val="en-US"/>
              </w:rPr>
            </w:pPr>
          </w:p>
        </w:tc>
        <w:tc>
          <w:tcPr>
            <w:tcW w:w="1560" w:type="dxa"/>
            <w:vMerge/>
            <w:shd w:val="clear" w:color="auto" w:fill="auto"/>
          </w:tcPr>
          <w:p w14:paraId="447206B9" w14:textId="77777777" w:rsidR="00993463" w:rsidRPr="00E76257" w:rsidRDefault="00993463" w:rsidP="008740C8">
            <w:pPr>
              <w:spacing w:line="240" w:lineRule="auto"/>
              <w:rPr>
                <w:rFonts w:cs="Arial"/>
                <w:b/>
                <w:sz w:val="16"/>
                <w:szCs w:val="16"/>
                <w:lang w:val="en-US"/>
              </w:rPr>
            </w:pPr>
          </w:p>
        </w:tc>
        <w:tc>
          <w:tcPr>
            <w:tcW w:w="3685" w:type="dxa"/>
            <w:shd w:val="clear" w:color="auto" w:fill="auto"/>
          </w:tcPr>
          <w:p w14:paraId="6478DC31" w14:textId="7779FFB8" w:rsidR="00993463" w:rsidRPr="004335FA" w:rsidRDefault="00993463" w:rsidP="002B101C">
            <w:pPr>
              <w:pStyle w:val="Bullet"/>
              <w:numPr>
                <w:ilvl w:val="0"/>
                <w:numId w:val="0"/>
              </w:numPr>
              <w:ind w:left="34"/>
            </w:pPr>
            <w:r w:rsidRPr="004335FA">
              <w:t>Obtain a basic understanding of the institution’s compliance function, the number of its employees and the allocated tasks.</w:t>
            </w:r>
          </w:p>
        </w:tc>
        <w:tc>
          <w:tcPr>
            <w:tcW w:w="3827" w:type="dxa"/>
            <w:shd w:val="clear" w:color="auto" w:fill="auto"/>
          </w:tcPr>
          <w:p w14:paraId="0BA44249" w14:textId="77777777" w:rsidR="00993463" w:rsidRPr="00E76257" w:rsidRDefault="00993463" w:rsidP="00415624">
            <w:pPr>
              <w:pStyle w:val="Bullet"/>
              <w:numPr>
                <w:ilvl w:val="0"/>
                <w:numId w:val="0"/>
              </w:numPr>
              <w:ind w:left="33"/>
              <w:rPr>
                <w:lang w:val="en-US"/>
              </w:rPr>
            </w:pPr>
          </w:p>
        </w:tc>
        <w:tc>
          <w:tcPr>
            <w:tcW w:w="3686" w:type="dxa"/>
            <w:shd w:val="clear" w:color="auto" w:fill="auto"/>
          </w:tcPr>
          <w:p w14:paraId="378F8F03" w14:textId="77777777" w:rsidR="00993463" w:rsidRPr="00E76257" w:rsidRDefault="00993463" w:rsidP="000624A4">
            <w:pPr>
              <w:spacing w:line="240" w:lineRule="auto"/>
              <w:rPr>
                <w:rFonts w:cs="Arial"/>
                <w:sz w:val="16"/>
                <w:szCs w:val="16"/>
                <w:lang w:val="en-US"/>
              </w:rPr>
            </w:pPr>
          </w:p>
        </w:tc>
        <w:tc>
          <w:tcPr>
            <w:tcW w:w="992" w:type="dxa"/>
            <w:shd w:val="clear" w:color="auto" w:fill="auto"/>
          </w:tcPr>
          <w:p w14:paraId="196E2B2D" w14:textId="77777777" w:rsidR="00993463" w:rsidRPr="00E76257" w:rsidRDefault="00993463" w:rsidP="000624A4">
            <w:pPr>
              <w:spacing w:line="240" w:lineRule="auto"/>
              <w:rPr>
                <w:rFonts w:cs="Arial"/>
                <w:sz w:val="16"/>
                <w:szCs w:val="16"/>
                <w:lang w:val="en-US"/>
              </w:rPr>
            </w:pPr>
          </w:p>
        </w:tc>
      </w:tr>
      <w:tr w:rsidR="00993463" w:rsidRPr="004335FA" w14:paraId="71D17C11" w14:textId="77777777" w:rsidTr="008439E0">
        <w:tc>
          <w:tcPr>
            <w:tcW w:w="567" w:type="dxa"/>
            <w:gridSpan w:val="2"/>
            <w:shd w:val="clear" w:color="auto" w:fill="auto"/>
          </w:tcPr>
          <w:p w14:paraId="38F8E107" w14:textId="6642B010" w:rsidR="00993463" w:rsidRPr="00E76257" w:rsidRDefault="00993463" w:rsidP="000624A4">
            <w:pPr>
              <w:spacing w:line="240" w:lineRule="auto"/>
              <w:rPr>
                <w:rFonts w:cs="Arial"/>
                <w:sz w:val="16"/>
                <w:szCs w:val="16"/>
                <w:lang w:val="en-US"/>
              </w:rPr>
            </w:pPr>
          </w:p>
        </w:tc>
        <w:tc>
          <w:tcPr>
            <w:tcW w:w="1560" w:type="dxa"/>
            <w:vMerge/>
            <w:shd w:val="clear" w:color="auto" w:fill="auto"/>
          </w:tcPr>
          <w:p w14:paraId="3EDDA315" w14:textId="77777777" w:rsidR="00993463" w:rsidRPr="00E76257" w:rsidRDefault="00993463" w:rsidP="008740C8">
            <w:pPr>
              <w:spacing w:line="240" w:lineRule="auto"/>
              <w:rPr>
                <w:rFonts w:cs="Arial"/>
                <w:b/>
                <w:sz w:val="16"/>
                <w:szCs w:val="16"/>
                <w:lang w:val="en-US"/>
              </w:rPr>
            </w:pPr>
          </w:p>
        </w:tc>
        <w:tc>
          <w:tcPr>
            <w:tcW w:w="3685" w:type="dxa"/>
            <w:shd w:val="clear" w:color="auto" w:fill="auto"/>
          </w:tcPr>
          <w:p w14:paraId="6A7D8741" w14:textId="4A9067E5" w:rsidR="00CD69D5" w:rsidRPr="004335FA" w:rsidRDefault="00993463" w:rsidP="00CD69D5">
            <w:pPr>
              <w:pStyle w:val="Bullet"/>
              <w:numPr>
                <w:ilvl w:val="0"/>
                <w:numId w:val="0"/>
              </w:numPr>
              <w:ind w:left="33"/>
            </w:pPr>
            <w:r w:rsidRPr="004335FA">
              <w:t>Obtain for example the CVs and job descriptions of key persons/employees of the compliance function and assess their know-how.</w:t>
            </w:r>
          </w:p>
        </w:tc>
        <w:tc>
          <w:tcPr>
            <w:tcW w:w="3827" w:type="dxa"/>
            <w:shd w:val="clear" w:color="auto" w:fill="auto"/>
          </w:tcPr>
          <w:p w14:paraId="6CBABBB3" w14:textId="77777777" w:rsidR="00993463" w:rsidRPr="00E76257" w:rsidRDefault="00993463" w:rsidP="00415624">
            <w:pPr>
              <w:pStyle w:val="Bullet"/>
              <w:numPr>
                <w:ilvl w:val="0"/>
                <w:numId w:val="0"/>
              </w:numPr>
              <w:ind w:left="33"/>
              <w:rPr>
                <w:lang w:val="en-US"/>
              </w:rPr>
            </w:pPr>
          </w:p>
        </w:tc>
        <w:tc>
          <w:tcPr>
            <w:tcW w:w="3686" w:type="dxa"/>
            <w:shd w:val="clear" w:color="auto" w:fill="auto"/>
          </w:tcPr>
          <w:p w14:paraId="52BFC23B" w14:textId="77777777" w:rsidR="00993463" w:rsidRPr="00E76257" w:rsidRDefault="00993463" w:rsidP="000624A4">
            <w:pPr>
              <w:spacing w:line="240" w:lineRule="auto"/>
              <w:rPr>
                <w:rFonts w:cs="Arial"/>
                <w:sz w:val="16"/>
                <w:szCs w:val="16"/>
                <w:lang w:val="en-US"/>
              </w:rPr>
            </w:pPr>
          </w:p>
        </w:tc>
        <w:tc>
          <w:tcPr>
            <w:tcW w:w="992" w:type="dxa"/>
            <w:shd w:val="clear" w:color="auto" w:fill="auto"/>
          </w:tcPr>
          <w:p w14:paraId="218B232F" w14:textId="77777777" w:rsidR="00993463" w:rsidRPr="00E76257" w:rsidRDefault="00993463" w:rsidP="000624A4">
            <w:pPr>
              <w:spacing w:line="240" w:lineRule="auto"/>
              <w:rPr>
                <w:rFonts w:cs="Arial"/>
                <w:sz w:val="16"/>
                <w:szCs w:val="16"/>
                <w:lang w:val="en-US"/>
              </w:rPr>
            </w:pPr>
          </w:p>
        </w:tc>
      </w:tr>
      <w:tr w:rsidR="00440BBC" w:rsidRPr="004335FA" w14:paraId="71A082AA" w14:textId="77777777" w:rsidTr="008439E0">
        <w:tc>
          <w:tcPr>
            <w:tcW w:w="567" w:type="dxa"/>
            <w:gridSpan w:val="2"/>
            <w:shd w:val="clear" w:color="auto" w:fill="auto"/>
          </w:tcPr>
          <w:p w14:paraId="0C9188A6" w14:textId="27693041" w:rsidR="00440BBC" w:rsidRPr="00E76257" w:rsidRDefault="00440BBC" w:rsidP="000624A4">
            <w:pPr>
              <w:spacing w:line="240" w:lineRule="auto"/>
              <w:rPr>
                <w:rFonts w:cs="Arial"/>
                <w:sz w:val="16"/>
                <w:szCs w:val="16"/>
                <w:lang w:val="en-US"/>
              </w:rPr>
            </w:pPr>
          </w:p>
        </w:tc>
        <w:tc>
          <w:tcPr>
            <w:tcW w:w="1560" w:type="dxa"/>
            <w:vMerge w:val="restart"/>
            <w:shd w:val="clear" w:color="auto" w:fill="auto"/>
          </w:tcPr>
          <w:p w14:paraId="4633EE25" w14:textId="77777777" w:rsidR="00440BBC" w:rsidRPr="004335FA" w:rsidRDefault="00440BBC" w:rsidP="00DB7CF3">
            <w:pPr>
              <w:spacing w:line="240" w:lineRule="auto"/>
              <w:rPr>
                <w:rFonts w:cs="Arial"/>
                <w:b/>
                <w:sz w:val="16"/>
                <w:szCs w:val="16"/>
              </w:rPr>
            </w:pPr>
            <w:r w:rsidRPr="004335FA">
              <w:rPr>
                <w:b/>
                <w:sz w:val="16"/>
                <w:szCs w:val="16"/>
              </w:rPr>
              <w:t>Technical</w:t>
            </w:r>
            <w:r w:rsidRPr="004335FA">
              <w:rPr>
                <w:b/>
                <w:sz w:val="16"/>
                <w:szCs w:val="16"/>
              </w:rPr>
              <w:br/>
              <w:t>resources</w:t>
            </w:r>
          </w:p>
        </w:tc>
        <w:tc>
          <w:tcPr>
            <w:tcW w:w="3685" w:type="dxa"/>
            <w:shd w:val="clear" w:color="auto" w:fill="auto"/>
          </w:tcPr>
          <w:p w14:paraId="31B09CCE" w14:textId="65E4D9B2" w:rsidR="00440BBC" w:rsidRPr="004335FA" w:rsidRDefault="00440BBC" w:rsidP="00946B52">
            <w:pPr>
              <w:spacing w:line="240" w:lineRule="auto"/>
              <w:rPr>
                <w:sz w:val="16"/>
                <w:szCs w:val="16"/>
              </w:rPr>
            </w:pPr>
            <w:r w:rsidRPr="004335FA">
              <w:rPr>
                <w:i/>
                <w:sz w:val="16"/>
                <w:szCs w:val="16"/>
              </w:rPr>
              <w:t xml:space="preserve">Assess whether the technical resources of the compliance function are adequate considering the size, business and organisational complexity and the compliance risk of the institution (margin </w:t>
            </w:r>
            <w:r w:rsidR="00E76257">
              <w:rPr>
                <w:i/>
                <w:sz w:val="16"/>
                <w:szCs w:val="16"/>
              </w:rPr>
              <w:t xml:space="preserve">no. </w:t>
            </w:r>
            <w:r w:rsidRPr="004335FA">
              <w:rPr>
                <w:i/>
                <w:sz w:val="16"/>
                <w:szCs w:val="16"/>
              </w:rPr>
              <w:t xml:space="preserve">64 FINMA </w:t>
            </w:r>
            <w:proofErr w:type="spellStart"/>
            <w:r w:rsidRPr="004335FA">
              <w:rPr>
                <w:i/>
                <w:sz w:val="16"/>
                <w:szCs w:val="16"/>
              </w:rPr>
              <w:t>Circ</w:t>
            </w:r>
            <w:proofErr w:type="spellEnd"/>
            <w:r w:rsidRPr="004335FA">
              <w:rPr>
                <w:i/>
                <w:sz w:val="16"/>
                <w:szCs w:val="16"/>
              </w:rPr>
              <w:t xml:space="preserve"> 17/1), specifically:</w:t>
            </w:r>
          </w:p>
        </w:tc>
        <w:tc>
          <w:tcPr>
            <w:tcW w:w="3827" w:type="dxa"/>
            <w:shd w:val="clear" w:color="auto" w:fill="auto"/>
          </w:tcPr>
          <w:p w14:paraId="5F7C619A" w14:textId="3460684E" w:rsidR="00440BBC" w:rsidRPr="00E76257" w:rsidRDefault="00440BBC" w:rsidP="00415624">
            <w:pPr>
              <w:pStyle w:val="Bullet"/>
              <w:numPr>
                <w:ilvl w:val="0"/>
                <w:numId w:val="0"/>
              </w:numPr>
              <w:ind w:left="33"/>
              <w:rPr>
                <w:lang w:val="en-US"/>
              </w:rPr>
            </w:pPr>
          </w:p>
        </w:tc>
        <w:tc>
          <w:tcPr>
            <w:tcW w:w="3686" w:type="dxa"/>
            <w:shd w:val="clear" w:color="auto" w:fill="auto"/>
          </w:tcPr>
          <w:p w14:paraId="41B937D2" w14:textId="77777777" w:rsidR="00440BBC" w:rsidRPr="00E76257" w:rsidRDefault="00440BBC" w:rsidP="00415624">
            <w:pPr>
              <w:spacing w:line="240" w:lineRule="auto"/>
              <w:rPr>
                <w:rFonts w:cs="Arial"/>
                <w:sz w:val="16"/>
                <w:szCs w:val="16"/>
                <w:lang w:val="en-US"/>
              </w:rPr>
            </w:pPr>
          </w:p>
        </w:tc>
        <w:tc>
          <w:tcPr>
            <w:tcW w:w="992" w:type="dxa"/>
            <w:shd w:val="clear" w:color="auto" w:fill="auto"/>
          </w:tcPr>
          <w:p w14:paraId="799F5C2F" w14:textId="77777777" w:rsidR="00440BBC" w:rsidRPr="00E76257" w:rsidRDefault="00440BBC" w:rsidP="00415624">
            <w:pPr>
              <w:spacing w:line="240" w:lineRule="auto"/>
              <w:rPr>
                <w:rFonts w:cs="Arial"/>
                <w:sz w:val="16"/>
                <w:szCs w:val="16"/>
                <w:lang w:val="en-US"/>
              </w:rPr>
            </w:pPr>
          </w:p>
        </w:tc>
      </w:tr>
      <w:tr w:rsidR="00440BBC" w:rsidRPr="004335FA" w14:paraId="19E1DEA1" w14:textId="77777777" w:rsidTr="008439E0">
        <w:tc>
          <w:tcPr>
            <w:tcW w:w="567" w:type="dxa"/>
            <w:gridSpan w:val="2"/>
            <w:shd w:val="clear" w:color="auto" w:fill="auto"/>
          </w:tcPr>
          <w:p w14:paraId="35C19CE2" w14:textId="096CEA4F" w:rsidR="00440BBC" w:rsidRPr="00E76257" w:rsidRDefault="00440BBC" w:rsidP="000624A4">
            <w:pPr>
              <w:spacing w:line="240" w:lineRule="auto"/>
              <w:rPr>
                <w:rFonts w:cs="Arial"/>
                <w:sz w:val="16"/>
                <w:szCs w:val="16"/>
                <w:lang w:val="en-US"/>
              </w:rPr>
            </w:pPr>
          </w:p>
        </w:tc>
        <w:tc>
          <w:tcPr>
            <w:tcW w:w="1560" w:type="dxa"/>
            <w:vMerge/>
            <w:shd w:val="clear" w:color="auto" w:fill="auto"/>
          </w:tcPr>
          <w:p w14:paraId="5FAC5DF2" w14:textId="77777777" w:rsidR="00440BBC" w:rsidRPr="00E76257" w:rsidRDefault="00440BBC" w:rsidP="00DB7CF3">
            <w:pPr>
              <w:spacing w:line="240" w:lineRule="auto"/>
              <w:rPr>
                <w:rFonts w:cs="Arial"/>
                <w:b/>
                <w:sz w:val="16"/>
                <w:szCs w:val="16"/>
                <w:lang w:val="en-US"/>
              </w:rPr>
            </w:pPr>
          </w:p>
        </w:tc>
        <w:tc>
          <w:tcPr>
            <w:tcW w:w="3685" w:type="dxa"/>
            <w:shd w:val="clear" w:color="auto" w:fill="auto"/>
          </w:tcPr>
          <w:p w14:paraId="09C5DAD9" w14:textId="20EE99DB" w:rsidR="007C4D48" w:rsidRPr="004335FA" w:rsidRDefault="00636DE5" w:rsidP="00415624">
            <w:pPr>
              <w:pStyle w:val="Bullet"/>
              <w:numPr>
                <w:ilvl w:val="0"/>
                <w:numId w:val="0"/>
              </w:numPr>
              <w:ind w:left="33"/>
            </w:pPr>
            <w:r w:rsidRPr="004335FA">
              <w:t>Assess the adequacy of technical resources, e.g. with the help of a list of information technology applications and other working tools used by the compliance function, including the name of the system, a description of the purpose and the implementation date.</w:t>
            </w:r>
          </w:p>
        </w:tc>
        <w:tc>
          <w:tcPr>
            <w:tcW w:w="3827" w:type="dxa"/>
            <w:shd w:val="clear" w:color="auto" w:fill="auto"/>
          </w:tcPr>
          <w:p w14:paraId="0669672A" w14:textId="77777777" w:rsidR="00440BBC" w:rsidRPr="00E76257" w:rsidRDefault="00440BBC" w:rsidP="00415624">
            <w:pPr>
              <w:pStyle w:val="Bullet"/>
              <w:numPr>
                <w:ilvl w:val="0"/>
                <w:numId w:val="0"/>
              </w:numPr>
              <w:ind w:left="33"/>
              <w:rPr>
                <w:lang w:val="en-US"/>
              </w:rPr>
            </w:pPr>
          </w:p>
        </w:tc>
        <w:tc>
          <w:tcPr>
            <w:tcW w:w="3686" w:type="dxa"/>
            <w:shd w:val="clear" w:color="auto" w:fill="auto"/>
          </w:tcPr>
          <w:p w14:paraId="14A76FCE" w14:textId="77777777" w:rsidR="00440BBC" w:rsidRPr="00E76257" w:rsidRDefault="00440BBC" w:rsidP="00415624">
            <w:pPr>
              <w:spacing w:line="240" w:lineRule="auto"/>
              <w:rPr>
                <w:rFonts w:cs="Arial"/>
                <w:sz w:val="16"/>
                <w:szCs w:val="16"/>
                <w:lang w:val="en-US"/>
              </w:rPr>
            </w:pPr>
          </w:p>
        </w:tc>
        <w:tc>
          <w:tcPr>
            <w:tcW w:w="992" w:type="dxa"/>
            <w:shd w:val="clear" w:color="auto" w:fill="auto"/>
          </w:tcPr>
          <w:p w14:paraId="7678F87E" w14:textId="77777777" w:rsidR="00440BBC" w:rsidRPr="00E76257" w:rsidRDefault="00440BBC" w:rsidP="00415624">
            <w:pPr>
              <w:spacing w:line="240" w:lineRule="auto"/>
              <w:rPr>
                <w:rFonts w:cs="Arial"/>
                <w:sz w:val="16"/>
                <w:szCs w:val="16"/>
                <w:lang w:val="en-US"/>
              </w:rPr>
            </w:pPr>
          </w:p>
        </w:tc>
      </w:tr>
      <w:tr w:rsidR="00BF1F55" w:rsidRPr="004335FA" w14:paraId="55F2EA20" w14:textId="77777777" w:rsidTr="008439E0">
        <w:tc>
          <w:tcPr>
            <w:tcW w:w="567" w:type="dxa"/>
            <w:gridSpan w:val="2"/>
            <w:shd w:val="clear" w:color="auto" w:fill="auto"/>
          </w:tcPr>
          <w:p w14:paraId="09268CDA" w14:textId="3265911F" w:rsidR="00BF1F55" w:rsidRPr="00E76257" w:rsidRDefault="00BF1F55" w:rsidP="00F408E8">
            <w:pPr>
              <w:spacing w:line="240" w:lineRule="auto"/>
              <w:rPr>
                <w:rFonts w:cs="Arial"/>
                <w:sz w:val="16"/>
                <w:szCs w:val="16"/>
                <w:lang w:val="en-US"/>
              </w:rPr>
            </w:pPr>
          </w:p>
        </w:tc>
        <w:tc>
          <w:tcPr>
            <w:tcW w:w="1560" w:type="dxa"/>
            <w:vMerge w:val="restart"/>
            <w:shd w:val="clear" w:color="auto" w:fill="auto"/>
          </w:tcPr>
          <w:p w14:paraId="26F629D0" w14:textId="77777777" w:rsidR="00BF1F55" w:rsidRPr="004335FA" w:rsidRDefault="00BF1F55" w:rsidP="001B3543">
            <w:pPr>
              <w:spacing w:line="240" w:lineRule="auto"/>
              <w:rPr>
                <w:rFonts w:cs="Arial"/>
                <w:b/>
                <w:sz w:val="16"/>
                <w:szCs w:val="16"/>
              </w:rPr>
            </w:pPr>
            <w:r w:rsidRPr="004335FA">
              <w:rPr>
                <w:b/>
                <w:sz w:val="16"/>
                <w:szCs w:val="16"/>
              </w:rPr>
              <w:t>Assumption of responsibility</w:t>
            </w:r>
          </w:p>
        </w:tc>
        <w:tc>
          <w:tcPr>
            <w:tcW w:w="3685" w:type="dxa"/>
            <w:tcBorders>
              <w:bottom w:val="single" w:sz="4" w:space="0" w:color="auto"/>
            </w:tcBorders>
            <w:shd w:val="clear" w:color="auto" w:fill="auto"/>
          </w:tcPr>
          <w:p w14:paraId="6CEA8885" w14:textId="6D65AE1A" w:rsidR="00BF1F55" w:rsidRPr="004335FA" w:rsidRDefault="00BF1F55" w:rsidP="00AC006D">
            <w:pPr>
              <w:spacing w:line="240" w:lineRule="auto"/>
              <w:rPr>
                <w:sz w:val="16"/>
                <w:szCs w:val="16"/>
              </w:rPr>
            </w:pPr>
            <w:r w:rsidRPr="004335FA">
              <w:rPr>
                <w:i/>
                <w:sz w:val="16"/>
                <w:szCs w:val="16"/>
              </w:rPr>
              <w:t>Assess whether the compliance function assumes its responsibility in relation to the size, business and the organisational complexity and compliance risk of the institution (margin</w:t>
            </w:r>
            <w:r w:rsidR="00E76257">
              <w:rPr>
                <w:i/>
                <w:sz w:val="16"/>
                <w:szCs w:val="16"/>
              </w:rPr>
              <w:t xml:space="preserve"> no</w:t>
            </w:r>
            <w:r w:rsidRPr="004335FA">
              <w:rPr>
                <w:i/>
                <w:sz w:val="16"/>
                <w:szCs w:val="16"/>
              </w:rPr>
              <w:t>s</w:t>
            </w:r>
            <w:r w:rsidR="00E76257">
              <w:rPr>
                <w:i/>
                <w:sz w:val="16"/>
                <w:szCs w:val="16"/>
              </w:rPr>
              <w:t>.</w:t>
            </w:r>
            <w:r w:rsidRPr="004335FA">
              <w:rPr>
                <w:i/>
                <w:sz w:val="16"/>
                <w:szCs w:val="16"/>
              </w:rPr>
              <w:t xml:space="preserve"> 77-81 FINMA</w:t>
            </w:r>
            <w:r w:rsidR="005632B8">
              <w:rPr>
                <w:i/>
                <w:sz w:val="16"/>
                <w:szCs w:val="16"/>
              </w:rPr>
              <w:t xml:space="preserve"> </w:t>
            </w:r>
            <w:r w:rsidRPr="004335FA">
              <w:rPr>
                <w:i/>
                <w:sz w:val="16"/>
                <w:szCs w:val="16"/>
              </w:rPr>
              <w:t>Circ. 17/1), specifically:</w:t>
            </w:r>
          </w:p>
        </w:tc>
        <w:tc>
          <w:tcPr>
            <w:tcW w:w="3827" w:type="dxa"/>
            <w:tcBorders>
              <w:bottom w:val="single" w:sz="4" w:space="0" w:color="auto"/>
            </w:tcBorders>
            <w:shd w:val="clear" w:color="auto" w:fill="auto"/>
          </w:tcPr>
          <w:p w14:paraId="7C844355" w14:textId="77777777" w:rsidR="00BF1F55" w:rsidRPr="00E76257" w:rsidRDefault="00BF1F55" w:rsidP="00415624">
            <w:pPr>
              <w:spacing w:line="240" w:lineRule="auto"/>
              <w:rPr>
                <w:rFonts w:cs="Arial"/>
                <w:sz w:val="16"/>
                <w:szCs w:val="16"/>
                <w:lang w:val="en-US"/>
              </w:rPr>
            </w:pPr>
          </w:p>
        </w:tc>
        <w:tc>
          <w:tcPr>
            <w:tcW w:w="3686" w:type="dxa"/>
            <w:tcBorders>
              <w:bottom w:val="single" w:sz="4" w:space="0" w:color="auto"/>
            </w:tcBorders>
            <w:shd w:val="clear" w:color="auto" w:fill="auto"/>
          </w:tcPr>
          <w:p w14:paraId="79181F2B" w14:textId="77777777" w:rsidR="00BF1F55" w:rsidRPr="00E76257" w:rsidRDefault="00BF1F55" w:rsidP="00415624">
            <w:pPr>
              <w:spacing w:line="240" w:lineRule="auto"/>
              <w:rPr>
                <w:rFonts w:cs="Arial"/>
                <w:sz w:val="16"/>
                <w:szCs w:val="16"/>
                <w:lang w:val="en-US"/>
              </w:rPr>
            </w:pPr>
          </w:p>
        </w:tc>
        <w:tc>
          <w:tcPr>
            <w:tcW w:w="992" w:type="dxa"/>
            <w:tcBorders>
              <w:bottom w:val="single" w:sz="4" w:space="0" w:color="auto"/>
            </w:tcBorders>
            <w:shd w:val="clear" w:color="auto" w:fill="auto"/>
          </w:tcPr>
          <w:p w14:paraId="2D70A83D" w14:textId="77777777" w:rsidR="00BF1F55" w:rsidRPr="00E76257" w:rsidRDefault="00BF1F55" w:rsidP="00415624">
            <w:pPr>
              <w:spacing w:line="240" w:lineRule="auto"/>
              <w:rPr>
                <w:rFonts w:cs="Arial"/>
                <w:sz w:val="16"/>
                <w:szCs w:val="16"/>
                <w:lang w:val="en-US"/>
              </w:rPr>
            </w:pPr>
          </w:p>
        </w:tc>
      </w:tr>
      <w:tr w:rsidR="00BF1F55" w:rsidRPr="004335FA" w14:paraId="37F39DA2" w14:textId="77777777" w:rsidTr="008439E0">
        <w:tc>
          <w:tcPr>
            <w:tcW w:w="567" w:type="dxa"/>
            <w:gridSpan w:val="2"/>
            <w:shd w:val="clear" w:color="auto" w:fill="auto"/>
          </w:tcPr>
          <w:p w14:paraId="630CAFC7" w14:textId="7D7D237B" w:rsidR="00BF1F55" w:rsidRPr="00E76257" w:rsidRDefault="00BF1F55" w:rsidP="001B3543">
            <w:pPr>
              <w:spacing w:line="240" w:lineRule="auto"/>
              <w:rPr>
                <w:rFonts w:cs="Arial"/>
                <w:sz w:val="16"/>
                <w:szCs w:val="16"/>
                <w:lang w:val="en-US"/>
              </w:rPr>
            </w:pPr>
          </w:p>
        </w:tc>
        <w:tc>
          <w:tcPr>
            <w:tcW w:w="1560" w:type="dxa"/>
            <w:vMerge/>
            <w:shd w:val="clear" w:color="auto" w:fill="auto"/>
          </w:tcPr>
          <w:p w14:paraId="78C0638B" w14:textId="77777777" w:rsidR="00BF1F55" w:rsidRPr="00E76257" w:rsidRDefault="00BF1F55" w:rsidP="001B3543">
            <w:pPr>
              <w:spacing w:line="240" w:lineRule="auto"/>
              <w:rPr>
                <w:rFonts w:cs="Arial"/>
                <w:b/>
                <w:sz w:val="16"/>
                <w:szCs w:val="16"/>
                <w:lang w:val="en-US"/>
              </w:rPr>
            </w:pPr>
          </w:p>
        </w:tc>
        <w:tc>
          <w:tcPr>
            <w:tcW w:w="3685" w:type="dxa"/>
            <w:tcBorders>
              <w:bottom w:val="single" w:sz="4" w:space="0" w:color="auto"/>
            </w:tcBorders>
            <w:shd w:val="clear" w:color="auto" w:fill="auto"/>
          </w:tcPr>
          <w:p w14:paraId="316D3F6F" w14:textId="19929639" w:rsidR="00BF1F55" w:rsidRPr="004335FA" w:rsidRDefault="00BF1F55" w:rsidP="004C7FBD">
            <w:pPr>
              <w:pStyle w:val="Bullet"/>
              <w:numPr>
                <w:ilvl w:val="0"/>
                <w:numId w:val="0"/>
              </w:numPr>
              <w:ind w:left="33"/>
            </w:pPr>
            <w:r w:rsidRPr="004335FA">
              <w:t xml:space="preserve">Assess whether the institution's internal directives for the compliance function comply with FINMA Circ. 17/1 and are appropriate given </w:t>
            </w:r>
            <w:r w:rsidRPr="004335FA">
              <w:lastRenderedPageBreak/>
              <w:t xml:space="preserve">recent and planned changes to the institution’s overall circumstances, controls and organisation. </w:t>
            </w:r>
          </w:p>
        </w:tc>
        <w:tc>
          <w:tcPr>
            <w:tcW w:w="3827" w:type="dxa"/>
            <w:tcBorders>
              <w:bottom w:val="single" w:sz="4" w:space="0" w:color="auto"/>
            </w:tcBorders>
            <w:shd w:val="clear" w:color="auto" w:fill="auto"/>
          </w:tcPr>
          <w:p w14:paraId="472749CF" w14:textId="77777777" w:rsidR="00BF1F55" w:rsidRPr="00E76257" w:rsidRDefault="00BF1F55" w:rsidP="00415624">
            <w:pPr>
              <w:pStyle w:val="Bullet"/>
              <w:numPr>
                <w:ilvl w:val="0"/>
                <w:numId w:val="0"/>
              </w:numPr>
              <w:ind w:left="33"/>
              <w:rPr>
                <w:lang w:val="en-US"/>
              </w:rPr>
            </w:pPr>
          </w:p>
        </w:tc>
        <w:tc>
          <w:tcPr>
            <w:tcW w:w="3686" w:type="dxa"/>
            <w:tcBorders>
              <w:bottom w:val="single" w:sz="4" w:space="0" w:color="auto"/>
            </w:tcBorders>
            <w:shd w:val="clear" w:color="auto" w:fill="auto"/>
          </w:tcPr>
          <w:p w14:paraId="494764CA" w14:textId="77777777" w:rsidR="00BF1F55" w:rsidRPr="00E76257" w:rsidRDefault="00BF1F55" w:rsidP="00415624">
            <w:pPr>
              <w:spacing w:line="240" w:lineRule="auto"/>
              <w:rPr>
                <w:rFonts w:cs="Arial"/>
                <w:sz w:val="16"/>
                <w:szCs w:val="16"/>
                <w:lang w:val="en-US"/>
              </w:rPr>
            </w:pPr>
          </w:p>
        </w:tc>
        <w:tc>
          <w:tcPr>
            <w:tcW w:w="992" w:type="dxa"/>
            <w:tcBorders>
              <w:bottom w:val="single" w:sz="4" w:space="0" w:color="auto"/>
            </w:tcBorders>
            <w:shd w:val="clear" w:color="auto" w:fill="auto"/>
          </w:tcPr>
          <w:p w14:paraId="52F26403" w14:textId="77777777" w:rsidR="00BF1F55" w:rsidRPr="00E76257" w:rsidRDefault="00BF1F55" w:rsidP="00415624">
            <w:pPr>
              <w:spacing w:line="240" w:lineRule="auto"/>
              <w:rPr>
                <w:rFonts w:cs="Arial"/>
                <w:sz w:val="16"/>
                <w:szCs w:val="16"/>
                <w:lang w:val="en-US"/>
              </w:rPr>
            </w:pPr>
          </w:p>
        </w:tc>
      </w:tr>
      <w:tr w:rsidR="00BF1F55" w:rsidRPr="004335FA" w14:paraId="46245AF2" w14:textId="77777777" w:rsidTr="008439E0">
        <w:tc>
          <w:tcPr>
            <w:tcW w:w="567" w:type="dxa"/>
            <w:gridSpan w:val="2"/>
            <w:shd w:val="clear" w:color="auto" w:fill="auto"/>
          </w:tcPr>
          <w:p w14:paraId="17F321D3" w14:textId="44C721FD" w:rsidR="00BF1F55" w:rsidRPr="00E76257" w:rsidRDefault="00BF1F55" w:rsidP="001B3543">
            <w:pPr>
              <w:spacing w:line="240" w:lineRule="auto"/>
              <w:rPr>
                <w:rFonts w:cs="Arial"/>
                <w:sz w:val="16"/>
                <w:szCs w:val="16"/>
                <w:lang w:val="en-US"/>
              </w:rPr>
            </w:pPr>
          </w:p>
        </w:tc>
        <w:tc>
          <w:tcPr>
            <w:tcW w:w="1560" w:type="dxa"/>
            <w:vMerge/>
            <w:shd w:val="clear" w:color="auto" w:fill="auto"/>
          </w:tcPr>
          <w:p w14:paraId="65656A8D" w14:textId="77777777" w:rsidR="00BF1F55" w:rsidRPr="00E76257" w:rsidRDefault="00BF1F55" w:rsidP="001B3543">
            <w:pPr>
              <w:spacing w:line="240" w:lineRule="auto"/>
              <w:rPr>
                <w:rFonts w:cs="Arial"/>
                <w:b/>
                <w:sz w:val="16"/>
                <w:szCs w:val="16"/>
                <w:lang w:val="en-US"/>
              </w:rPr>
            </w:pPr>
          </w:p>
        </w:tc>
        <w:tc>
          <w:tcPr>
            <w:tcW w:w="3685" w:type="dxa"/>
            <w:tcBorders>
              <w:bottom w:val="single" w:sz="4" w:space="0" w:color="auto"/>
            </w:tcBorders>
            <w:shd w:val="clear" w:color="auto" w:fill="auto"/>
          </w:tcPr>
          <w:p w14:paraId="15156EC5" w14:textId="350D9C11" w:rsidR="00BF1F55" w:rsidRPr="004335FA" w:rsidRDefault="00BF1F55" w:rsidP="004C7FBD">
            <w:pPr>
              <w:pStyle w:val="Bullet"/>
              <w:numPr>
                <w:ilvl w:val="0"/>
                <w:numId w:val="0"/>
              </w:numPr>
              <w:ind w:left="33"/>
            </w:pPr>
            <w:r w:rsidRPr="004335FA">
              <w:t xml:space="preserve">Assess whether the compliance function performs – at least annually – an assessment of the compliance risk of the business activities and based thereon develops a risk-based activity plan, which is to be approved by the Executive Board and made available to Internal Audit (margin </w:t>
            </w:r>
            <w:r w:rsidR="00E76257">
              <w:t xml:space="preserve">no. </w:t>
            </w:r>
            <w:r w:rsidRPr="004335FA">
              <w:t>78 FINMA Circ. 17/1).</w:t>
            </w:r>
          </w:p>
        </w:tc>
        <w:tc>
          <w:tcPr>
            <w:tcW w:w="3827" w:type="dxa"/>
            <w:tcBorders>
              <w:bottom w:val="single" w:sz="4" w:space="0" w:color="auto"/>
            </w:tcBorders>
            <w:shd w:val="clear" w:color="auto" w:fill="auto"/>
          </w:tcPr>
          <w:p w14:paraId="72473988" w14:textId="5AAC6CCB" w:rsidR="00BF1F55" w:rsidRPr="004335FA" w:rsidRDefault="00636DE5" w:rsidP="0020088F">
            <w:pPr>
              <w:pStyle w:val="Bullet"/>
              <w:numPr>
                <w:ilvl w:val="0"/>
                <w:numId w:val="0"/>
              </w:numPr>
              <w:ind w:left="33"/>
            </w:pPr>
            <w:r w:rsidRPr="004335FA">
              <w:t>Inspect the risk-based activity plan and assess its adequacy/comprehensiveness.</w:t>
            </w:r>
          </w:p>
        </w:tc>
        <w:tc>
          <w:tcPr>
            <w:tcW w:w="3686" w:type="dxa"/>
            <w:tcBorders>
              <w:bottom w:val="single" w:sz="4" w:space="0" w:color="auto"/>
            </w:tcBorders>
            <w:shd w:val="clear" w:color="auto" w:fill="auto"/>
          </w:tcPr>
          <w:p w14:paraId="3176F890" w14:textId="77777777" w:rsidR="00BF1F55" w:rsidRPr="00E76257" w:rsidRDefault="00BF1F55" w:rsidP="001B3543">
            <w:pPr>
              <w:spacing w:line="240" w:lineRule="auto"/>
              <w:rPr>
                <w:rFonts w:cs="Arial"/>
                <w:sz w:val="16"/>
                <w:szCs w:val="16"/>
                <w:lang w:val="en-US"/>
              </w:rPr>
            </w:pPr>
          </w:p>
        </w:tc>
        <w:tc>
          <w:tcPr>
            <w:tcW w:w="992" w:type="dxa"/>
            <w:tcBorders>
              <w:bottom w:val="single" w:sz="4" w:space="0" w:color="auto"/>
            </w:tcBorders>
            <w:shd w:val="clear" w:color="auto" w:fill="auto"/>
          </w:tcPr>
          <w:p w14:paraId="3C2A845B" w14:textId="77777777" w:rsidR="00BF1F55" w:rsidRPr="00E76257" w:rsidRDefault="00BF1F55" w:rsidP="001B3543">
            <w:pPr>
              <w:spacing w:line="240" w:lineRule="auto"/>
              <w:rPr>
                <w:rFonts w:cs="Arial"/>
                <w:sz w:val="16"/>
                <w:szCs w:val="16"/>
                <w:lang w:val="en-US"/>
              </w:rPr>
            </w:pPr>
          </w:p>
        </w:tc>
      </w:tr>
      <w:tr w:rsidR="00BF1F55" w:rsidRPr="004335FA" w14:paraId="01DAD250" w14:textId="77777777" w:rsidTr="008439E0">
        <w:tc>
          <w:tcPr>
            <w:tcW w:w="567" w:type="dxa"/>
            <w:gridSpan w:val="2"/>
            <w:shd w:val="clear" w:color="auto" w:fill="auto"/>
          </w:tcPr>
          <w:p w14:paraId="7BC1BF1E" w14:textId="266FCDF0" w:rsidR="00BF1F55" w:rsidRPr="00E76257" w:rsidRDefault="00BF1F55" w:rsidP="001B3543">
            <w:pPr>
              <w:spacing w:line="240" w:lineRule="auto"/>
              <w:rPr>
                <w:rFonts w:cs="Arial"/>
                <w:sz w:val="16"/>
                <w:szCs w:val="16"/>
                <w:lang w:val="en-US"/>
              </w:rPr>
            </w:pPr>
          </w:p>
        </w:tc>
        <w:tc>
          <w:tcPr>
            <w:tcW w:w="1560" w:type="dxa"/>
            <w:vMerge/>
            <w:shd w:val="clear" w:color="auto" w:fill="auto"/>
          </w:tcPr>
          <w:p w14:paraId="52CDCD7F" w14:textId="77777777" w:rsidR="00BF1F55" w:rsidRPr="00E76257" w:rsidRDefault="00BF1F55" w:rsidP="001B3543">
            <w:pPr>
              <w:spacing w:line="240" w:lineRule="auto"/>
              <w:rPr>
                <w:rFonts w:cs="Arial"/>
                <w:b/>
                <w:sz w:val="16"/>
                <w:szCs w:val="16"/>
                <w:lang w:val="en-US"/>
              </w:rPr>
            </w:pPr>
          </w:p>
        </w:tc>
        <w:tc>
          <w:tcPr>
            <w:tcW w:w="3685" w:type="dxa"/>
            <w:tcBorders>
              <w:bottom w:val="single" w:sz="4" w:space="0" w:color="auto"/>
            </w:tcBorders>
            <w:shd w:val="clear" w:color="auto" w:fill="auto"/>
          </w:tcPr>
          <w:p w14:paraId="172A855C" w14:textId="6DA5296D" w:rsidR="00BF1F55" w:rsidRPr="004335FA" w:rsidRDefault="00BF1F55" w:rsidP="004C7FBD">
            <w:pPr>
              <w:pStyle w:val="Bullet"/>
              <w:numPr>
                <w:ilvl w:val="0"/>
                <w:numId w:val="0"/>
              </w:numPr>
              <w:ind w:left="33"/>
            </w:pPr>
            <w:r w:rsidRPr="004335FA">
              <w:t>Assess whether the compliance function informs the Board of Directors – at least annually – about the assessment of the compliance risk and the activities of the compliance function (margin</w:t>
            </w:r>
            <w:r w:rsidR="00E76257">
              <w:t xml:space="preserve"> no.</w:t>
            </w:r>
            <w:r w:rsidRPr="004335FA">
              <w:t xml:space="preserve"> 80 FINMA Circ. 17/1).</w:t>
            </w:r>
          </w:p>
        </w:tc>
        <w:tc>
          <w:tcPr>
            <w:tcW w:w="3827" w:type="dxa"/>
            <w:tcBorders>
              <w:bottom w:val="single" w:sz="4" w:space="0" w:color="auto"/>
            </w:tcBorders>
            <w:shd w:val="clear" w:color="auto" w:fill="auto"/>
          </w:tcPr>
          <w:p w14:paraId="554ACE59" w14:textId="5C63CC0D" w:rsidR="00BF1F55" w:rsidRPr="004335FA" w:rsidRDefault="00636DE5" w:rsidP="002A507D">
            <w:pPr>
              <w:pStyle w:val="Bullet"/>
              <w:numPr>
                <w:ilvl w:val="0"/>
                <w:numId w:val="0"/>
              </w:numPr>
              <w:ind w:left="33"/>
            </w:pPr>
            <w:r w:rsidRPr="004335FA">
              <w:t>Inspect the annual reporting to the Board of Directors (with copy for Internal Audit and the audit firm) and assess its adequacy/comprehensiveness.</w:t>
            </w:r>
          </w:p>
        </w:tc>
        <w:tc>
          <w:tcPr>
            <w:tcW w:w="3686" w:type="dxa"/>
            <w:tcBorders>
              <w:bottom w:val="single" w:sz="4" w:space="0" w:color="auto"/>
            </w:tcBorders>
            <w:shd w:val="clear" w:color="auto" w:fill="auto"/>
          </w:tcPr>
          <w:p w14:paraId="31DB0174" w14:textId="77777777" w:rsidR="00BF1F55" w:rsidRPr="00E76257" w:rsidRDefault="00BF1F55" w:rsidP="001B3543">
            <w:pPr>
              <w:spacing w:line="240" w:lineRule="auto"/>
              <w:rPr>
                <w:rFonts w:cs="Arial"/>
                <w:sz w:val="16"/>
                <w:szCs w:val="16"/>
                <w:lang w:val="en-US"/>
              </w:rPr>
            </w:pPr>
          </w:p>
        </w:tc>
        <w:tc>
          <w:tcPr>
            <w:tcW w:w="992" w:type="dxa"/>
            <w:tcBorders>
              <w:bottom w:val="single" w:sz="4" w:space="0" w:color="auto"/>
            </w:tcBorders>
            <w:shd w:val="clear" w:color="auto" w:fill="auto"/>
          </w:tcPr>
          <w:p w14:paraId="39D37FCE" w14:textId="77777777" w:rsidR="00BF1F55" w:rsidRPr="00E76257" w:rsidRDefault="00BF1F55" w:rsidP="001B3543">
            <w:pPr>
              <w:spacing w:line="240" w:lineRule="auto"/>
              <w:rPr>
                <w:rFonts w:cs="Arial"/>
                <w:sz w:val="16"/>
                <w:szCs w:val="16"/>
                <w:lang w:val="en-US"/>
              </w:rPr>
            </w:pPr>
          </w:p>
        </w:tc>
      </w:tr>
      <w:tr w:rsidR="00BF1F55" w:rsidRPr="004335FA" w14:paraId="0176CBA6" w14:textId="77777777" w:rsidTr="008439E0">
        <w:tc>
          <w:tcPr>
            <w:tcW w:w="567" w:type="dxa"/>
            <w:gridSpan w:val="2"/>
            <w:shd w:val="clear" w:color="auto" w:fill="auto"/>
          </w:tcPr>
          <w:p w14:paraId="42C2FDAF" w14:textId="2A3C40AA" w:rsidR="00BF1F55" w:rsidRPr="00E76257" w:rsidRDefault="00BF1F55" w:rsidP="001B3543">
            <w:pPr>
              <w:spacing w:line="240" w:lineRule="auto"/>
              <w:rPr>
                <w:rFonts w:cs="Arial"/>
                <w:sz w:val="16"/>
                <w:szCs w:val="16"/>
                <w:lang w:val="en-US"/>
              </w:rPr>
            </w:pPr>
          </w:p>
        </w:tc>
        <w:tc>
          <w:tcPr>
            <w:tcW w:w="1560" w:type="dxa"/>
            <w:vMerge/>
            <w:shd w:val="clear" w:color="auto" w:fill="auto"/>
          </w:tcPr>
          <w:p w14:paraId="4D8B0C60" w14:textId="77777777" w:rsidR="00BF1F55" w:rsidRPr="00E76257" w:rsidRDefault="00BF1F55" w:rsidP="001B3543">
            <w:pPr>
              <w:spacing w:line="240" w:lineRule="auto"/>
              <w:rPr>
                <w:rFonts w:cs="Arial"/>
                <w:b/>
                <w:sz w:val="16"/>
                <w:szCs w:val="16"/>
                <w:lang w:val="en-US"/>
              </w:rPr>
            </w:pPr>
          </w:p>
        </w:tc>
        <w:tc>
          <w:tcPr>
            <w:tcW w:w="3685" w:type="dxa"/>
            <w:tcBorders>
              <w:bottom w:val="single" w:sz="4" w:space="0" w:color="auto"/>
            </w:tcBorders>
            <w:shd w:val="clear" w:color="auto" w:fill="auto"/>
          </w:tcPr>
          <w:p w14:paraId="7D6D911B" w14:textId="77341A2B" w:rsidR="00BF1F55" w:rsidRPr="004335FA" w:rsidRDefault="002C62D2" w:rsidP="004C7FBD">
            <w:pPr>
              <w:pStyle w:val="Bullet"/>
              <w:numPr>
                <w:ilvl w:val="0"/>
                <w:numId w:val="0"/>
              </w:numPr>
              <w:ind w:left="33"/>
            </w:pPr>
            <w:r w:rsidRPr="004335FA">
              <w:t xml:space="preserve">Obtain, inspect and assess evidence that the compliance function effectively assumes its further responsibilities (timely reporting to the corresponding functions </w:t>
            </w:r>
            <w:proofErr w:type="spellStart"/>
            <w:r w:rsidRPr="004335FA">
              <w:t>i</w:t>
            </w:r>
            <w:proofErr w:type="spellEnd"/>
            <w:r w:rsidRPr="004335FA">
              <w:t>) on material changes in the assessment of compliance risks and ii) serious compliance breaches) (margin</w:t>
            </w:r>
            <w:r w:rsidR="00E76257">
              <w:t xml:space="preserve"> no</w:t>
            </w:r>
            <w:r w:rsidRPr="004335FA">
              <w:t>s</w:t>
            </w:r>
            <w:r w:rsidR="00E76257">
              <w:t>.</w:t>
            </w:r>
            <w:r w:rsidRPr="004335FA">
              <w:t xml:space="preserve"> 79 and 81 FINMA Circ. 17/1).</w:t>
            </w:r>
          </w:p>
        </w:tc>
        <w:tc>
          <w:tcPr>
            <w:tcW w:w="3827" w:type="dxa"/>
            <w:tcBorders>
              <w:bottom w:val="single" w:sz="4" w:space="0" w:color="auto"/>
            </w:tcBorders>
            <w:shd w:val="clear" w:color="auto" w:fill="auto"/>
          </w:tcPr>
          <w:p w14:paraId="6F64B14A" w14:textId="77777777" w:rsidR="00BF1F55" w:rsidRPr="00E76257" w:rsidRDefault="00BF1F55" w:rsidP="00415624">
            <w:pPr>
              <w:pStyle w:val="Bullet"/>
              <w:numPr>
                <w:ilvl w:val="0"/>
                <w:numId w:val="0"/>
              </w:numPr>
              <w:ind w:left="33"/>
              <w:rPr>
                <w:lang w:val="en-US"/>
              </w:rPr>
            </w:pPr>
          </w:p>
        </w:tc>
        <w:tc>
          <w:tcPr>
            <w:tcW w:w="3686" w:type="dxa"/>
            <w:tcBorders>
              <w:bottom w:val="single" w:sz="4" w:space="0" w:color="auto"/>
            </w:tcBorders>
            <w:shd w:val="clear" w:color="auto" w:fill="auto"/>
          </w:tcPr>
          <w:p w14:paraId="04F26716" w14:textId="77777777" w:rsidR="00BF1F55" w:rsidRPr="00E76257" w:rsidRDefault="00BF1F55" w:rsidP="001B3543">
            <w:pPr>
              <w:spacing w:line="240" w:lineRule="auto"/>
              <w:rPr>
                <w:rFonts w:cs="Arial"/>
                <w:sz w:val="16"/>
                <w:szCs w:val="16"/>
                <w:lang w:val="en-US"/>
              </w:rPr>
            </w:pPr>
          </w:p>
        </w:tc>
        <w:tc>
          <w:tcPr>
            <w:tcW w:w="992" w:type="dxa"/>
            <w:tcBorders>
              <w:bottom w:val="single" w:sz="4" w:space="0" w:color="auto"/>
            </w:tcBorders>
            <w:shd w:val="clear" w:color="auto" w:fill="auto"/>
          </w:tcPr>
          <w:p w14:paraId="62696C90" w14:textId="77777777" w:rsidR="00BF1F55" w:rsidRPr="00E76257" w:rsidRDefault="00BF1F55" w:rsidP="001B3543">
            <w:pPr>
              <w:spacing w:line="240" w:lineRule="auto"/>
              <w:rPr>
                <w:rFonts w:cs="Arial"/>
                <w:sz w:val="16"/>
                <w:szCs w:val="16"/>
                <w:lang w:val="en-US"/>
              </w:rPr>
            </w:pPr>
          </w:p>
        </w:tc>
      </w:tr>
      <w:tr w:rsidR="00CD69D5" w:rsidRPr="004335FA" w14:paraId="291EEB45" w14:textId="77777777" w:rsidTr="008439E0">
        <w:tc>
          <w:tcPr>
            <w:tcW w:w="567" w:type="dxa"/>
            <w:gridSpan w:val="2"/>
            <w:tcBorders>
              <w:bottom w:val="single" w:sz="4" w:space="0" w:color="auto"/>
            </w:tcBorders>
            <w:shd w:val="clear" w:color="auto" w:fill="auto"/>
          </w:tcPr>
          <w:p w14:paraId="456F5208" w14:textId="0D2C664B" w:rsidR="00CD69D5" w:rsidRPr="00E76257" w:rsidRDefault="00CD69D5" w:rsidP="00CD69D5">
            <w:pPr>
              <w:spacing w:line="240" w:lineRule="auto"/>
              <w:rPr>
                <w:rFonts w:cs="Arial"/>
                <w:sz w:val="16"/>
                <w:szCs w:val="16"/>
                <w:lang w:val="en-US"/>
              </w:rPr>
            </w:pPr>
          </w:p>
        </w:tc>
        <w:tc>
          <w:tcPr>
            <w:tcW w:w="1560" w:type="dxa"/>
            <w:vMerge/>
            <w:tcBorders>
              <w:bottom w:val="single" w:sz="4" w:space="0" w:color="auto"/>
            </w:tcBorders>
            <w:shd w:val="clear" w:color="auto" w:fill="auto"/>
          </w:tcPr>
          <w:p w14:paraId="5AAAD59F" w14:textId="77777777" w:rsidR="00CD69D5" w:rsidRPr="00E76257" w:rsidRDefault="00CD69D5" w:rsidP="00CD69D5">
            <w:pPr>
              <w:spacing w:line="240" w:lineRule="auto"/>
              <w:rPr>
                <w:rFonts w:cs="Arial"/>
                <w:b/>
                <w:sz w:val="16"/>
                <w:szCs w:val="16"/>
                <w:lang w:val="en-US"/>
              </w:rPr>
            </w:pPr>
          </w:p>
        </w:tc>
        <w:tc>
          <w:tcPr>
            <w:tcW w:w="3685" w:type="dxa"/>
            <w:tcBorders>
              <w:bottom w:val="single" w:sz="4" w:space="0" w:color="auto"/>
            </w:tcBorders>
            <w:shd w:val="clear" w:color="auto" w:fill="auto"/>
          </w:tcPr>
          <w:p w14:paraId="259AC3B2" w14:textId="6B9CFCCD" w:rsidR="00CD69D5" w:rsidRPr="004335FA" w:rsidRDefault="00CD69D5" w:rsidP="00CD69D5">
            <w:pPr>
              <w:pStyle w:val="Bullet"/>
              <w:numPr>
                <w:ilvl w:val="0"/>
                <w:numId w:val="0"/>
              </w:numPr>
              <w:ind w:left="33"/>
            </w:pPr>
            <w:r w:rsidRPr="004335FA">
              <w:t>Identify and document internal controls performed by the compliance function and assess their design effectiveness/comprehensiveness</w:t>
            </w:r>
            <w:r w:rsidR="005632B8">
              <w:t>.</w:t>
            </w:r>
          </w:p>
        </w:tc>
        <w:tc>
          <w:tcPr>
            <w:tcW w:w="3827" w:type="dxa"/>
            <w:tcBorders>
              <w:bottom w:val="single" w:sz="4" w:space="0" w:color="auto"/>
            </w:tcBorders>
            <w:shd w:val="clear" w:color="auto" w:fill="auto"/>
          </w:tcPr>
          <w:p w14:paraId="3D523B90" w14:textId="65EB5994" w:rsidR="00CD69D5" w:rsidRPr="004335FA" w:rsidRDefault="00BF1F55" w:rsidP="00CD69D5">
            <w:pPr>
              <w:pStyle w:val="Bullet"/>
              <w:numPr>
                <w:ilvl w:val="0"/>
                <w:numId w:val="0"/>
              </w:numPr>
              <w:ind w:left="33"/>
            </w:pPr>
            <w:r w:rsidRPr="004335FA">
              <w:t>Develop and execute tests of controls to confirm the operating effectiveness of the internal controls performed by the compliance function.</w:t>
            </w:r>
          </w:p>
        </w:tc>
        <w:tc>
          <w:tcPr>
            <w:tcW w:w="3686" w:type="dxa"/>
            <w:tcBorders>
              <w:bottom w:val="single" w:sz="4" w:space="0" w:color="auto"/>
            </w:tcBorders>
            <w:shd w:val="clear" w:color="auto" w:fill="auto"/>
          </w:tcPr>
          <w:p w14:paraId="16C3CA1F" w14:textId="77777777" w:rsidR="00CD69D5" w:rsidRPr="00E76257" w:rsidRDefault="00CD69D5" w:rsidP="00CD69D5">
            <w:pPr>
              <w:spacing w:line="240" w:lineRule="auto"/>
              <w:rPr>
                <w:rFonts w:cs="Arial"/>
                <w:sz w:val="16"/>
                <w:szCs w:val="16"/>
                <w:lang w:val="en-US"/>
              </w:rPr>
            </w:pPr>
          </w:p>
        </w:tc>
        <w:tc>
          <w:tcPr>
            <w:tcW w:w="992" w:type="dxa"/>
            <w:tcBorders>
              <w:bottom w:val="single" w:sz="4" w:space="0" w:color="auto"/>
            </w:tcBorders>
            <w:shd w:val="clear" w:color="auto" w:fill="auto"/>
          </w:tcPr>
          <w:p w14:paraId="702DD3B0" w14:textId="77777777" w:rsidR="00CD69D5" w:rsidRPr="00E76257" w:rsidRDefault="00CD69D5" w:rsidP="00CD69D5">
            <w:pPr>
              <w:spacing w:line="240" w:lineRule="auto"/>
              <w:rPr>
                <w:rFonts w:cs="Arial"/>
                <w:sz w:val="16"/>
                <w:szCs w:val="16"/>
                <w:lang w:val="en-US"/>
              </w:rPr>
            </w:pPr>
          </w:p>
        </w:tc>
      </w:tr>
      <w:tr w:rsidR="00CD69D5" w:rsidRPr="00117A16" w14:paraId="08D39F82" w14:textId="77777777" w:rsidTr="008439E0">
        <w:tc>
          <w:tcPr>
            <w:tcW w:w="14317" w:type="dxa"/>
            <w:gridSpan w:val="7"/>
            <w:shd w:val="pct10" w:color="auto" w:fill="auto"/>
          </w:tcPr>
          <w:p w14:paraId="5103BCAF" w14:textId="79EDAAC2" w:rsidR="00CD69D5" w:rsidRPr="004335FA" w:rsidRDefault="00CD69D5" w:rsidP="00CD69D5">
            <w:pPr>
              <w:spacing w:line="240" w:lineRule="auto"/>
              <w:rPr>
                <w:rFonts w:cs="Arial"/>
                <w:i/>
                <w:sz w:val="16"/>
                <w:szCs w:val="16"/>
              </w:rPr>
            </w:pPr>
            <w:r w:rsidRPr="004335FA">
              <w:rPr>
                <w:i/>
                <w:sz w:val="16"/>
                <w:szCs w:val="16"/>
              </w:rPr>
              <w:t>“Confirmation that the organisational set-up of the risk control function and the compensation system did not lead to a conflict of interest”.</w:t>
            </w:r>
          </w:p>
          <w:p w14:paraId="176A5DC5" w14:textId="4955DF45" w:rsidR="00CD69D5" w:rsidRPr="00E76257" w:rsidRDefault="00CD69D5" w:rsidP="00CD69D5">
            <w:pPr>
              <w:spacing w:line="240" w:lineRule="auto"/>
              <w:rPr>
                <w:rFonts w:cs="Arial"/>
                <w:i/>
                <w:sz w:val="16"/>
                <w:szCs w:val="16"/>
                <w:lang w:val="de-CH"/>
              </w:rPr>
            </w:pPr>
            <w:r w:rsidRPr="00E76257">
              <w:rPr>
                <w:i/>
                <w:sz w:val="16"/>
                <w:szCs w:val="16"/>
                <w:lang w:val="de-CH"/>
              </w:rPr>
              <w:t>„Bestätigung, dass die organisatorische Anordnung der Funktion Compliance und das Entschädigungssystem</w:t>
            </w:r>
            <w:r w:rsidRPr="00E76257">
              <w:rPr>
                <w:sz w:val="16"/>
                <w:szCs w:val="16"/>
                <w:lang w:val="de-CH"/>
              </w:rPr>
              <w:t xml:space="preserve"> </w:t>
            </w:r>
            <w:r w:rsidRPr="00E76257">
              <w:rPr>
                <w:i/>
                <w:sz w:val="16"/>
                <w:szCs w:val="16"/>
                <w:lang w:val="de-CH"/>
              </w:rPr>
              <w:t>keine Zielkonflikte herbeiführten“.</w:t>
            </w:r>
          </w:p>
          <w:p w14:paraId="669BFA06" w14:textId="4F961ABF" w:rsidR="00CD69D5" w:rsidRPr="00E76257" w:rsidRDefault="00CD69D5" w:rsidP="00CD69D5">
            <w:pPr>
              <w:spacing w:line="240" w:lineRule="auto"/>
              <w:rPr>
                <w:rFonts w:cs="Arial"/>
                <w:i/>
                <w:sz w:val="16"/>
                <w:szCs w:val="16"/>
                <w:lang w:val="fr-CH"/>
              </w:rPr>
            </w:pPr>
            <w:r w:rsidRPr="00E76257">
              <w:rPr>
                <w:i/>
                <w:sz w:val="16"/>
                <w:szCs w:val="16"/>
                <w:lang w:val="fr-CH"/>
              </w:rPr>
              <w:t>“Confirmation que le positionnement de la fonction de compliance dans l’organisation et le mode de rémunération n’ont pas généré de conflits d’objectifs”.</w:t>
            </w:r>
          </w:p>
        </w:tc>
      </w:tr>
      <w:tr w:rsidR="00CD69D5" w:rsidRPr="004335FA" w14:paraId="7E5C652D" w14:textId="77777777" w:rsidTr="008439E0">
        <w:tc>
          <w:tcPr>
            <w:tcW w:w="531" w:type="dxa"/>
            <w:shd w:val="clear" w:color="auto" w:fill="auto"/>
          </w:tcPr>
          <w:p w14:paraId="399B0436" w14:textId="24C71BE3" w:rsidR="00CD69D5" w:rsidRPr="004335FA" w:rsidRDefault="00CD69D5" w:rsidP="00CD69D5">
            <w:pPr>
              <w:spacing w:line="240" w:lineRule="auto"/>
              <w:rPr>
                <w:rFonts w:cs="Arial"/>
                <w:sz w:val="16"/>
                <w:szCs w:val="16"/>
                <w:lang w:val="fr-CH"/>
              </w:rPr>
            </w:pPr>
          </w:p>
        </w:tc>
        <w:tc>
          <w:tcPr>
            <w:tcW w:w="1596" w:type="dxa"/>
            <w:gridSpan w:val="2"/>
            <w:vMerge w:val="restart"/>
            <w:shd w:val="clear" w:color="auto" w:fill="auto"/>
          </w:tcPr>
          <w:p w14:paraId="0AFD581F" w14:textId="77777777" w:rsidR="00CD69D5" w:rsidRPr="004335FA" w:rsidRDefault="00CD69D5" w:rsidP="00CD69D5">
            <w:pPr>
              <w:spacing w:line="240" w:lineRule="auto"/>
              <w:rPr>
                <w:rFonts w:cs="Arial"/>
                <w:b/>
                <w:sz w:val="16"/>
                <w:szCs w:val="16"/>
              </w:rPr>
            </w:pPr>
            <w:r w:rsidRPr="004335FA">
              <w:rPr>
                <w:b/>
                <w:sz w:val="16"/>
                <w:szCs w:val="16"/>
              </w:rPr>
              <w:t>Organisational set-up and prevention of conflicts of interest</w:t>
            </w:r>
          </w:p>
        </w:tc>
        <w:tc>
          <w:tcPr>
            <w:tcW w:w="3685" w:type="dxa"/>
            <w:shd w:val="clear" w:color="auto" w:fill="auto"/>
          </w:tcPr>
          <w:p w14:paraId="5905F633" w14:textId="7F271443" w:rsidR="00CD69D5" w:rsidRPr="004335FA" w:rsidRDefault="00CD69D5" w:rsidP="00CD69D5">
            <w:pPr>
              <w:pStyle w:val="Bullet"/>
              <w:numPr>
                <w:ilvl w:val="0"/>
                <w:numId w:val="0"/>
              </w:numPr>
              <w:ind w:left="33"/>
            </w:pPr>
            <w:r w:rsidRPr="004335FA">
              <w:rPr>
                <w:i/>
              </w:rPr>
              <w:t>Assess whether the organisational set-up of the compliance function is adequate considering the size, business and organisational complexity of the institution and does not lead to a conflict of interest and if it is independent from the revenue-generating units. (margin</w:t>
            </w:r>
            <w:r w:rsidR="00E76257">
              <w:rPr>
                <w:i/>
              </w:rPr>
              <w:t xml:space="preserve"> no</w:t>
            </w:r>
            <w:r w:rsidRPr="004335FA">
              <w:rPr>
                <w:i/>
              </w:rPr>
              <w:t>s</w:t>
            </w:r>
            <w:r w:rsidR="00E76257">
              <w:rPr>
                <w:i/>
              </w:rPr>
              <w:t>.</w:t>
            </w:r>
            <w:r w:rsidRPr="004335FA">
              <w:rPr>
                <w:i/>
              </w:rPr>
              <w:t xml:space="preserve"> 62</w:t>
            </w:r>
            <w:r w:rsidR="00E81092">
              <w:rPr>
                <w:i/>
              </w:rPr>
              <w:t>–</w:t>
            </w:r>
            <w:r w:rsidRPr="004335FA">
              <w:rPr>
                <w:i/>
              </w:rPr>
              <w:t>68 FINMA Circ. 17/1), specifically:</w:t>
            </w:r>
          </w:p>
        </w:tc>
        <w:tc>
          <w:tcPr>
            <w:tcW w:w="3827" w:type="dxa"/>
            <w:shd w:val="clear" w:color="auto" w:fill="auto"/>
          </w:tcPr>
          <w:p w14:paraId="54C2DACB" w14:textId="55525E12" w:rsidR="00CD69D5" w:rsidRPr="00E76257" w:rsidRDefault="00CD69D5" w:rsidP="00CD69D5">
            <w:pPr>
              <w:pStyle w:val="Bullet"/>
              <w:numPr>
                <w:ilvl w:val="0"/>
                <w:numId w:val="0"/>
              </w:numPr>
              <w:ind w:left="33"/>
              <w:rPr>
                <w:lang w:val="en-US"/>
              </w:rPr>
            </w:pPr>
          </w:p>
        </w:tc>
        <w:tc>
          <w:tcPr>
            <w:tcW w:w="3686" w:type="dxa"/>
            <w:shd w:val="clear" w:color="auto" w:fill="auto"/>
          </w:tcPr>
          <w:p w14:paraId="52507689" w14:textId="77777777" w:rsidR="00CD69D5" w:rsidRPr="00E76257" w:rsidRDefault="00CD69D5" w:rsidP="00CD69D5">
            <w:pPr>
              <w:spacing w:line="240" w:lineRule="auto"/>
              <w:rPr>
                <w:rFonts w:cs="Arial"/>
                <w:sz w:val="16"/>
                <w:szCs w:val="16"/>
                <w:lang w:val="en-US"/>
              </w:rPr>
            </w:pPr>
          </w:p>
        </w:tc>
        <w:tc>
          <w:tcPr>
            <w:tcW w:w="992" w:type="dxa"/>
            <w:shd w:val="clear" w:color="auto" w:fill="auto"/>
          </w:tcPr>
          <w:p w14:paraId="73E048F9" w14:textId="77777777" w:rsidR="00CD69D5" w:rsidRPr="00E76257" w:rsidRDefault="00CD69D5" w:rsidP="00CD69D5">
            <w:pPr>
              <w:spacing w:line="240" w:lineRule="auto"/>
              <w:rPr>
                <w:rFonts w:cs="Arial"/>
                <w:sz w:val="16"/>
                <w:szCs w:val="16"/>
                <w:lang w:val="en-US"/>
              </w:rPr>
            </w:pPr>
          </w:p>
        </w:tc>
      </w:tr>
      <w:tr w:rsidR="00CD69D5" w:rsidRPr="004335FA" w14:paraId="125CB35D" w14:textId="77777777" w:rsidTr="008439E0">
        <w:tc>
          <w:tcPr>
            <w:tcW w:w="531" w:type="dxa"/>
            <w:shd w:val="clear" w:color="auto" w:fill="auto"/>
          </w:tcPr>
          <w:p w14:paraId="39A25EC4" w14:textId="6FECADD5" w:rsidR="00CD69D5" w:rsidRPr="00E76257" w:rsidRDefault="00CD69D5" w:rsidP="00CD69D5">
            <w:pPr>
              <w:spacing w:line="240" w:lineRule="auto"/>
              <w:rPr>
                <w:rFonts w:cs="Arial"/>
                <w:sz w:val="16"/>
                <w:szCs w:val="16"/>
                <w:lang w:val="en-US"/>
              </w:rPr>
            </w:pPr>
          </w:p>
        </w:tc>
        <w:tc>
          <w:tcPr>
            <w:tcW w:w="1596" w:type="dxa"/>
            <w:gridSpan w:val="2"/>
            <w:vMerge/>
            <w:shd w:val="clear" w:color="auto" w:fill="auto"/>
          </w:tcPr>
          <w:p w14:paraId="251A62F1" w14:textId="77777777" w:rsidR="00CD69D5" w:rsidRPr="00E76257" w:rsidRDefault="00CD69D5" w:rsidP="00CD69D5">
            <w:pPr>
              <w:spacing w:line="240" w:lineRule="auto"/>
              <w:rPr>
                <w:rFonts w:cs="Arial"/>
                <w:b/>
                <w:sz w:val="16"/>
                <w:szCs w:val="16"/>
                <w:lang w:val="en-US"/>
              </w:rPr>
            </w:pPr>
          </w:p>
        </w:tc>
        <w:tc>
          <w:tcPr>
            <w:tcW w:w="3685" w:type="dxa"/>
            <w:shd w:val="clear" w:color="auto" w:fill="auto"/>
          </w:tcPr>
          <w:p w14:paraId="7636CDD2" w14:textId="4C16ECF9" w:rsidR="00CD69D5" w:rsidRPr="004335FA" w:rsidRDefault="00CD69D5" w:rsidP="00CD69D5">
            <w:pPr>
              <w:pStyle w:val="Bullet"/>
              <w:numPr>
                <w:ilvl w:val="0"/>
                <w:numId w:val="0"/>
              </w:numPr>
              <w:ind w:left="33"/>
            </w:pPr>
            <w:r w:rsidRPr="004335FA">
              <w:t xml:space="preserve">Assess whether the organisational set-up of the compliance function complies with FINMA Circ. 17/1 – especially regarding prevention of conflicts </w:t>
            </w:r>
            <w:r w:rsidRPr="004335FA">
              <w:lastRenderedPageBreak/>
              <w:t>of interest and independence from revenue-generating units – and is appropriate given recent and planned changes to the institution’s overall circumstances, controls and organisation (margin</w:t>
            </w:r>
            <w:r w:rsidR="00E76257">
              <w:t xml:space="preserve"> no</w:t>
            </w:r>
            <w:r w:rsidRPr="004335FA">
              <w:t>s</w:t>
            </w:r>
            <w:r w:rsidR="00E76257">
              <w:t>.</w:t>
            </w:r>
            <w:r w:rsidRPr="004335FA">
              <w:t xml:space="preserve"> 60-64 FINMA Circ. 17/1).</w:t>
            </w:r>
          </w:p>
        </w:tc>
        <w:tc>
          <w:tcPr>
            <w:tcW w:w="3827" w:type="dxa"/>
            <w:shd w:val="clear" w:color="auto" w:fill="auto"/>
          </w:tcPr>
          <w:p w14:paraId="2F82F95D" w14:textId="77777777" w:rsidR="00CD69D5" w:rsidRPr="00E76257" w:rsidRDefault="00CD69D5" w:rsidP="00CD69D5">
            <w:pPr>
              <w:spacing w:line="240" w:lineRule="auto"/>
              <w:ind w:left="33"/>
              <w:rPr>
                <w:rFonts w:cs="Arial"/>
                <w:sz w:val="16"/>
                <w:szCs w:val="16"/>
                <w:lang w:val="en-US"/>
              </w:rPr>
            </w:pPr>
          </w:p>
        </w:tc>
        <w:tc>
          <w:tcPr>
            <w:tcW w:w="3686" w:type="dxa"/>
            <w:shd w:val="clear" w:color="auto" w:fill="auto"/>
          </w:tcPr>
          <w:p w14:paraId="4EA52140" w14:textId="77777777" w:rsidR="00CD69D5" w:rsidRPr="00E76257" w:rsidRDefault="00CD69D5" w:rsidP="00CD69D5">
            <w:pPr>
              <w:spacing w:line="240" w:lineRule="auto"/>
              <w:rPr>
                <w:rFonts w:cs="Arial"/>
                <w:sz w:val="16"/>
                <w:szCs w:val="16"/>
                <w:lang w:val="en-US"/>
              </w:rPr>
            </w:pPr>
          </w:p>
        </w:tc>
        <w:tc>
          <w:tcPr>
            <w:tcW w:w="992" w:type="dxa"/>
            <w:shd w:val="clear" w:color="auto" w:fill="auto"/>
          </w:tcPr>
          <w:p w14:paraId="2FF9847E" w14:textId="77777777" w:rsidR="00CD69D5" w:rsidRPr="00E76257" w:rsidRDefault="00CD69D5" w:rsidP="00CD69D5">
            <w:pPr>
              <w:spacing w:line="240" w:lineRule="auto"/>
              <w:rPr>
                <w:rFonts w:cs="Arial"/>
                <w:sz w:val="16"/>
                <w:szCs w:val="16"/>
                <w:lang w:val="en-US"/>
              </w:rPr>
            </w:pPr>
          </w:p>
        </w:tc>
      </w:tr>
      <w:tr w:rsidR="00CD69D5" w:rsidRPr="004335FA" w14:paraId="013B900F" w14:textId="77777777" w:rsidTr="008439E0">
        <w:tc>
          <w:tcPr>
            <w:tcW w:w="531" w:type="dxa"/>
            <w:shd w:val="clear" w:color="auto" w:fill="auto"/>
          </w:tcPr>
          <w:p w14:paraId="0959A53F" w14:textId="5F068D5C" w:rsidR="00CD69D5" w:rsidRPr="004335FA" w:rsidRDefault="00CD69D5" w:rsidP="00CD69D5">
            <w:pPr>
              <w:spacing w:line="240" w:lineRule="auto"/>
              <w:rPr>
                <w:rFonts w:cs="Arial"/>
                <w:sz w:val="16"/>
                <w:szCs w:val="16"/>
              </w:rPr>
            </w:pPr>
          </w:p>
        </w:tc>
        <w:tc>
          <w:tcPr>
            <w:tcW w:w="1596" w:type="dxa"/>
            <w:gridSpan w:val="2"/>
            <w:vMerge/>
            <w:shd w:val="clear" w:color="auto" w:fill="auto"/>
          </w:tcPr>
          <w:p w14:paraId="4F2506AD" w14:textId="77777777" w:rsidR="00CD69D5" w:rsidRPr="00E76257" w:rsidRDefault="00CD69D5" w:rsidP="00CD69D5">
            <w:pPr>
              <w:spacing w:line="240" w:lineRule="auto"/>
              <w:rPr>
                <w:rFonts w:cs="Arial"/>
                <w:b/>
                <w:sz w:val="16"/>
                <w:szCs w:val="16"/>
                <w:lang w:val="en-US"/>
              </w:rPr>
            </w:pPr>
          </w:p>
        </w:tc>
        <w:tc>
          <w:tcPr>
            <w:tcW w:w="3685" w:type="dxa"/>
            <w:shd w:val="clear" w:color="auto" w:fill="auto"/>
          </w:tcPr>
          <w:p w14:paraId="2E31E953" w14:textId="148201F2" w:rsidR="00CD69D5" w:rsidRPr="004335FA" w:rsidRDefault="00CD69D5" w:rsidP="00CD69D5">
            <w:pPr>
              <w:pStyle w:val="Bullet"/>
              <w:numPr>
                <w:ilvl w:val="0"/>
                <w:numId w:val="0"/>
              </w:numPr>
              <w:ind w:left="33"/>
            </w:pPr>
            <w:r w:rsidRPr="004335FA">
              <w:t>Identify what member(s) of the Executive Board is/are responsible for the compliance function and assess whether the unlimited information, access and inspection rights as independent control body are ensured (margin</w:t>
            </w:r>
            <w:r w:rsidR="00E76257">
              <w:t xml:space="preserve"> no</w:t>
            </w:r>
            <w:r w:rsidRPr="004335FA">
              <w:t>s</w:t>
            </w:r>
            <w:r w:rsidR="00E76257">
              <w:t>.</w:t>
            </w:r>
            <w:r w:rsidRPr="004335FA">
              <w:t xml:space="preserve"> 64 and 65 FINMA Circ. 17/</w:t>
            </w:r>
            <w:r w:rsidR="005632B8">
              <w:t>1).</w:t>
            </w:r>
          </w:p>
        </w:tc>
        <w:tc>
          <w:tcPr>
            <w:tcW w:w="3827" w:type="dxa"/>
            <w:shd w:val="clear" w:color="auto" w:fill="auto"/>
          </w:tcPr>
          <w:p w14:paraId="4BD0E6AD" w14:textId="77777777" w:rsidR="00CD69D5" w:rsidRPr="00E76257" w:rsidRDefault="00CD69D5" w:rsidP="00CD69D5">
            <w:pPr>
              <w:spacing w:line="240" w:lineRule="auto"/>
              <w:ind w:left="33"/>
              <w:rPr>
                <w:rFonts w:cs="Arial"/>
                <w:sz w:val="16"/>
                <w:szCs w:val="16"/>
                <w:lang w:val="en-US"/>
              </w:rPr>
            </w:pPr>
          </w:p>
        </w:tc>
        <w:tc>
          <w:tcPr>
            <w:tcW w:w="3686" w:type="dxa"/>
            <w:shd w:val="clear" w:color="auto" w:fill="auto"/>
          </w:tcPr>
          <w:p w14:paraId="282E464D" w14:textId="77777777" w:rsidR="00CD69D5" w:rsidRPr="00E76257" w:rsidRDefault="00CD69D5" w:rsidP="00CD69D5">
            <w:pPr>
              <w:spacing w:line="240" w:lineRule="auto"/>
              <w:rPr>
                <w:rFonts w:cs="Arial"/>
                <w:sz w:val="16"/>
                <w:szCs w:val="16"/>
                <w:lang w:val="en-US"/>
              </w:rPr>
            </w:pPr>
          </w:p>
        </w:tc>
        <w:tc>
          <w:tcPr>
            <w:tcW w:w="992" w:type="dxa"/>
            <w:shd w:val="clear" w:color="auto" w:fill="auto"/>
          </w:tcPr>
          <w:p w14:paraId="124BCE71" w14:textId="77777777" w:rsidR="00CD69D5" w:rsidRPr="00E76257" w:rsidRDefault="00CD69D5" w:rsidP="00CD69D5">
            <w:pPr>
              <w:spacing w:line="240" w:lineRule="auto"/>
              <w:rPr>
                <w:rFonts w:cs="Arial"/>
                <w:sz w:val="16"/>
                <w:szCs w:val="16"/>
                <w:lang w:val="en-US"/>
              </w:rPr>
            </w:pPr>
          </w:p>
        </w:tc>
      </w:tr>
      <w:tr w:rsidR="00CD69D5" w:rsidRPr="004335FA" w14:paraId="49225288" w14:textId="77777777" w:rsidTr="008439E0">
        <w:tc>
          <w:tcPr>
            <w:tcW w:w="531" w:type="dxa"/>
            <w:shd w:val="clear" w:color="auto" w:fill="auto"/>
          </w:tcPr>
          <w:p w14:paraId="65123C1B" w14:textId="1969F7FD" w:rsidR="00CD69D5" w:rsidRPr="00E76257" w:rsidRDefault="00CD69D5" w:rsidP="00CD69D5">
            <w:pPr>
              <w:spacing w:line="240" w:lineRule="auto"/>
              <w:rPr>
                <w:rFonts w:cs="Arial"/>
                <w:sz w:val="16"/>
                <w:szCs w:val="16"/>
                <w:lang w:val="en-US"/>
              </w:rPr>
            </w:pPr>
          </w:p>
        </w:tc>
        <w:tc>
          <w:tcPr>
            <w:tcW w:w="1596" w:type="dxa"/>
            <w:gridSpan w:val="2"/>
            <w:vMerge/>
            <w:shd w:val="clear" w:color="auto" w:fill="auto"/>
          </w:tcPr>
          <w:p w14:paraId="0798BB8B" w14:textId="77777777" w:rsidR="00CD69D5" w:rsidRPr="00E76257" w:rsidRDefault="00CD69D5" w:rsidP="00CD69D5">
            <w:pPr>
              <w:spacing w:line="240" w:lineRule="auto"/>
              <w:rPr>
                <w:rFonts w:cs="Arial"/>
                <w:b/>
                <w:sz w:val="16"/>
                <w:szCs w:val="16"/>
                <w:lang w:val="en-US"/>
              </w:rPr>
            </w:pPr>
          </w:p>
        </w:tc>
        <w:tc>
          <w:tcPr>
            <w:tcW w:w="3685" w:type="dxa"/>
            <w:shd w:val="clear" w:color="auto" w:fill="auto"/>
          </w:tcPr>
          <w:p w14:paraId="2EBFFBFE" w14:textId="572EE836" w:rsidR="00CD69D5" w:rsidRPr="004335FA" w:rsidRDefault="00CD69D5" w:rsidP="00CD69D5">
            <w:pPr>
              <w:pStyle w:val="Bullet"/>
              <w:numPr>
                <w:ilvl w:val="0"/>
                <w:numId w:val="0"/>
              </w:numPr>
              <w:ind w:left="33"/>
            </w:pPr>
            <w:r w:rsidRPr="004335FA">
              <w:t xml:space="preserve">Assess whether the remuneration scheme for employees of the compliance function (e.g. salary, bonuses, fees) does not set any incentives which could lead to a conflict of interest (margin </w:t>
            </w:r>
            <w:r w:rsidR="00E76257">
              <w:t xml:space="preserve">no. </w:t>
            </w:r>
            <w:r w:rsidRPr="004335FA">
              <w:t>63 FINMA Circ. 17/1).</w:t>
            </w:r>
          </w:p>
        </w:tc>
        <w:tc>
          <w:tcPr>
            <w:tcW w:w="3827" w:type="dxa"/>
            <w:shd w:val="clear" w:color="auto" w:fill="auto"/>
          </w:tcPr>
          <w:p w14:paraId="163307E2" w14:textId="10D8641A" w:rsidR="00CD69D5" w:rsidRPr="004335FA" w:rsidRDefault="009E1A63" w:rsidP="008B7787">
            <w:pPr>
              <w:pStyle w:val="Bullet"/>
              <w:numPr>
                <w:ilvl w:val="0"/>
                <w:numId w:val="0"/>
              </w:numPr>
              <w:ind w:left="33"/>
            </w:pPr>
            <w:r w:rsidRPr="004335FA">
              <w:t>Execute substantive procedures to confirm that the remuneration of employees of the compliance function does not depend on the results of individual products or transactions.</w:t>
            </w:r>
          </w:p>
        </w:tc>
        <w:tc>
          <w:tcPr>
            <w:tcW w:w="3686" w:type="dxa"/>
            <w:shd w:val="clear" w:color="auto" w:fill="auto"/>
          </w:tcPr>
          <w:p w14:paraId="3EC21CF4" w14:textId="77777777" w:rsidR="00CD69D5" w:rsidRPr="00E76257" w:rsidRDefault="00CD69D5" w:rsidP="00CD69D5">
            <w:pPr>
              <w:spacing w:line="240" w:lineRule="auto"/>
              <w:rPr>
                <w:rFonts w:cs="Arial"/>
                <w:sz w:val="16"/>
                <w:szCs w:val="16"/>
                <w:lang w:val="en-US"/>
              </w:rPr>
            </w:pPr>
          </w:p>
        </w:tc>
        <w:tc>
          <w:tcPr>
            <w:tcW w:w="992" w:type="dxa"/>
            <w:shd w:val="clear" w:color="auto" w:fill="auto"/>
          </w:tcPr>
          <w:p w14:paraId="37DD8ACB" w14:textId="77777777" w:rsidR="00CD69D5" w:rsidRPr="00E76257" w:rsidRDefault="00CD69D5" w:rsidP="00CD69D5">
            <w:pPr>
              <w:spacing w:line="240" w:lineRule="auto"/>
              <w:rPr>
                <w:rFonts w:cs="Arial"/>
                <w:sz w:val="16"/>
                <w:szCs w:val="16"/>
                <w:lang w:val="en-US"/>
              </w:rPr>
            </w:pPr>
          </w:p>
        </w:tc>
      </w:tr>
      <w:tr w:rsidR="00CD69D5" w:rsidRPr="004335FA" w14:paraId="34C8237D" w14:textId="77777777" w:rsidTr="008439E0">
        <w:tc>
          <w:tcPr>
            <w:tcW w:w="531" w:type="dxa"/>
            <w:shd w:val="clear" w:color="auto" w:fill="auto"/>
          </w:tcPr>
          <w:p w14:paraId="60A4A91D" w14:textId="77777777" w:rsidR="00CD69D5" w:rsidRPr="00E76257" w:rsidRDefault="00CD69D5" w:rsidP="00CD69D5">
            <w:pPr>
              <w:spacing w:line="240" w:lineRule="auto"/>
              <w:rPr>
                <w:rFonts w:cs="Arial"/>
                <w:sz w:val="16"/>
                <w:szCs w:val="16"/>
                <w:lang w:val="en-US"/>
              </w:rPr>
            </w:pPr>
          </w:p>
        </w:tc>
        <w:tc>
          <w:tcPr>
            <w:tcW w:w="1596" w:type="dxa"/>
            <w:gridSpan w:val="2"/>
            <w:vMerge/>
            <w:shd w:val="clear" w:color="auto" w:fill="auto"/>
          </w:tcPr>
          <w:p w14:paraId="27F8AD1B" w14:textId="77777777" w:rsidR="00CD69D5" w:rsidRPr="00E76257" w:rsidRDefault="00CD69D5" w:rsidP="00CD69D5">
            <w:pPr>
              <w:spacing w:line="240" w:lineRule="auto"/>
              <w:rPr>
                <w:rFonts w:cs="Arial"/>
                <w:b/>
                <w:sz w:val="16"/>
                <w:szCs w:val="16"/>
                <w:lang w:val="en-US"/>
              </w:rPr>
            </w:pPr>
          </w:p>
        </w:tc>
        <w:tc>
          <w:tcPr>
            <w:tcW w:w="3685" w:type="dxa"/>
            <w:shd w:val="clear" w:color="auto" w:fill="auto"/>
          </w:tcPr>
          <w:p w14:paraId="0A15AA0C" w14:textId="38930211" w:rsidR="00CD69D5" w:rsidRPr="004335FA" w:rsidRDefault="00CD69D5" w:rsidP="00CD69D5">
            <w:pPr>
              <w:pStyle w:val="Bullet"/>
              <w:numPr>
                <w:ilvl w:val="0"/>
                <w:numId w:val="0"/>
              </w:numPr>
              <w:ind w:left="33"/>
            </w:pPr>
            <w:r w:rsidRPr="004335FA">
              <w:t>Assess if the compliance function (independent control body) has direct access to the Board of Directors.</w:t>
            </w:r>
          </w:p>
        </w:tc>
        <w:tc>
          <w:tcPr>
            <w:tcW w:w="3827" w:type="dxa"/>
            <w:shd w:val="clear" w:color="auto" w:fill="auto"/>
          </w:tcPr>
          <w:p w14:paraId="7C293B8A" w14:textId="77777777" w:rsidR="00CD69D5" w:rsidRPr="00E76257" w:rsidRDefault="00CD69D5" w:rsidP="00CD69D5">
            <w:pPr>
              <w:pStyle w:val="Bullet"/>
              <w:numPr>
                <w:ilvl w:val="0"/>
                <w:numId w:val="0"/>
              </w:numPr>
              <w:ind w:left="33"/>
              <w:rPr>
                <w:lang w:val="en-US"/>
              </w:rPr>
            </w:pPr>
          </w:p>
        </w:tc>
        <w:tc>
          <w:tcPr>
            <w:tcW w:w="3686" w:type="dxa"/>
            <w:shd w:val="clear" w:color="auto" w:fill="auto"/>
          </w:tcPr>
          <w:p w14:paraId="54DE0B47" w14:textId="77777777" w:rsidR="00CD69D5" w:rsidRPr="00E76257" w:rsidRDefault="00CD69D5" w:rsidP="00CD69D5">
            <w:pPr>
              <w:spacing w:line="240" w:lineRule="auto"/>
              <w:rPr>
                <w:rFonts w:cs="Arial"/>
                <w:sz w:val="16"/>
                <w:szCs w:val="16"/>
                <w:lang w:val="en-US"/>
              </w:rPr>
            </w:pPr>
          </w:p>
        </w:tc>
        <w:tc>
          <w:tcPr>
            <w:tcW w:w="992" w:type="dxa"/>
            <w:shd w:val="clear" w:color="auto" w:fill="auto"/>
          </w:tcPr>
          <w:p w14:paraId="65637D3B" w14:textId="77777777" w:rsidR="00CD69D5" w:rsidRPr="00E76257" w:rsidRDefault="00CD69D5" w:rsidP="00CD69D5">
            <w:pPr>
              <w:spacing w:line="240" w:lineRule="auto"/>
              <w:rPr>
                <w:rFonts w:cs="Arial"/>
                <w:sz w:val="16"/>
                <w:szCs w:val="16"/>
                <w:lang w:val="en-US"/>
              </w:rPr>
            </w:pPr>
          </w:p>
        </w:tc>
      </w:tr>
      <w:tr w:rsidR="00CD69D5" w:rsidRPr="004335FA" w14:paraId="7E8552FA" w14:textId="77777777" w:rsidTr="008439E0">
        <w:tc>
          <w:tcPr>
            <w:tcW w:w="531" w:type="dxa"/>
            <w:shd w:val="clear" w:color="auto" w:fill="auto"/>
          </w:tcPr>
          <w:p w14:paraId="1B361FA4" w14:textId="77777777" w:rsidR="00CD69D5" w:rsidRPr="00E76257" w:rsidRDefault="00CD69D5" w:rsidP="00CD69D5">
            <w:pPr>
              <w:spacing w:line="240" w:lineRule="auto"/>
              <w:rPr>
                <w:rFonts w:cs="Arial"/>
                <w:sz w:val="16"/>
                <w:szCs w:val="16"/>
                <w:lang w:val="en-US"/>
              </w:rPr>
            </w:pPr>
          </w:p>
        </w:tc>
        <w:tc>
          <w:tcPr>
            <w:tcW w:w="1596" w:type="dxa"/>
            <w:gridSpan w:val="2"/>
            <w:vMerge/>
            <w:shd w:val="clear" w:color="auto" w:fill="auto"/>
          </w:tcPr>
          <w:p w14:paraId="06688929" w14:textId="77777777" w:rsidR="00CD69D5" w:rsidRPr="00E76257" w:rsidRDefault="00CD69D5" w:rsidP="00CD69D5">
            <w:pPr>
              <w:spacing w:line="240" w:lineRule="auto"/>
              <w:rPr>
                <w:rFonts w:cs="Arial"/>
                <w:b/>
                <w:sz w:val="16"/>
                <w:szCs w:val="16"/>
                <w:lang w:val="en-US"/>
              </w:rPr>
            </w:pPr>
          </w:p>
        </w:tc>
        <w:tc>
          <w:tcPr>
            <w:tcW w:w="3685" w:type="dxa"/>
            <w:shd w:val="clear" w:color="auto" w:fill="auto"/>
          </w:tcPr>
          <w:p w14:paraId="73628E4F" w14:textId="0119F153" w:rsidR="00CD69D5" w:rsidRPr="004335FA" w:rsidRDefault="00CD69D5" w:rsidP="00CD69D5">
            <w:pPr>
              <w:pStyle w:val="Bullet"/>
              <w:numPr>
                <w:ilvl w:val="0"/>
                <w:numId w:val="0"/>
              </w:numPr>
            </w:pPr>
            <w:r w:rsidRPr="00AA78F7">
              <w:rPr>
                <w:b/>
                <w:sz w:val="28"/>
                <w:szCs w:val="28"/>
              </w:rPr>
              <w:t>*</w:t>
            </w:r>
            <w:r w:rsidRPr="004335FA">
              <w:t xml:space="preserve"> Assess if a separate compliance function exists as an independent control body (margin </w:t>
            </w:r>
            <w:r w:rsidR="00E76257">
              <w:t xml:space="preserve">no. </w:t>
            </w:r>
            <w:r w:rsidRPr="004335FA">
              <w:t>67 FINMA Circ. 17/1).</w:t>
            </w:r>
          </w:p>
        </w:tc>
        <w:tc>
          <w:tcPr>
            <w:tcW w:w="3827" w:type="dxa"/>
            <w:shd w:val="clear" w:color="auto" w:fill="auto"/>
          </w:tcPr>
          <w:p w14:paraId="26FA512E" w14:textId="77777777" w:rsidR="00CD69D5" w:rsidRPr="00E76257" w:rsidRDefault="00CD69D5" w:rsidP="00CD69D5">
            <w:pPr>
              <w:pStyle w:val="Bullet"/>
              <w:numPr>
                <w:ilvl w:val="0"/>
                <w:numId w:val="0"/>
              </w:numPr>
              <w:ind w:left="33"/>
              <w:rPr>
                <w:lang w:val="en-US"/>
              </w:rPr>
            </w:pPr>
          </w:p>
        </w:tc>
        <w:tc>
          <w:tcPr>
            <w:tcW w:w="3686" w:type="dxa"/>
            <w:shd w:val="clear" w:color="auto" w:fill="auto"/>
          </w:tcPr>
          <w:p w14:paraId="6C091B83" w14:textId="77777777" w:rsidR="00CD69D5" w:rsidRPr="00E76257" w:rsidRDefault="00CD69D5" w:rsidP="00CD69D5">
            <w:pPr>
              <w:spacing w:line="240" w:lineRule="auto"/>
              <w:rPr>
                <w:rFonts w:cs="Arial"/>
                <w:sz w:val="16"/>
                <w:szCs w:val="16"/>
                <w:lang w:val="en-US"/>
              </w:rPr>
            </w:pPr>
          </w:p>
        </w:tc>
        <w:tc>
          <w:tcPr>
            <w:tcW w:w="992" w:type="dxa"/>
            <w:shd w:val="clear" w:color="auto" w:fill="auto"/>
          </w:tcPr>
          <w:p w14:paraId="34716D92" w14:textId="77777777" w:rsidR="00CD69D5" w:rsidRPr="00E76257" w:rsidRDefault="00CD69D5" w:rsidP="00CD69D5">
            <w:pPr>
              <w:spacing w:line="240" w:lineRule="auto"/>
              <w:rPr>
                <w:rFonts w:cs="Arial"/>
                <w:sz w:val="16"/>
                <w:szCs w:val="16"/>
                <w:lang w:val="en-US"/>
              </w:rPr>
            </w:pPr>
          </w:p>
        </w:tc>
      </w:tr>
    </w:tbl>
    <w:p w14:paraId="44C4FB81" w14:textId="77777777" w:rsidR="00065D05" w:rsidRPr="00B90D29" w:rsidRDefault="00065D05">
      <w:pPr>
        <w:spacing w:before="0" w:after="200"/>
        <w:rPr>
          <w:rFonts w:cs="Arial"/>
          <w:b/>
        </w:rPr>
      </w:pPr>
      <w:r>
        <w:br w:type="page"/>
      </w:r>
    </w:p>
    <w:p w14:paraId="53F1645F" w14:textId="115B582A" w:rsidR="00BD0B1A" w:rsidRPr="00B90D29" w:rsidRDefault="007727AB" w:rsidP="00BD0B1A">
      <w:pPr>
        <w:spacing w:line="240" w:lineRule="auto"/>
        <w:rPr>
          <w:rFonts w:cs="Arial"/>
          <w:b/>
          <w:u w:val="single"/>
        </w:rPr>
      </w:pPr>
      <w:r>
        <w:rPr>
          <w:b/>
        </w:rPr>
        <w:lastRenderedPageBreak/>
        <w:t>Work programme – Risk control function</w:t>
      </w:r>
    </w:p>
    <w:p w14:paraId="6EA4688D" w14:textId="77777777" w:rsidR="001B3543" w:rsidRPr="00B90D29" w:rsidRDefault="001B3543" w:rsidP="00BD0B1A">
      <w:pPr>
        <w:spacing w:line="240" w:lineRule="auto"/>
        <w:rPr>
          <w:rFonts w:cs="Arial"/>
          <w:lang w:val="de-CH"/>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0A0" w:firstRow="1" w:lastRow="0" w:firstColumn="1" w:lastColumn="0" w:noHBand="0" w:noVBand="0"/>
      </w:tblPr>
      <w:tblGrid>
        <w:gridCol w:w="531"/>
        <w:gridCol w:w="1596"/>
        <w:gridCol w:w="3685"/>
        <w:gridCol w:w="3827"/>
        <w:gridCol w:w="3686"/>
        <w:gridCol w:w="992"/>
      </w:tblGrid>
      <w:tr w:rsidR="00F6760D" w:rsidRPr="004335FA" w14:paraId="4892FC72" w14:textId="77777777" w:rsidTr="00F408E8">
        <w:trPr>
          <w:tblHeader/>
        </w:trPr>
        <w:tc>
          <w:tcPr>
            <w:tcW w:w="531" w:type="dxa"/>
            <w:tcBorders>
              <w:bottom w:val="single" w:sz="4" w:space="0" w:color="auto"/>
            </w:tcBorders>
            <w:shd w:val="pct20" w:color="auto" w:fill="auto"/>
          </w:tcPr>
          <w:p w14:paraId="344BD379" w14:textId="77777777" w:rsidR="00F6760D" w:rsidRPr="004335FA" w:rsidRDefault="00F6760D" w:rsidP="005654C3">
            <w:pPr>
              <w:spacing w:line="240" w:lineRule="auto"/>
              <w:rPr>
                <w:rFonts w:cs="Arial"/>
                <w:b/>
                <w:sz w:val="16"/>
                <w:szCs w:val="16"/>
              </w:rPr>
            </w:pPr>
            <w:r w:rsidRPr="004335FA">
              <w:rPr>
                <w:b/>
                <w:sz w:val="16"/>
                <w:szCs w:val="16"/>
              </w:rPr>
              <w:t>No.</w:t>
            </w:r>
          </w:p>
        </w:tc>
        <w:tc>
          <w:tcPr>
            <w:tcW w:w="1596" w:type="dxa"/>
            <w:tcBorders>
              <w:bottom w:val="single" w:sz="4" w:space="0" w:color="auto"/>
            </w:tcBorders>
            <w:shd w:val="pct20" w:color="auto" w:fill="auto"/>
          </w:tcPr>
          <w:p w14:paraId="5BFC924F" w14:textId="77777777" w:rsidR="00F6760D" w:rsidRPr="004335FA" w:rsidRDefault="00F6760D" w:rsidP="005654C3">
            <w:pPr>
              <w:spacing w:line="240" w:lineRule="auto"/>
              <w:rPr>
                <w:rFonts w:cs="Arial"/>
                <w:b/>
                <w:sz w:val="16"/>
                <w:szCs w:val="16"/>
              </w:rPr>
            </w:pPr>
            <w:r w:rsidRPr="004335FA">
              <w:rPr>
                <w:b/>
                <w:sz w:val="16"/>
                <w:szCs w:val="16"/>
              </w:rPr>
              <w:t>Topic:</w:t>
            </w:r>
          </w:p>
        </w:tc>
        <w:tc>
          <w:tcPr>
            <w:tcW w:w="3685" w:type="dxa"/>
            <w:tcBorders>
              <w:bottom w:val="single" w:sz="4" w:space="0" w:color="auto"/>
            </w:tcBorders>
            <w:shd w:val="pct20" w:color="auto" w:fill="auto"/>
          </w:tcPr>
          <w:p w14:paraId="0385DA3D" w14:textId="145076E8" w:rsidR="00F6760D" w:rsidRPr="004335FA" w:rsidRDefault="00F6760D" w:rsidP="005654C3">
            <w:pPr>
              <w:spacing w:line="240" w:lineRule="auto"/>
              <w:rPr>
                <w:rFonts w:cs="Arial"/>
                <w:b/>
                <w:sz w:val="16"/>
                <w:szCs w:val="16"/>
              </w:rPr>
            </w:pPr>
            <w:r w:rsidRPr="004335FA">
              <w:rPr>
                <w:b/>
                <w:sz w:val="16"/>
                <w:szCs w:val="16"/>
              </w:rPr>
              <w:t xml:space="preserve">Procedures for audit depth </w:t>
            </w:r>
            <w:r w:rsidRPr="004335FA">
              <w:rPr>
                <w:b/>
                <w:sz w:val="16"/>
                <w:szCs w:val="16"/>
              </w:rPr>
              <w:br/>
              <w:t>“critical assessment”:</w:t>
            </w:r>
          </w:p>
        </w:tc>
        <w:tc>
          <w:tcPr>
            <w:tcW w:w="3827" w:type="dxa"/>
            <w:tcBorders>
              <w:bottom w:val="single" w:sz="4" w:space="0" w:color="auto"/>
            </w:tcBorders>
            <w:shd w:val="pct20" w:color="auto" w:fill="auto"/>
          </w:tcPr>
          <w:p w14:paraId="4111FB1A" w14:textId="6DEE6723" w:rsidR="00F6760D" w:rsidRPr="004335FA" w:rsidRDefault="00F6760D" w:rsidP="008C2414">
            <w:pPr>
              <w:spacing w:line="240" w:lineRule="auto"/>
              <w:rPr>
                <w:rFonts w:cs="Arial"/>
                <w:b/>
                <w:sz w:val="16"/>
                <w:szCs w:val="16"/>
              </w:rPr>
            </w:pPr>
            <w:r w:rsidRPr="004335FA">
              <w:rPr>
                <w:b/>
                <w:sz w:val="16"/>
                <w:szCs w:val="16"/>
                <w:u w:val="single"/>
              </w:rPr>
              <w:t>Additional</w:t>
            </w:r>
            <w:r w:rsidRPr="004335FA">
              <w:rPr>
                <w:b/>
                <w:sz w:val="16"/>
                <w:szCs w:val="16"/>
              </w:rPr>
              <w:t xml:space="preserve"> procedures for audit depth “audit”:</w:t>
            </w:r>
          </w:p>
        </w:tc>
        <w:tc>
          <w:tcPr>
            <w:tcW w:w="3686" w:type="dxa"/>
            <w:tcBorders>
              <w:bottom w:val="single" w:sz="4" w:space="0" w:color="auto"/>
            </w:tcBorders>
            <w:shd w:val="pct20" w:color="auto" w:fill="auto"/>
          </w:tcPr>
          <w:p w14:paraId="69DADCF9" w14:textId="339D2B5B" w:rsidR="00F6760D" w:rsidRPr="004335FA" w:rsidRDefault="00440BBC" w:rsidP="005654C3">
            <w:pPr>
              <w:spacing w:line="240" w:lineRule="auto"/>
              <w:rPr>
                <w:rFonts w:cs="Arial"/>
                <w:b/>
                <w:sz w:val="16"/>
                <w:szCs w:val="16"/>
              </w:rPr>
            </w:pPr>
            <w:r w:rsidRPr="004335FA">
              <w:rPr>
                <w:b/>
                <w:sz w:val="16"/>
                <w:szCs w:val="16"/>
              </w:rPr>
              <w:t>Procedures performed/findings</w:t>
            </w:r>
          </w:p>
        </w:tc>
        <w:tc>
          <w:tcPr>
            <w:tcW w:w="992" w:type="dxa"/>
            <w:tcBorders>
              <w:bottom w:val="single" w:sz="4" w:space="0" w:color="auto"/>
            </w:tcBorders>
            <w:shd w:val="pct20" w:color="auto" w:fill="auto"/>
          </w:tcPr>
          <w:p w14:paraId="0C5C3612" w14:textId="774392CF" w:rsidR="00F6760D" w:rsidRPr="004335FA" w:rsidRDefault="00F76459" w:rsidP="005654C3">
            <w:pPr>
              <w:spacing w:line="240" w:lineRule="auto"/>
              <w:rPr>
                <w:rFonts w:cs="Arial"/>
                <w:b/>
                <w:sz w:val="16"/>
                <w:szCs w:val="16"/>
              </w:rPr>
            </w:pPr>
            <w:r w:rsidRPr="004335FA">
              <w:rPr>
                <w:b/>
                <w:sz w:val="16"/>
                <w:szCs w:val="16"/>
              </w:rPr>
              <w:t>WP ref.:</w:t>
            </w:r>
          </w:p>
        </w:tc>
      </w:tr>
      <w:tr w:rsidR="00F6760D" w:rsidRPr="00117A16" w14:paraId="4C0339C5" w14:textId="77777777" w:rsidTr="00F408E8">
        <w:tc>
          <w:tcPr>
            <w:tcW w:w="14317" w:type="dxa"/>
            <w:gridSpan w:val="6"/>
            <w:shd w:val="pct10" w:color="auto" w:fill="auto"/>
          </w:tcPr>
          <w:p w14:paraId="49EB8C30" w14:textId="6C2C35E4" w:rsidR="00F6760D" w:rsidRPr="004335FA" w:rsidRDefault="00BD0B1A" w:rsidP="00F6760D">
            <w:pPr>
              <w:spacing w:line="240" w:lineRule="auto"/>
              <w:rPr>
                <w:rFonts w:cs="Arial"/>
                <w:i/>
                <w:sz w:val="16"/>
                <w:szCs w:val="16"/>
              </w:rPr>
            </w:pPr>
            <w:r w:rsidRPr="004335FA">
              <w:rPr>
                <w:i/>
                <w:sz w:val="16"/>
                <w:szCs w:val="16"/>
              </w:rPr>
              <w:t>“Confirmation that the technical and personnel resources of the risk control function were adequate and it actually assumed responsibility”.</w:t>
            </w:r>
          </w:p>
          <w:p w14:paraId="6C6DE10E" w14:textId="0DB708EF" w:rsidR="00F6760D" w:rsidRPr="00E76257" w:rsidRDefault="00BD0B1A" w:rsidP="00F6760D">
            <w:pPr>
              <w:spacing w:line="240" w:lineRule="auto"/>
              <w:rPr>
                <w:rFonts w:cs="Arial"/>
                <w:i/>
                <w:sz w:val="16"/>
                <w:szCs w:val="16"/>
                <w:lang w:val="de-CH"/>
              </w:rPr>
            </w:pPr>
            <w:r w:rsidRPr="00E76257">
              <w:rPr>
                <w:i/>
                <w:sz w:val="16"/>
                <w:szCs w:val="16"/>
                <w:lang w:val="de-CH"/>
              </w:rPr>
              <w:t>„Bestätigung, dass die technischen und personellen Ressourcen bei der Funktion Risikokontrolle ausreichend waren und dass diese ihre Verantwortung effektiv wahrgenommen hat“.</w:t>
            </w:r>
          </w:p>
          <w:p w14:paraId="4E5FCB33" w14:textId="4DDE2D7C" w:rsidR="00BD0B1A" w:rsidRPr="00E76257" w:rsidRDefault="00BD0B1A" w:rsidP="00535D10">
            <w:pPr>
              <w:spacing w:line="240" w:lineRule="auto"/>
              <w:rPr>
                <w:rFonts w:cs="Arial"/>
                <w:i/>
                <w:sz w:val="16"/>
                <w:szCs w:val="16"/>
                <w:lang w:val="fr-CH"/>
              </w:rPr>
            </w:pPr>
            <w:r w:rsidRPr="00E76257">
              <w:rPr>
                <w:i/>
                <w:sz w:val="16"/>
                <w:szCs w:val="16"/>
                <w:lang w:val="fr-CH"/>
              </w:rPr>
              <w:t>„Confirmation que les ressources techniques et personnelles de la fonction de contrôle des risques étaient suffisantes et qu’elle a assumé effectivement ses responsabilités“.</w:t>
            </w:r>
          </w:p>
        </w:tc>
      </w:tr>
      <w:tr w:rsidR="002B4EB8" w:rsidRPr="004335FA" w14:paraId="1E1E9640" w14:textId="77777777" w:rsidTr="00F408E8">
        <w:tc>
          <w:tcPr>
            <w:tcW w:w="531" w:type="dxa"/>
            <w:shd w:val="clear" w:color="auto" w:fill="auto"/>
          </w:tcPr>
          <w:p w14:paraId="32CC1707" w14:textId="119F8D0B" w:rsidR="002B4EB8" w:rsidRPr="004335FA" w:rsidRDefault="002B4EB8" w:rsidP="001B3543">
            <w:pPr>
              <w:spacing w:line="240" w:lineRule="auto"/>
              <w:rPr>
                <w:rFonts w:cs="Arial"/>
                <w:sz w:val="16"/>
                <w:szCs w:val="16"/>
                <w:lang w:val="fr-CH"/>
              </w:rPr>
            </w:pPr>
          </w:p>
        </w:tc>
        <w:tc>
          <w:tcPr>
            <w:tcW w:w="1596" w:type="dxa"/>
            <w:vMerge w:val="restart"/>
            <w:shd w:val="clear" w:color="auto" w:fill="auto"/>
          </w:tcPr>
          <w:p w14:paraId="5A9C46ED" w14:textId="77777777" w:rsidR="002B4EB8" w:rsidRPr="004335FA" w:rsidRDefault="002B4EB8" w:rsidP="001B3543">
            <w:pPr>
              <w:spacing w:line="240" w:lineRule="auto"/>
              <w:rPr>
                <w:rFonts w:cs="Arial"/>
                <w:b/>
                <w:sz w:val="16"/>
                <w:szCs w:val="16"/>
              </w:rPr>
            </w:pPr>
            <w:r w:rsidRPr="004335FA">
              <w:rPr>
                <w:b/>
                <w:sz w:val="16"/>
                <w:szCs w:val="16"/>
              </w:rPr>
              <w:t>Personnel resources</w:t>
            </w:r>
          </w:p>
        </w:tc>
        <w:tc>
          <w:tcPr>
            <w:tcW w:w="3685" w:type="dxa"/>
            <w:shd w:val="clear" w:color="auto" w:fill="auto"/>
          </w:tcPr>
          <w:p w14:paraId="6941D8BA" w14:textId="3582EE49" w:rsidR="002B4EB8" w:rsidRPr="004335FA" w:rsidRDefault="002B4EB8" w:rsidP="004C7FBD">
            <w:pPr>
              <w:pStyle w:val="Bullet"/>
              <w:numPr>
                <w:ilvl w:val="0"/>
                <w:numId w:val="0"/>
              </w:numPr>
              <w:ind w:left="33"/>
              <w:rPr>
                <w:i/>
              </w:rPr>
            </w:pPr>
            <w:r w:rsidRPr="004335FA">
              <w:rPr>
                <w:i/>
              </w:rPr>
              <w:t>Assess whether the personnel resources of the risk control function are adequate considering the size, business and organisational complexity and the risk profile of the institution, specifically:</w:t>
            </w:r>
          </w:p>
        </w:tc>
        <w:tc>
          <w:tcPr>
            <w:tcW w:w="3827" w:type="dxa"/>
            <w:shd w:val="clear" w:color="auto" w:fill="auto"/>
          </w:tcPr>
          <w:p w14:paraId="1E244185" w14:textId="77777777" w:rsidR="002B4EB8" w:rsidRPr="00E76257" w:rsidRDefault="002B4EB8" w:rsidP="00F6760D">
            <w:pPr>
              <w:pStyle w:val="Bullet"/>
              <w:numPr>
                <w:ilvl w:val="0"/>
                <w:numId w:val="0"/>
              </w:numPr>
              <w:rPr>
                <w:lang w:val="en-US"/>
              </w:rPr>
            </w:pPr>
          </w:p>
        </w:tc>
        <w:tc>
          <w:tcPr>
            <w:tcW w:w="3686" w:type="dxa"/>
            <w:shd w:val="clear" w:color="auto" w:fill="auto"/>
          </w:tcPr>
          <w:p w14:paraId="6FF25F02" w14:textId="77777777" w:rsidR="002B4EB8" w:rsidRPr="00E76257" w:rsidRDefault="002B4EB8" w:rsidP="00F6760D">
            <w:pPr>
              <w:pStyle w:val="Bullet"/>
              <w:numPr>
                <w:ilvl w:val="0"/>
                <w:numId w:val="0"/>
              </w:numPr>
              <w:rPr>
                <w:lang w:val="en-US"/>
              </w:rPr>
            </w:pPr>
          </w:p>
        </w:tc>
        <w:tc>
          <w:tcPr>
            <w:tcW w:w="992" w:type="dxa"/>
            <w:shd w:val="clear" w:color="auto" w:fill="auto"/>
          </w:tcPr>
          <w:p w14:paraId="4033CBCF" w14:textId="77777777" w:rsidR="002B4EB8" w:rsidRPr="00E76257" w:rsidRDefault="002B4EB8" w:rsidP="001B3543">
            <w:pPr>
              <w:spacing w:line="240" w:lineRule="auto"/>
              <w:rPr>
                <w:rFonts w:cs="Arial"/>
                <w:sz w:val="16"/>
                <w:szCs w:val="16"/>
                <w:lang w:val="en-US"/>
              </w:rPr>
            </w:pPr>
          </w:p>
        </w:tc>
      </w:tr>
      <w:tr w:rsidR="002B4EB8" w:rsidRPr="004335FA" w14:paraId="76613DBC" w14:textId="77777777" w:rsidTr="00F408E8">
        <w:tc>
          <w:tcPr>
            <w:tcW w:w="531" w:type="dxa"/>
            <w:shd w:val="clear" w:color="auto" w:fill="auto"/>
          </w:tcPr>
          <w:p w14:paraId="1676C4C2" w14:textId="7CD7CBEE" w:rsidR="002B4EB8" w:rsidRPr="00E76257" w:rsidRDefault="002B4EB8" w:rsidP="001B3543">
            <w:pPr>
              <w:spacing w:line="240" w:lineRule="auto"/>
              <w:rPr>
                <w:rFonts w:cs="Arial"/>
                <w:sz w:val="16"/>
                <w:szCs w:val="16"/>
                <w:lang w:val="en-US"/>
              </w:rPr>
            </w:pPr>
          </w:p>
        </w:tc>
        <w:tc>
          <w:tcPr>
            <w:tcW w:w="1596" w:type="dxa"/>
            <w:vMerge/>
            <w:shd w:val="clear" w:color="auto" w:fill="auto"/>
          </w:tcPr>
          <w:p w14:paraId="65670018" w14:textId="77777777" w:rsidR="002B4EB8" w:rsidRPr="00E76257" w:rsidRDefault="002B4EB8" w:rsidP="001B3543">
            <w:pPr>
              <w:spacing w:line="240" w:lineRule="auto"/>
              <w:rPr>
                <w:rFonts w:cs="Arial"/>
                <w:b/>
                <w:sz w:val="16"/>
                <w:szCs w:val="16"/>
                <w:lang w:val="en-US"/>
              </w:rPr>
            </w:pPr>
          </w:p>
        </w:tc>
        <w:tc>
          <w:tcPr>
            <w:tcW w:w="3685" w:type="dxa"/>
            <w:shd w:val="clear" w:color="auto" w:fill="auto"/>
          </w:tcPr>
          <w:p w14:paraId="0DD1DC7D" w14:textId="011DB384" w:rsidR="002B4EB8" w:rsidRPr="004335FA" w:rsidRDefault="002B4EB8" w:rsidP="002D6F47">
            <w:pPr>
              <w:pStyle w:val="Bullet"/>
              <w:numPr>
                <w:ilvl w:val="0"/>
                <w:numId w:val="0"/>
              </w:numPr>
              <w:ind w:left="33"/>
            </w:pPr>
            <w:r w:rsidRPr="004335FA">
              <w:t>Obtain a basic understanding of the institution’s risk control function, the number of its employees and the allocated tasks.</w:t>
            </w:r>
          </w:p>
        </w:tc>
        <w:tc>
          <w:tcPr>
            <w:tcW w:w="3827" w:type="dxa"/>
            <w:shd w:val="clear" w:color="auto" w:fill="auto"/>
          </w:tcPr>
          <w:p w14:paraId="47046DFE" w14:textId="77777777" w:rsidR="002B4EB8" w:rsidRPr="00E76257" w:rsidRDefault="002B4EB8" w:rsidP="00415624">
            <w:pPr>
              <w:pStyle w:val="Bullet"/>
              <w:numPr>
                <w:ilvl w:val="0"/>
                <w:numId w:val="0"/>
              </w:numPr>
              <w:ind w:left="33"/>
              <w:rPr>
                <w:lang w:val="en-US"/>
              </w:rPr>
            </w:pPr>
          </w:p>
        </w:tc>
        <w:tc>
          <w:tcPr>
            <w:tcW w:w="3686" w:type="dxa"/>
            <w:shd w:val="clear" w:color="auto" w:fill="auto"/>
          </w:tcPr>
          <w:p w14:paraId="0FFC8729" w14:textId="77777777" w:rsidR="002B4EB8" w:rsidRPr="00E76257" w:rsidRDefault="002B4EB8" w:rsidP="00F6760D">
            <w:pPr>
              <w:pStyle w:val="Bullet"/>
              <w:numPr>
                <w:ilvl w:val="0"/>
                <w:numId w:val="0"/>
              </w:numPr>
              <w:rPr>
                <w:lang w:val="en-US"/>
              </w:rPr>
            </w:pPr>
          </w:p>
        </w:tc>
        <w:tc>
          <w:tcPr>
            <w:tcW w:w="992" w:type="dxa"/>
            <w:shd w:val="clear" w:color="auto" w:fill="auto"/>
          </w:tcPr>
          <w:p w14:paraId="65D9FA39" w14:textId="77777777" w:rsidR="002B4EB8" w:rsidRPr="00E76257" w:rsidRDefault="002B4EB8" w:rsidP="001B3543">
            <w:pPr>
              <w:spacing w:line="240" w:lineRule="auto"/>
              <w:rPr>
                <w:rFonts w:cs="Arial"/>
                <w:sz w:val="16"/>
                <w:szCs w:val="16"/>
                <w:lang w:val="en-US"/>
              </w:rPr>
            </w:pPr>
          </w:p>
        </w:tc>
      </w:tr>
      <w:tr w:rsidR="002B4EB8" w:rsidRPr="004335FA" w14:paraId="6ADFDF5F" w14:textId="77777777" w:rsidTr="00F408E8">
        <w:tc>
          <w:tcPr>
            <w:tcW w:w="531" w:type="dxa"/>
            <w:shd w:val="clear" w:color="auto" w:fill="auto"/>
          </w:tcPr>
          <w:p w14:paraId="0B8A5E1F" w14:textId="7E74C67D" w:rsidR="002B4EB8" w:rsidRPr="00E76257" w:rsidRDefault="002B4EB8" w:rsidP="001B3543">
            <w:pPr>
              <w:spacing w:line="240" w:lineRule="auto"/>
              <w:rPr>
                <w:rFonts w:cs="Arial"/>
                <w:sz w:val="16"/>
                <w:szCs w:val="16"/>
                <w:lang w:val="en-US"/>
              </w:rPr>
            </w:pPr>
          </w:p>
        </w:tc>
        <w:tc>
          <w:tcPr>
            <w:tcW w:w="1596" w:type="dxa"/>
            <w:vMerge/>
            <w:shd w:val="clear" w:color="auto" w:fill="auto"/>
          </w:tcPr>
          <w:p w14:paraId="56497273" w14:textId="77777777" w:rsidR="002B4EB8" w:rsidRPr="00E76257" w:rsidRDefault="002B4EB8" w:rsidP="001B3543">
            <w:pPr>
              <w:spacing w:line="240" w:lineRule="auto"/>
              <w:rPr>
                <w:rFonts w:cs="Arial"/>
                <w:b/>
                <w:sz w:val="16"/>
                <w:szCs w:val="16"/>
                <w:lang w:val="en-US"/>
              </w:rPr>
            </w:pPr>
          </w:p>
        </w:tc>
        <w:tc>
          <w:tcPr>
            <w:tcW w:w="3685" w:type="dxa"/>
            <w:shd w:val="clear" w:color="auto" w:fill="auto"/>
          </w:tcPr>
          <w:p w14:paraId="7301C232" w14:textId="50D412FA" w:rsidR="005D440A" w:rsidRPr="004335FA" w:rsidRDefault="002B4EB8" w:rsidP="005D440A">
            <w:pPr>
              <w:pStyle w:val="Bullet"/>
              <w:numPr>
                <w:ilvl w:val="0"/>
                <w:numId w:val="0"/>
              </w:numPr>
              <w:ind w:left="33"/>
            </w:pPr>
            <w:r w:rsidRPr="004335FA">
              <w:t>Obtain for example the CVs and job descriptions of key persons/employees of the risk control function and assess their know-how.</w:t>
            </w:r>
          </w:p>
        </w:tc>
        <w:tc>
          <w:tcPr>
            <w:tcW w:w="3827" w:type="dxa"/>
            <w:shd w:val="clear" w:color="auto" w:fill="auto"/>
          </w:tcPr>
          <w:p w14:paraId="2583FC0A" w14:textId="77777777" w:rsidR="002B4EB8" w:rsidRPr="00E76257" w:rsidRDefault="002B4EB8" w:rsidP="00415624">
            <w:pPr>
              <w:pStyle w:val="Bullet"/>
              <w:numPr>
                <w:ilvl w:val="0"/>
                <w:numId w:val="0"/>
              </w:numPr>
              <w:ind w:left="33"/>
              <w:rPr>
                <w:lang w:val="en-US"/>
              </w:rPr>
            </w:pPr>
          </w:p>
        </w:tc>
        <w:tc>
          <w:tcPr>
            <w:tcW w:w="3686" w:type="dxa"/>
            <w:shd w:val="clear" w:color="auto" w:fill="auto"/>
          </w:tcPr>
          <w:p w14:paraId="5368D97C" w14:textId="77777777" w:rsidR="002B4EB8" w:rsidRPr="00E76257" w:rsidRDefault="002B4EB8" w:rsidP="00F6760D">
            <w:pPr>
              <w:pStyle w:val="Bullet"/>
              <w:numPr>
                <w:ilvl w:val="0"/>
                <w:numId w:val="0"/>
              </w:numPr>
              <w:rPr>
                <w:lang w:val="en-US"/>
              </w:rPr>
            </w:pPr>
          </w:p>
        </w:tc>
        <w:tc>
          <w:tcPr>
            <w:tcW w:w="992" w:type="dxa"/>
            <w:shd w:val="clear" w:color="auto" w:fill="auto"/>
          </w:tcPr>
          <w:p w14:paraId="786C3951" w14:textId="77777777" w:rsidR="002B4EB8" w:rsidRPr="00E76257" w:rsidRDefault="002B4EB8" w:rsidP="001B3543">
            <w:pPr>
              <w:spacing w:line="240" w:lineRule="auto"/>
              <w:rPr>
                <w:rFonts w:cs="Arial"/>
                <w:sz w:val="16"/>
                <w:szCs w:val="16"/>
                <w:lang w:val="en-US"/>
              </w:rPr>
            </w:pPr>
          </w:p>
        </w:tc>
      </w:tr>
      <w:tr w:rsidR="009D3C95" w:rsidRPr="004335FA" w14:paraId="2CAC60C4" w14:textId="77777777" w:rsidTr="00F408E8">
        <w:tc>
          <w:tcPr>
            <w:tcW w:w="531" w:type="dxa"/>
            <w:shd w:val="clear" w:color="auto" w:fill="auto"/>
          </w:tcPr>
          <w:p w14:paraId="29891E99" w14:textId="62092349" w:rsidR="009D3C95" w:rsidRPr="00E76257" w:rsidRDefault="009D3C95" w:rsidP="001B3543">
            <w:pPr>
              <w:spacing w:line="240" w:lineRule="auto"/>
              <w:rPr>
                <w:rFonts w:cs="Arial"/>
                <w:sz w:val="16"/>
                <w:szCs w:val="16"/>
                <w:lang w:val="en-US"/>
              </w:rPr>
            </w:pPr>
          </w:p>
        </w:tc>
        <w:tc>
          <w:tcPr>
            <w:tcW w:w="1596" w:type="dxa"/>
            <w:vMerge w:val="restart"/>
            <w:shd w:val="clear" w:color="auto" w:fill="auto"/>
          </w:tcPr>
          <w:p w14:paraId="0C679A65" w14:textId="77777777" w:rsidR="009D3C95" w:rsidRPr="004335FA" w:rsidRDefault="009D3C95" w:rsidP="00F6760D">
            <w:pPr>
              <w:spacing w:line="240" w:lineRule="auto"/>
              <w:rPr>
                <w:rFonts w:cs="Arial"/>
                <w:b/>
                <w:sz w:val="16"/>
                <w:szCs w:val="16"/>
              </w:rPr>
            </w:pPr>
            <w:r w:rsidRPr="004335FA">
              <w:rPr>
                <w:b/>
                <w:sz w:val="16"/>
                <w:szCs w:val="16"/>
              </w:rPr>
              <w:t>Technical resources</w:t>
            </w:r>
          </w:p>
        </w:tc>
        <w:tc>
          <w:tcPr>
            <w:tcW w:w="3685" w:type="dxa"/>
            <w:shd w:val="clear" w:color="auto" w:fill="auto"/>
          </w:tcPr>
          <w:p w14:paraId="33FB6271" w14:textId="0CE9F100" w:rsidR="009D3C95" w:rsidRPr="004335FA" w:rsidRDefault="009D3C95" w:rsidP="00946B52">
            <w:pPr>
              <w:pStyle w:val="Bullet"/>
              <w:numPr>
                <w:ilvl w:val="0"/>
                <w:numId w:val="0"/>
              </w:numPr>
              <w:ind w:left="33"/>
              <w:rPr>
                <w:i/>
              </w:rPr>
            </w:pPr>
            <w:r w:rsidRPr="004335FA">
              <w:rPr>
                <w:i/>
              </w:rPr>
              <w:t>Assess whether the technical resources of the risk control function are adequate considering the size, business and organi</w:t>
            </w:r>
            <w:r w:rsidR="005632B8">
              <w:rPr>
                <w:i/>
              </w:rPr>
              <w:t>s</w:t>
            </w:r>
            <w:r w:rsidRPr="004335FA">
              <w:rPr>
                <w:i/>
              </w:rPr>
              <w:t>ational complexity and the risk profile of the institution (margin</w:t>
            </w:r>
            <w:r w:rsidR="00E76257">
              <w:rPr>
                <w:i/>
              </w:rPr>
              <w:t xml:space="preserve"> no.</w:t>
            </w:r>
            <w:r w:rsidRPr="004335FA">
              <w:rPr>
                <w:i/>
              </w:rPr>
              <w:t xml:space="preserve"> 64 FINMA Circ. 17/1), specifically:</w:t>
            </w:r>
          </w:p>
        </w:tc>
        <w:tc>
          <w:tcPr>
            <w:tcW w:w="3827" w:type="dxa"/>
            <w:shd w:val="clear" w:color="auto" w:fill="auto"/>
          </w:tcPr>
          <w:p w14:paraId="4DFC6B48" w14:textId="77777777" w:rsidR="009D3C95" w:rsidRPr="00E76257" w:rsidRDefault="009D3C95" w:rsidP="00F6760D">
            <w:pPr>
              <w:pStyle w:val="Bullet"/>
              <w:numPr>
                <w:ilvl w:val="0"/>
                <w:numId w:val="0"/>
              </w:numPr>
              <w:rPr>
                <w:lang w:val="en-US"/>
              </w:rPr>
            </w:pPr>
          </w:p>
        </w:tc>
        <w:tc>
          <w:tcPr>
            <w:tcW w:w="3686" w:type="dxa"/>
            <w:shd w:val="clear" w:color="auto" w:fill="auto"/>
          </w:tcPr>
          <w:p w14:paraId="67AC8803" w14:textId="77777777" w:rsidR="009D3C95" w:rsidRPr="00E76257" w:rsidRDefault="009D3C95" w:rsidP="00F6760D">
            <w:pPr>
              <w:spacing w:line="240" w:lineRule="auto"/>
              <w:rPr>
                <w:rFonts w:cs="Arial"/>
                <w:sz w:val="16"/>
                <w:szCs w:val="16"/>
                <w:lang w:val="en-US"/>
              </w:rPr>
            </w:pPr>
          </w:p>
        </w:tc>
        <w:tc>
          <w:tcPr>
            <w:tcW w:w="992" w:type="dxa"/>
            <w:shd w:val="clear" w:color="auto" w:fill="auto"/>
          </w:tcPr>
          <w:p w14:paraId="60EAD9A4" w14:textId="77777777" w:rsidR="009D3C95" w:rsidRPr="00E76257" w:rsidRDefault="009D3C95" w:rsidP="001B3543">
            <w:pPr>
              <w:spacing w:line="240" w:lineRule="auto"/>
              <w:rPr>
                <w:rFonts w:cs="Arial"/>
                <w:sz w:val="16"/>
                <w:szCs w:val="16"/>
                <w:lang w:val="en-US"/>
              </w:rPr>
            </w:pPr>
          </w:p>
        </w:tc>
      </w:tr>
      <w:tr w:rsidR="005D440A" w:rsidRPr="004335FA" w14:paraId="74AB2D69" w14:textId="77777777" w:rsidTr="00F408E8">
        <w:tc>
          <w:tcPr>
            <w:tcW w:w="531" w:type="dxa"/>
            <w:shd w:val="clear" w:color="auto" w:fill="auto"/>
          </w:tcPr>
          <w:p w14:paraId="6C09002A" w14:textId="5198C2C1" w:rsidR="009D3C95" w:rsidRPr="00E76257" w:rsidRDefault="009D3C95" w:rsidP="001B3543">
            <w:pPr>
              <w:spacing w:line="240" w:lineRule="auto"/>
              <w:rPr>
                <w:rFonts w:cs="Arial"/>
                <w:sz w:val="16"/>
                <w:szCs w:val="16"/>
                <w:lang w:val="en-US"/>
              </w:rPr>
            </w:pPr>
          </w:p>
        </w:tc>
        <w:tc>
          <w:tcPr>
            <w:tcW w:w="1596" w:type="dxa"/>
            <w:vMerge/>
            <w:shd w:val="clear" w:color="auto" w:fill="auto"/>
          </w:tcPr>
          <w:p w14:paraId="3058379B" w14:textId="77777777" w:rsidR="009D3C95" w:rsidRPr="00E76257" w:rsidRDefault="009D3C95" w:rsidP="00F6760D">
            <w:pPr>
              <w:spacing w:line="240" w:lineRule="auto"/>
              <w:rPr>
                <w:rFonts w:cs="Arial"/>
                <w:b/>
                <w:sz w:val="16"/>
                <w:szCs w:val="16"/>
                <w:lang w:val="en-US"/>
              </w:rPr>
            </w:pPr>
          </w:p>
        </w:tc>
        <w:tc>
          <w:tcPr>
            <w:tcW w:w="3685" w:type="dxa"/>
            <w:shd w:val="clear" w:color="auto" w:fill="auto"/>
          </w:tcPr>
          <w:p w14:paraId="6F0A0D3C" w14:textId="72E8E73F" w:rsidR="009D3C95" w:rsidRPr="004335FA" w:rsidRDefault="007E68BC" w:rsidP="005D440A">
            <w:pPr>
              <w:pStyle w:val="Bullet"/>
              <w:numPr>
                <w:ilvl w:val="0"/>
                <w:numId w:val="0"/>
              </w:numPr>
              <w:ind w:left="33"/>
            </w:pPr>
            <w:r w:rsidRPr="004335FA">
              <w:t>Assess the adequacy of technical resources, e.g. with the help of a list of information technology applications and other working tools used by the risk control function, including the name of the system, a description of the purpose and the implementation date.</w:t>
            </w:r>
          </w:p>
        </w:tc>
        <w:tc>
          <w:tcPr>
            <w:tcW w:w="3827" w:type="dxa"/>
            <w:shd w:val="clear" w:color="auto" w:fill="auto"/>
          </w:tcPr>
          <w:p w14:paraId="6FAAB2F3" w14:textId="77777777" w:rsidR="009D3C95" w:rsidRPr="00E76257" w:rsidRDefault="009D3C95" w:rsidP="00415624">
            <w:pPr>
              <w:pStyle w:val="Bullet"/>
              <w:numPr>
                <w:ilvl w:val="0"/>
                <w:numId w:val="0"/>
              </w:numPr>
              <w:ind w:left="33"/>
              <w:rPr>
                <w:lang w:val="en-US"/>
              </w:rPr>
            </w:pPr>
          </w:p>
        </w:tc>
        <w:tc>
          <w:tcPr>
            <w:tcW w:w="3686" w:type="dxa"/>
            <w:shd w:val="clear" w:color="auto" w:fill="auto"/>
          </w:tcPr>
          <w:p w14:paraId="02A013BC" w14:textId="77777777" w:rsidR="009D3C95" w:rsidRPr="00E76257" w:rsidRDefault="009D3C95" w:rsidP="00F6760D">
            <w:pPr>
              <w:spacing w:line="240" w:lineRule="auto"/>
              <w:rPr>
                <w:rFonts w:cs="Arial"/>
                <w:sz w:val="16"/>
                <w:szCs w:val="16"/>
                <w:lang w:val="en-US"/>
              </w:rPr>
            </w:pPr>
          </w:p>
        </w:tc>
        <w:tc>
          <w:tcPr>
            <w:tcW w:w="992" w:type="dxa"/>
            <w:shd w:val="clear" w:color="auto" w:fill="auto"/>
          </w:tcPr>
          <w:p w14:paraId="5221C5B9" w14:textId="77777777" w:rsidR="009D3C95" w:rsidRPr="00E76257" w:rsidRDefault="009D3C95" w:rsidP="001B3543">
            <w:pPr>
              <w:spacing w:line="240" w:lineRule="auto"/>
              <w:rPr>
                <w:rFonts w:cs="Arial"/>
                <w:sz w:val="16"/>
                <w:szCs w:val="16"/>
                <w:lang w:val="en-US"/>
              </w:rPr>
            </w:pPr>
          </w:p>
        </w:tc>
      </w:tr>
      <w:tr w:rsidR="0003546F" w:rsidRPr="004335FA" w14:paraId="012A3E5F" w14:textId="77777777" w:rsidTr="00F408E8">
        <w:tc>
          <w:tcPr>
            <w:tcW w:w="531" w:type="dxa"/>
            <w:shd w:val="clear" w:color="auto" w:fill="auto"/>
          </w:tcPr>
          <w:p w14:paraId="65FA18DE" w14:textId="444A53DB" w:rsidR="0003546F" w:rsidRPr="00E76257" w:rsidRDefault="0003546F" w:rsidP="001B3543">
            <w:pPr>
              <w:spacing w:line="240" w:lineRule="auto"/>
              <w:rPr>
                <w:rFonts w:cs="Arial"/>
                <w:sz w:val="16"/>
                <w:szCs w:val="16"/>
                <w:lang w:val="en-US"/>
              </w:rPr>
            </w:pPr>
          </w:p>
        </w:tc>
        <w:tc>
          <w:tcPr>
            <w:tcW w:w="1596" w:type="dxa"/>
            <w:vMerge w:val="restart"/>
            <w:shd w:val="clear" w:color="auto" w:fill="auto"/>
          </w:tcPr>
          <w:p w14:paraId="4698E313" w14:textId="77777777" w:rsidR="0003546F" w:rsidRPr="004335FA" w:rsidRDefault="0003546F" w:rsidP="001B3543">
            <w:pPr>
              <w:spacing w:line="240" w:lineRule="auto"/>
              <w:rPr>
                <w:rFonts w:cs="Arial"/>
                <w:b/>
                <w:sz w:val="16"/>
                <w:szCs w:val="16"/>
              </w:rPr>
            </w:pPr>
            <w:r w:rsidRPr="004335FA">
              <w:rPr>
                <w:b/>
                <w:sz w:val="16"/>
                <w:szCs w:val="16"/>
              </w:rPr>
              <w:t>Assumption of responsibility</w:t>
            </w:r>
          </w:p>
        </w:tc>
        <w:tc>
          <w:tcPr>
            <w:tcW w:w="3685" w:type="dxa"/>
            <w:tcBorders>
              <w:bottom w:val="single" w:sz="4" w:space="0" w:color="auto"/>
            </w:tcBorders>
            <w:shd w:val="clear" w:color="auto" w:fill="auto"/>
          </w:tcPr>
          <w:p w14:paraId="70A7BBA6" w14:textId="19414E8B" w:rsidR="0003546F" w:rsidRPr="004335FA" w:rsidRDefault="0003546F" w:rsidP="00AC006D">
            <w:pPr>
              <w:pStyle w:val="Bullet"/>
              <w:numPr>
                <w:ilvl w:val="0"/>
                <w:numId w:val="0"/>
              </w:numPr>
              <w:ind w:left="33"/>
            </w:pPr>
            <w:r w:rsidRPr="004335FA">
              <w:rPr>
                <w:i/>
              </w:rPr>
              <w:t>Assess whether the risk control assumes its responsibility in relation to the size, business and the organisational complexity and compliance risk of the institution (margin</w:t>
            </w:r>
            <w:r w:rsidR="00E76257">
              <w:rPr>
                <w:i/>
              </w:rPr>
              <w:t xml:space="preserve"> nos.</w:t>
            </w:r>
            <w:r w:rsidRPr="004335FA">
              <w:rPr>
                <w:i/>
              </w:rPr>
              <w:t xml:space="preserve"> 69</w:t>
            </w:r>
            <w:r w:rsidR="00E81092">
              <w:rPr>
                <w:i/>
              </w:rPr>
              <w:t>–</w:t>
            </w:r>
            <w:r w:rsidRPr="004335FA">
              <w:rPr>
                <w:i/>
              </w:rPr>
              <w:t>76 FINMA</w:t>
            </w:r>
            <w:r w:rsidR="005632B8">
              <w:rPr>
                <w:i/>
              </w:rPr>
              <w:t xml:space="preserve"> </w:t>
            </w:r>
            <w:r w:rsidRPr="004335FA">
              <w:rPr>
                <w:i/>
              </w:rPr>
              <w:t>Circ. 17/1), specifically:</w:t>
            </w:r>
          </w:p>
        </w:tc>
        <w:tc>
          <w:tcPr>
            <w:tcW w:w="3827" w:type="dxa"/>
            <w:tcBorders>
              <w:bottom w:val="single" w:sz="4" w:space="0" w:color="auto"/>
            </w:tcBorders>
            <w:shd w:val="clear" w:color="auto" w:fill="auto"/>
          </w:tcPr>
          <w:p w14:paraId="6DD6B62E" w14:textId="77777777" w:rsidR="0003546F" w:rsidRPr="00E76257" w:rsidRDefault="0003546F" w:rsidP="00415624">
            <w:pPr>
              <w:pStyle w:val="Bullet"/>
              <w:numPr>
                <w:ilvl w:val="0"/>
                <w:numId w:val="0"/>
              </w:numPr>
              <w:ind w:left="33"/>
              <w:rPr>
                <w:lang w:val="en-US"/>
              </w:rPr>
            </w:pPr>
          </w:p>
        </w:tc>
        <w:tc>
          <w:tcPr>
            <w:tcW w:w="3686" w:type="dxa"/>
            <w:tcBorders>
              <w:bottom w:val="single" w:sz="4" w:space="0" w:color="auto"/>
            </w:tcBorders>
            <w:shd w:val="clear" w:color="auto" w:fill="auto"/>
          </w:tcPr>
          <w:p w14:paraId="6117EBAF" w14:textId="77777777" w:rsidR="0003546F" w:rsidRPr="00E76257" w:rsidRDefault="0003546F" w:rsidP="00E1226C">
            <w:pPr>
              <w:pStyle w:val="Bullet"/>
              <w:numPr>
                <w:ilvl w:val="0"/>
                <w:numId w:val="0"/>
              </w:numPr>
              <w:rPr>
                <w:lang w:val="en-US"/>
              </w:rPr>
            </w:pPr>
          </w:p>
        </w:tc>
        <w:tc>
          <w:tcPr>
            <w:tcW w:w="992" w:type="dxa"/>
            <w:tcBorders>
              <w:bottom w:val="single" w:sz="4" w:space="0" w:color="auto"/>
            </w:tcBorders>
            <w:shd w:val="clear" w:color="auto" w:fill="auto"/>
          </w:tcPr>
          <w:p w14:paraId="6DB984D8" w14:textId="77777777" w:rsidR="0003546F" w:rsidRPr="00E76257" w:rsidRDefault="0003546F" w:rsidP="001B3543">
            <w:pPr>
              <w:spacing w:line="240" w:lineRule="auto"/>
              <w:rPr>
                <w:rFonts w:cs="Arial"/>
                <w:sz w:val="16"/>
                <w:szCs w:val="16"/>
                <w:lang w:val="en-US"/>
              </w:rPr>
            </w:pPr>
          </w:p>
        </w:tc>
      </w:tr>
      <w:tr w:rsidR="0003546F" w:rsidRPr="004335FA" w14:paraId="6BFC9C11" w14:textId="77777777" w:rsidTr="00F408E8">
        <w:tc>
          <w:tcPr>
            <w:tcW w:w="531" w:type="dxa"/>
            <w:shd w:val="clear" w:color="auto" w:fill="auto"/>
          </w:tcPr>
          <w:p w14:paraId="4CA76534" w14:textId="368FAD9B" w:rsidR="0003546F" w:rsidRPr="00E76257" w:rsidRDefault="0003546F" w:rsidP="001B3543">
            <w:pPr>
              <w:spacing w:line="240" w:lineRule="auto"/>
              <w:rPr>
                <w:rFonts w:cs="Arial"/>
                <w:sz w:val="16"/>
                <w:szCs w:val="16"/>
                <w:lang w:val="en-US"/>
              </w:rPr>
            </w:pPr>
          </w:p>
        </w:tc>
        <w:tc>
          <w:tcPr>
            <w:tcW w:w="1596" w:type="dxa"/>
            <w:vMerge/>
            <w:shd w:val="clear" w:color="auto" w:fill="auto"/>
          </w:tcPr>
          <w:p w14:paraId="4CE2598D" w14:textId="77777777" w:rsidR="0003546F" w:rsidRPr="00E76257" w:rsidRDefault="0003546F" w:rsidP="001B3543">
            <w:pPr>
              <w:spacing w:line="240" w:lineRule="auto"/>
              <w:rPr>
                <w:rFonts w:cs="Arial"/>
                <w:b/>
                <w:sz w:val="16"/>
                <w:szCs w:val="16"/>
                <w:lang w:val="en-US"/>
              </w:rPr>
            </w:pPr>
          </w:p>
        </w:tc>
        <w:tc>
          <w:tcPr>
            <w:tcW w:w="3685" w:type="dxa"/>
            <w:tcBorders>
              <w:bottom w:val="single" w:sz="4" w:space="0" w:color="auto"/>
            </w:tcBorders>
            <w:shd w:val="clear" w:color="auto" w:fill="auto"/>
          </w:tcPr>
          <w:p w14:paraId="6418D055" w14:textId="5A649F90" w:rsidR="0003546F" w:rsidRPr="004335FA" w:rsidRDefault="0003546F" w:rsidP="004C7FBD">
            <w:pPr>
              <w:pStyle w:val="Bullet"/>
              <w:numPr>
                <w:ilvl w:val="0"/>
                <w:numId w:val="0"/>
              </w:numPr>
              <w:ind w:left="33"/>
            </w:pPr>
            <w:r w:rsidRPr="004335FA">
              <w:t xml:space="preserve">Assess whether the institution's internal directives for the risk control function comply with FINMA </w:t>
            </w:r>
            <w:proofErr w:type="spellStart"/>
            <w:r w:rsidRPr="004335FA">
              <w:t>Circ</w:t>
            </w:r>
            <w:proofErr w:type="spellEnd"/>
            <w:r w:rsidRPr="004335FA">
              <w:t xml:space="preserve"> 17/1 and are appropriate given recent and planned changes to the institution’s overall circumstances, controls and organisation. </w:t>
            </w:r>
          </w:p>
        </w:tc>
        <w:tc>
          <w:tcPr>
            <w:tcW w:w="3827" w:type="dxa"/>
            <w:tcBorders>
              <w:bottom w:val="single" w:sz="4" w:space="0" w:color="auto"/>
            </w:tcBorders>
            <w:shd w:val="clear" w:color="auto" w:fill="auto"/>
          </w:tcPr>
          <w:p w14:paraId="26FD43DE" w14:textId="77777777" w:rsidR="0003546F" w:rsidRPr="00E76257" w:rsidRDefault="0003546F" w:rsidP="0003546F">
            <w:pPr>
              <w:pStyle w:val="Bullet"/>
              <w:numPr>
                <w:ilvl w:val="0"/>
                <w:numId w:val="0"/>
              </w:numPr>
              <w:ind w:left="33"/>
              <w:rPr>
                <w:lang w:val="en-US"/>
              </w:rPr>
            </w:pPr>
          </w:p>
        </w:tc>
        <w:tc>
          <w:tcPr>
            <w:tcW w:w="3686" w:type="dxa"/>
            <w:tcBorders>
              <w:bottom w:val="single" w:sz="4" w:space="0" w:color="auto"/>
            </w:tcBorders>
            <w:shd w:val="clear" w:color="auto" w:fill="auto"/>
          </w:tcPr>
          <w:p w14:paraId="5D216035" w14:textId="77777777" w:rsidR="0003546F" w:rsidRPr="00E76257" w:rsidRDefault="0003546F" w:rsidP="00E1226C">
            <w:pPr>
              <w:pStyle w:val="Bullet"/>
              <w:numPr>
                <w:ilvl w:val="0"/>
                <w:numId w:val="0"/>
              </w:numPr>
              <w:rPr>
                <w:lang w:val="en-US"/>
              </w:rPr>
            </w:pPr>
          </w:p>
        </w:tc>
        <w:tc>
          <w:tcPr>
            <w:tcW w:w="992" w:type="dxa"/>
            <w:tcBorders>
              <w:bottom w:val="single" w:sz="4" w:space="0" w:color="auto"/>
            </w:tcBorders>
            <w:shd w:val="clear" w:color="auto" w:fill="auto"/>
          </w:tcPr>
          <w:p w14:paraId="6474B2CF" w14:textId="77777777" w:rsidR="0003546F" w:rsidRPr="00E76257" w:rsidRDefault="0003546F" w:rsidP="001B3543">
            <w:pPr>
              <w:spacing w:line="240" w:lineRule="auto"/>
              <w:rPr>
                <w:rFonts w:cs="Arial"/>
                <w:sz w:val="16"/>
                <w:szCs w:val="16"/>
                <w:lang w:val="en-US"/>
              </w:rPr>
            </w:pPr>
          </w:p>
        </w:tc>
      </w:tr>
      <w:tr w:rsidR="0003546F" w:rsidRPr="004335FA" w14:paraId="756FB490" w14:textId="77777777" w:rsidTr="00F408E8">
        <w:tc>
          <w:tcPr>
            <w:tcW w:w="531" w:type="dxa"/>
            <w:shd w:val="clear" w:color="auto" w:fill="auto"/>
          </w:tcPr>
          <w:p w14:paraId="54FC3574" w14:textId="4F79B34B" w:rsidR="0003546F" w:rsidRPr="00E76257" w:rsidRDefault="0003546F" w:rsidP="001B3543">
            <w:pPr>
              <w:spacing w:line="240" w:lineRule="auto"/>
              <w:rPr>
                <w:rFonts w:cs="Arial"/>
                <w:sz w:val="16"/>
                <w:szCs w:val="16"/>
                <w:lang w:val="en-US"/>
              </w:rPr>
            </w:pPr>
          </w:p>
        </w:tc>
        <w:tc>
          <w:tcPr>
            <w:tcW w:w="1596" w:type="dxa"/>
            <w:vMerge/>
            <w:shd w:val="clear" w:color="auto" w:fill="auto"/>
          </w:tcPr>
          <w:p w14:paraId="6A9B97F4" w14:textId="77777777" w:rsidR="0003546F" w:rsidRPr="00E76257" w:rsidRDefault="0003546F" w:rsidP="001B3543">
            <w:pPr>
              <w:spacing w:line="240" w:lineRule="auto"/>
              <w:rPr>
                <w:rFonts w:cs="Arial"/>
                <w:b/>
                <w:sz w:val="16"/>
                <w:szCs w:val="16"/>
                <w:lang w:val="en-US"/>
              </w:rPr>
            </w:pPr>
          </w:p>
        </w:tc>
        <w:tc>
          <w:tcPr>
            <w:tcW w:w="3685" w:type="dxa"/>
            <w:tcBorders>
              <w:bottom w:val="single" w:sz="4" w:space="0" w:color="auto"/>
            </w:tcBorders>
            <w:shd w:val="clear" w:color="auto" w:fill="auto"/>
          </w:tcPr>
          <w:p w14:paraId="0E78E597" w14:textId="796EFC3D" w:rsidR="0003546F" w:rsidRPr="004335FA" w:rsidRDefault="00A9071D" w:rsidP="00ED7CEA">
            <w:pPr>
              <w:pStyle w:val="Bullet"/>
              <w:numPr>
                <w:ilvl w:val="0"/>
                <w:numId w:val="0"/>
              </w:numPr>
              <w:ind w:left="33"/>
            </w:pPr>
            <w:r w:rsidRPr="004335FA">
              <w:t xml:space="preserve">Obtain, </w:t>
            </w:r>
            <w:proofErr w:type="gramStart"/>
            <w:r w:rsidRPr="004335FA">
              <w:t>inspect</w:t>
            </w:r>
            <w:proofErr w:type="gramEnd"/>
            <w:r w:rsidRPr="004335FA">
              <w:t xml:space="preserve"> and assess evidence that the risk control function ensures comprehensive and </w:t>
            </w:r>
            <w:r w:rsidRPr="004335FA">
              <w:lastRenderedPageBreak/>
              <w:t>systematic monitoring and reporting of individual and aggregated risk positions (incl. conducting stress tests and scenario analyses),</w:t>
            </w:r>
            <w:r w:rsidR="00C548A6" w:rsidRPr="004335FA">
              <w:rPr>
                <w:rStyle w:val="Appelnotedebasdep"/>
                <w:lang w:val="de-CH"/>
              </w:rPr>
              <w:footnoteReference w:id="3"/>
            </w:r>
            <w:r w:rsidRPr="004335FA">
              <w:t xml:space="preserve"> appropriate implementation of provisions relating to risk data aggregation and reporting (institutions in supervisory categories 1 to 3) as well as monitors the institution's risk profile (risk tolerance and risk limits) (margin</w:t>
            </w:r>
            <w:r w:rsidR="00E76257">
              <w:t xml:space="preserve"> no</w:t>
            </w:r>
            <w:r w:rsidRPr="004335FA">
              <w:t>s</w:t>
            </w:r>
            <w:r w:rsidR="00E76257">
              <w:t>.</w:t>
            </w:r>
            <w:r w:rsidRPr="004335FA">
              <w:t xml:space="preserve"> 69</w:t>
            </w:r>
            <w:r w:rsidR="00E81092">
              <w:rPr>
                <w:i/>
              </w:rPr>
              <w:t>–</w:t>
            </w:r>
            <w:r w:rsidRPr="004335FA">
              <w:t>71 FINMA Circ. 17/1).</w:t>
            </w:r>
          </w:p>
        </w:tc>
        <w:tc>
          <w:tcPr>
            <w:tcW w:w="3827" w:type="dxa"/>
            <w:tcBorders>
              <w:bottom w:val="single" w:sz="4" w:space="0" w:color="auto"/>
            </w:tcBorders>
            <w:shd w:val="clear" w:color="auto" w:fill="auto"/>
          </w:tcPr>
          <w:p w14:paraId="4F0C8D93" w14:textId="77777777" w:rsidR="0003546F" w:rsidRPr="00E76257" w:rsidRDefault="0003546F" w:rsidP="0003546F">
            <w:pPr>
              <w:pStyle w:val="Bullet"/>
              <w:numPr>
                <w:ilvl w:val="0"/>
                <w:numId w:val="0"/>
              </w:numPr>
              <w:ind w:left="33"/>
              <w:rPr>
                <w:lang w:val="en-US"/>
              </w:rPr>
            </w:pPr>
          </w:p>
        </w:tc>
        <w:tc>
          <w:tcPr>
            <w:tcW w:w="3686" w:type="dxa"/>
            <w:tcBorders>
              <w:bottom w:val="single" w:sz="4" w:space="0" w:color="auto"/>
            </w:tcBorders>
            <w:shd w:val="clear" w:color="auto" w:fill="auto"/>
          </w:tcPr>
          <w:p w14:paraId="2FA01154" w14:textId="77777777" w:rsidR="0003546F" w:rsidRPr="00E76257" w:rsidRDefault="0003546F" w:rsidP="00E1226C">
            <w:pPr>
              <w:pStyle w:val="Bullet"/>
              <w:numPr>
                <w:ilvl w:val="0"/>
                <w:numId w:val="0"/>
              </w:numPr>
              <w:rPr>
                <w:lang w:val="en-US"/>
              </w:rPr>
            </w:pPr>
          </w:p>
        </w:tc>
        <w:tc>
          <w:tcPr>
            <w:tcW w:w="992" w:type="dxa"/>
            <w:tcBorders>
              <w:bottom w:val="single" w:sz="4" w:space="0" w:color="auto"/>
            </w:tcBorders>
            <w:shd w:val="clear" w:color="auto" w:fill="auto"/>
          </w:tcPr>
          <w:p w14:paraId="2AC57D96" w14:textId="77777777" w:rsidR="0003546F" w:rsidRPr="00E76257" w:rsidRDefault="0003546F" w:rsidP="001B3543">
            <w:pPr>
              <w:spacing w:line="240" w:lineRule="auto"/>
              <w:rPr>
                <w:rFonts w:cs="Arial"/>
                <w:sz w:val="16"/>
                <w:szCs w:val="16"/>
                <w:lang w:val="en-US"/>
              </w:rPr>
            </w:pPr>
          </w:p>
        </w:tc>
      </w:tr>
      <w:tr w:rsidR="005D440A" w:rsidRPr="004335FA" w14:paraId="0A8998E5" w14:textId="77777777" w:rsidTr="00F408E8">
        <w:tc>
          <w:tcPr>
            <w:tcW w:w="531" w:type="dxa"/>
            <w:shd w:val="clear" w:color="auto" w:fill="auto"/>
          </w:tcPr>
          <w:p w14:paraId="596EE6AE" w14:textId="674EEFEB" w:rsidR="005D440A" w:rsidRPr="00E76257" w:rsidRDefault="005D440A" w:rsidP="005D440A">
            <w:pPr>
              <w:spacing w:line="240" w:lineRule="auto"/>
              <w:rPr>
                <w:rFonts w:cs="Arial"/>
                <w:sz w:val="16"/>
                <w:szCs w:val="16"/>
                <w:lang w:val="en-US"/>
              </w:rPr>
            </w:pPr>
          </w:p>
        </w:tc>
        <w:tc>
          <w:tcPr>
            <w:tcW w:w="1596" w:type="dxa"/>
            <w:vMerge/>
            <w:shd w:val="clear" w:color="auto" w:fill="auto"/>
          </w:tcPr>
          <w:p w14:paraId="0E94907C" w14:textId="77777777" w:rsidR="005D440A" w:rsidRPr="00E76257" w:rsidRDefault="005D440A" w:rsidP="005D440A">
            <w:pPr>
              <w:spacing w:line="240" w:lineRule="auto"/>
              <w:rPr>
                <w:rFonts w:cs="Arial"/>
                <w:b/>
                <w:sz w:val="16"/>
                <w:szCs w:val="16"/>
                <w:lang w:val="en-US"/>
              </w:rPr>
            </w:pPr>
          </w:p>
        </w:tc>
        <w:tc>
          <w:tcPr>
            <w:tcW w:w="3685" w:type="dxa"/>
            <w:tcBorders>
              <w:bottom w:val="single" w:sz="4" w:space="0" w:color="auto"/>
            </w:tcBorders>
            <w:shd w:val="clear" w:color="auto" w:fill="auto"/>
          </w:tcPr>
          <w:p w14:paraId="299F0FD0" w14:textId="583BA6EA" w:rsidR="005D440A" w:rsidRPr="004335FA" w:rsidRDefault="005D440A" w:rsidP="005D440A">
            <w:pPr>
              <w:pStyle w:val="Bullet"/>
              <w:numPr>
                <w:ilvl w:val="0"/>
                <w:numId w:val="0"/>
              </w:numPr>
              <w:ind w:left="33"/>
            </w:pPr>
            <w:r w:rsidRPr="004335FA">
              <w:t>Assess whether the risk control function effectively assumes its responsibilities with respect to design and application of concepts and methodologies for monitoring and measurement of risks (margin</w:t>
            </w:r>
            <w:r w:rsidR="00E76257">
              <w:t xml:space="preserve"> no.</w:t>
            </w:r>
            <w:r w:rsidRPr="004335FA">
              <w:t xml:space="preserve"> 72 FINMA Circ. 17/1).</w:t>
            </w:r>
          </w:p>
        </w:tc>
        <w:tc>
          <w:tcPr>
            <w:tcW w:w="3827" w:type="dxa"/>
            <w:tcBorders>
              <w:bottom w:val="single" w:sz="4" w:space="0" w:color="auto"/>
            </w:tcBorders>
            <w:shd w:val="clear" w:color="auto" w:fill="auto"/>
          </w:tcPr>
          <w:p w14:paraId="562E64EB" w14:textId="77777777" w:rsidR="005D440A" w:rsidRPr="00E76257" w:rsidRDefault="005D440A" w:rsidP="005D440A">
            <w:pPr>
              <w:pStyle w:val="Bullet"/>
              <w:numPr>
                <w:ilvl w:val="0"/>
                <w:numId w:val="0"/>
              </w:numPr>
              <w:ind w:left="33"/>
              <w:rPr>
                <w:lang w:val="en-US"/>
              </w:rPr>
            </w:pPr>
          </w:p>
        </w:tc>
        <w:tc>
          <w:tcPr>
            <w:tcW w:w="3686" w:type="dxa"/>
            <w:tcBorders>
              <w:bottom w:val="single" w:sz="4" w:space="0" w:color="auto"/>
            </w:tcBorders>
            <w:shd w:val="clear" w:color="auto" w:fill="auto"/>
          </w:tcPr>
          <w:p w14:paraId="4CE27AB7" w14:textId="77777777" w:rsidR="005D440A" w:rsidRPr="00E76257" w:rsidRDefault="005D440A" w:rsidP="005D440A">
            <w:pPr>
              <w:pStyle w:val="Bullet"/>
              <w:numPr>
                <w:ilvl w:val="0"/>
                <w:numId w:val="0"/>
              </w:numPr>
              <w:rPr>
                <w:lang w:val="en-US"/>
              </w:rPr>
            </w:pPr>
          </w:p>
        </w:tc>
        <w:tc>
          <w:tcPr>
            <w:tcW w:w="992" w:type="dxa"/>
            <w:tcBorders>
              <w:bottom w:val="single" w:sz="4" w:space="0" w:color="auto"/>
            </w:tcBorders>
            <w:shd w:val="clear" w:color="auto" w:fill="auto"/>
          </w:tcPr>
          <w:p w14:paraId="278A952D" w14:textId="77777777" w:rsidR="005D440A" w:rsidRPr="00E76257" w:rsidRDefault="005D440A" w:rsidP="005D440A">
            <w:pPr>
              <w:spacing w:line="240" w:lineRule="auto"/>
              <w:rPr>
                <w:rFonts w:cs="Arial"/>
                <w:sz w:val="16"/>
                <w:szCs w:val="16"/>
                <w:lang w:val="en-US"/>
              </w:rPr>
            </w:pPr>
          </w:p>
        </w:tc>
      </w:tr>
      <w:tr w:rsidR="00C47011" w:rsidRPr="004335FA" w14:paraId="3D806574" w14:textId="77777777" w:rsidTr="00F408E8">
        <w:tc>
          <w:tcPr>
            <w:tcW w:w="531" w:type="dxa"/>
            <w:shd w:val="clear" w:color="auto" w:fill="auto"/>
          </w:tcPr>
          <w:p w14:paraId="4EF2A8F5" w14:textId="77777777" w:rsidR="00C47011" w:rsidRPr="00E76257" w:rsidRDefault="00C47011" w:rsidP="001B3543">
            <w:pPr>
              <w:spacing w:line="240" w:lineRule="auto"/>
              <w:rPr>
                <w:rFonts w:cs="Arial"/>
                <w:sz w:val="16"/>
                <w:szCs w:val="16"/>
                <w:lang w:val="en-US"/>
              </w:rPr>
            </w:pPr>
          </w:p>
        </w:tc>
        <w:tc>
          <w:tcPr>
            <w:tcW w:w="1596" w:type="dxa"/>
            <w:vMerge/>
            <w:shd w:val="clear" w:color="auto" w:fill="auto"/>
          </w:tcPr>
          <w:p w14:paraId="4E48AD13" w14:textId="77777777" w:rsidR="00C47011" w:rsidRPr="00E76257" w:rsidRDefault="00C47011" w:rsidP="001B3543">
            <w:pPr>
              <w:spacing w:line="240" w:lineRule="auto"/>
              <w:rPr>
                <w:rFonts w:cs="Arial"/>
                <w:b/>
                <w:sz w:val="16"/>
                <w:szCs w:val="16"/>
                <w:lang w:val="en-US"/>
              </w:rPr>
            </w:pPr>
          </w:p>
        </w:tc>
        <w:tc>
          <w:tcPr>
            <w:tcW w:w="3685" w:type="dxa"/>
            <w:tcBorders>
              <w:bottom w:val="single" w:sz="4" w:space="0" w:color="auto"/>
            </w:tcBorders>
            <w:shd w:val="clear" w:color="auto" w:fill="auto"/>
          </w:tcPr>
          <w:p w14:paraId="55248539" w14:textId="5CA34CE4" w:rsidR="00C47011" w:rsidRPr="004335FA" w:rsidRDefault="00C47011" w:rsidP="000E110F">
            <w:pPr>
              <w:pStyle w:val="Bullet"/>
              <w:numPr>
                <w:ilvl w:val="0"/>
                <w:numId w:val="0"/>
              </w:numPr>
              <w:ind w:left="33"/>
            </w:pPr>
            <w:r w:rsidRPr="004335FA">
              <w:t xml:space="preserve">Assess if risk control is to be appropriately consulted during the development of new or expanded product categories, services or business/market areas and for major or complex transactions (margin </w:t>
            </w:r>
            <w:r w:rsidR="00E76257">
              <w:t xml:space="preserve">no. </w:t>
            </w:r>
            <w:r w:rsidRPr="004335FA">
              <w:t>73 FINMA Circ. 17/1).</w:t>
            </w:r>
          </w:p>
        </w:tc>
        <w:tc>
          <w:tcPr>
            <w:tcW w:w="3827" w:type="dxa"/>
            <w:tcBorders>
              <w:bottom w:val="single" w:sz="4" w:space="0" w:color="auto"/>
            </w:tcBorders>
            <w:shd w:val="clear" w:color="auto" w:fill="auto"/>
          </w:tcPr>
          <w:p w14:paraId="7517B4F2" w14:textId="77777777" w:rsidR="00C47011" w:rsidRPr="00E76257" w:rsidRDefault="00C47011" w:rsidP="00C47011">
            <w:pPr>
              <w:pStyle w:val="Bullet"/>
              <w:numPr>
                <w:ilvl w:val="0"/>
                <w:numId w:val="0"/>
              </w:numPr>
              <w:ind w:left="33"/>
              <w:rPr>
                <w:lang w:val="en-US"/>
              </w:rPr>
            </w:pPr>
          </w:p>
        </w:tc>
        <w:tc>
          <w:tcPr>
            <w:tcW w:w="3686" w:type="dxa"/>
            <w:tcBorders>
              <w:bottom w:val="single" w:sz="4" w:space="0" w:color="auto"/>
            </w:tcBorders>
            <w:shd w:val="clear" w:color="auto" w:fill="auto"/>
          </w:tcPr>
          <w:p w14:paraId="29858E91" w14:textId="77777777" w:rsidR="00C47011" w:rsidRPr="00E76257" w:rsidRDefault="00C47011" w:rsidP="00E1226C">
            <w:pPr>
              <w:pStyle w:val="Bullet"/>
              <w:numPr>
                <w:ilvl w:val="0"/>
                <w:numId w:val="0"/>
              </w:numPr>
              <w:rPr>
                <w:lang w:val="en-US"/>
              </w:rPr>
            </w:pPr>
          </w:p>
        </w:tc>
        <w:tc>
          <w:tcPr>
            <w:tcW w:w="992" w:type="dxa"/>
            <w:tcBorders>
              <w:bottom w:val="single" w:sz="4" w:space="0" w:color="auto"/>
            </w:tcBorders>
            <w:shd w:val="clear" w:color="auto" w:fill="auto"/>
          </w:tcPr>
          <w:p w14:paraId="03BB24D3" w14:textId="77777777" w:rsidR="00C47011" w:rsidRPr="00E76257" w:rsidRDefault="00C47011" w:rsidP="001B3543">
            <w:pPr>
              <w:spacing w:line="240" w:lineRule="auto"/>
              <w:rPr>
                <w:rFonts w:cs="Arial"/>
                <w:sz w:val="16"/>
                <w:szCs w:val="16"/>
                <w:lang w:val="en-US"/>
              </w:rPr>
            </w:pPr>
          </w:p>
        </w:tc>
      </w:tr>
      <w:tr w:rsidR="00C47011" w:rsidRPr="004335FA" w14:paraId="10E7C02C" w14:textId="77777777" w:rsidTr="00F408E8">
        <w:tc>
          <w:tcPr>
            <w:tcW w:w="531" w:type="dxa"/>
            <w:shd w:val="clear" w:color="auto" w:fill="auto"/>
          </w:tcPr>
          <w:p w14:paraId="07EB2133" w14:textId="77777777" w:rsidR="00C47011" w:rsidRPr="00E76257" w:rsidRDefault="00C47011" w:rsidP="001B3543">
            <w:pPr>
              <w:spacing w:line="240" w:lineRule="auto"/>
              <w:rPr>
                <w:rFonts w:cs="Arial"/>
                <w:sz w:val="16"/>
                <w:szCs w:val="16"/>
                <w:lang w:val="en-US"/>
              </w:rPr>
            </w:pPr>
          </w:p>
        </w:tc>
        <w:tc>
          <w:tcPr>
            <w:tcW w:w="1596" w:type="dxa"/>
            <w:vMerge/>
            <w:shd w:val="clear" w:color="auto" w:fill="auto"/>
          </w:tcPr>
          <w:p w14:paraId="626550CE" w14:textId="77777777" w:rsidR="00C47011" w:rsidRPr="00E76257" w:rsidRDefault="00C47011" w:rsidP="001B3543">
            <w:pPr>
              <w:spacing w:line="240" w:lineRule="auto"/>
              <w:rPr>
                <w:rFonts w:cs="Arial"/>
                <w:b/>
                <w:sz w:val="16"/>
                <w:szCs w:val="16"/>
                <w:lang w:val="en-US"/>
              </w:rPr>
            </w:pPr>
          </w:p>
        </w:tc>
        <w:tc>
          <w:tcPr>
            <w:tcW w:w="3685" w:type="dxa"/>
            <w:tcBorders>
              <w:bottom w:val="single" w:sz="4" w:space="0" w:color="auto"/>
            </w:tcBorders>
            <w:shd w:val="clear" w:color="auto" w:fill="auto"/>
          </w:tcPr>
          <w:p w14:paraId="63D9E047" w14:textId="3347C7F1" w:rsidR="00C47011" w:rsidRPr="004335FA" w:rsidRDefault="00C47011" w:rsidP="00D7768F">
            <w:pPr>
              <w:pStyle w:val="Bullet"/>
              <w:numPr>
                <w:ilvl w:val="0"/>
                <w:numId w:val="0"/>
              </w:numPr>
              <w:ind w:left="33"/>
            </w:pPr>
            <w:r w:rsidRPr="004335FA">
              <w:t xml:space="preserve">Assess if risk control is actively involved in the process of defining risk limits and ensures that risks limits are consistent with the defined risk tolerance and reconciled to the results of the stress tests and that they are defined in such a way as to constitute an operationally effective management tool for the Executive Board (margin </w:t>
            </w:r>
            <w:r w:rsidR="00E76257">
              <w:t xml:space="preserve">no. </w:t>
            </w:r>
            <w:r w:rsidRPr="004335FA">
              <w:t>74 FINMA Circ. 17/1).</w:t>
            </w:r>
          </w:p>
        </w:tc>
        <w:tc>
          <w:tcPr>
            <w:tcW w:w="3827" w:type="dxa"/>
            <w:tcBorders>
              <w:bottom w:val="single" w:sz="4" w:space="0" w:color="auto"/>
            </w:tcBorders>
            <w:shd w:val="clear" w:color="auto" w:fill="auto"/>
          </w:tcPr>
          <w:p w14:paraId="387DDDC8" w14:textId="77777777" w:rsidR="00C47011" w:rsidRPr="00E76257" w:rsidRDefault="00C47011" w:rsidP="00C47011">
            <w:pPr>
              <w:pStyle w:val="Bullet"/>
              <w:numPr>
                <w:ilvl w:val="0"/>
                <w:numId w:val="0"/>
              </w:numPr>
              <w:ind w:left="33"/>
              <w:rPr>
                <w:lang w:val="en-US"/>
              </w:rPr>
            </w:pPr>
          </w:p>
        </w:tc>
        <w:tc>
          <w:tcPr>
            <w:tcW w:w="3686" w:type="dxa"/>
            <w:tcBorders>
              <w:bottom w:val="single" w:sz="4" w:space="0" w:color="auto"/>
            </w:tcBorders>
            <w:shd w:val="clear" w:color="auto" w:fill="auto"/>
          </w:tcPr>
          <w:p w14:paraId="4FB22144" w14:textId="77777777" w:rsidR="00C47011" w:rsidRPr="00E76257" w:rsidRDefault="00C47011" w:rsidP="00E1226C">
            <w:pPr>
              <w:pStyle w:val="Bullet"/>
              <w:numPr>
                <w:ilvl w:val="0"/>
                <w:numId w:val="0"/>
              </w:numPr>
              <w:rPr>
                <w:lang w:val="en-US"/>
              </w:rPr>
            </w:pPr>
          </w:p>
        </w:tc>
        <w:tc>
          <w:tcPr>
            <w:tcW w:w="992" w:type="dxa"/>
            <w:tcBorders>
              <w:bottom w:val="single" w:sz="4" w:space="0" w:color="auto"/>
            </w:tcBorders>
            <w:shd w:val="clear" w:color="auto" w:fill="auto"/>
          </w:tcPr>
          <w:p w14:paraId="7FB2FED9" w14:textId="77777777" w:rsidR="00C47011" w:rsidRPr="00E76257" w:rsidRDefault="00C47011" w:rsidP="001B3543">
            <w:pPr>
              <w:spacing w:line="240" w:lineRule="auto"/>
              <w:rPr>
                <w:rFonts w:cs="Arial"/>
                <w:sz w:val="16"/>
                <w:szCs w:val="16"/>
                <w:lang w:val="en-US"/>
              </w:rPr>
            </w:pPr>
          </w:p>
        </w:tc>
      </w:tr>
      <w:tr w:rsidR="0003546F" w:rsidRPr="004335FA" w14:paraId="1FE1D3FF" w14:textId="77777777" w:rsidTr="00F408E8">
        <w:tc>
          <w:tcPr>
            <w:tcW w:w="531" w:type="dxa"/>
            <w:shd w:val="clear" w:color="auto" w:fill="auto"/>
          </w:tcPr>
          <w:p w14:paraId="5BBB4FD9" w14:textId="55635BEC" w:rsidR="0003546F" w:rsidRPr="00E76257" w:rsidRDefault="0003546F" w:rsidP="001B3543">
            <w:pPr>
              <w:spacing w:line="240" w:lineRule="auto"/>
              <w:rPr>
                <w:rFonts w:cs="Arial"/>
                <w:sz w:val="16"/>
                <w:szCs w:val="16"/>
                <w:lang w:val="en-US"/>
              </w:rPr>
            </w:pPr>
          </w:p>
        </w:tc>
        <w:tc>
          <w:tcPr>
            <w:tcW w:w="1596" w:type="dxa"/>
            <w:vMerge/>
            <w:shd w:val="clear" w:color="auto" w:fill="auto"/>
          </w:tcPr>
          <w:p w14:paraId="3BF31CB0" w14:textId="77777777" w:rsidR="0003546F" w:rsidRPr="00E76257" w:rsidRDefault="0003546F" w:rsidP="001B3543">
            <w:pPr>
              <w:spacing w:line="240" w:lineRule="auto"/>
              <w:rPr>
                <w:rFonts w:cs="Arial"/>
                <w:b/>
                <w:sz w:val="16"/>
                <w:szCs w:val="16"/>
                <w:lang w:val="en-US"/>
              </w:rPr>
            </w:pPr>
          </w:p>
        </w:tc>
        <w:tc>
          <w:tcPr>
            <w:tcW w:w="3685" w:type="dxa"/>
            <w:tcBorders>
              <w:bottom w:val="single" w:sz="4" w:space="0" w:color="auto"/>
            </w:tcBorders>
            <w:shd w:val="clear" w:color="auto" w:fill="auto"/>
          </w:tcPr>
          <w:p w14:paraId="397C36D9" w14:textId="180ADF25" w:rsidR="0003546F" w:rsidRPr="004335FA" w:rsidRDefault="0003546F" w:rsidP="004C7FBD">
            <w:pPr>
              <w:pStyle w:val="Bullet"/>
              <w:numPr>
                <w:ilvl w:val="0"/>
                <w:numId w:val="0"/>
              </w:numPr>
              <w:ind w:left="33"/>
            </w:pPr>
            <w:r w:rsidRPr="004335FA">
              <w:t xml:space="preserve">Assess whether the risk control function submits to the Executive Board at least semi-annually a written report on the institution's risk profile and its activities (margin </w:t>
            </w:r>
            <w:r w:rsidR="00E76257">
              <w:t xml:space="preserve">no. </w:t>
            </w:r>
            <w:r w:rsidRPr="004335FA">
              <w:t>75 FINMA Circ. 17/1).</w:t>
            </w:r>
          </w:p>
        </w:tc>
        <w:tc>
          <w:tcPr>
            <w:tcW w:w="3827" w:type="dxa"/>
            <w:tcBorders>
              <w:bottom w:val="single" w:sz="4" w:space="0" w:color="auto"/>
            </w:tcBorders>
            <w:shd w:val="clear" w:color="auto" w:fill="auto"/>
          </w:tcPr>
          <w:p w14:paraId="57BD9B5C" w14:textId="182D17A0" w:rsidR="0003546F" w:rsidRPr="004335FA" w:rsidRDefault="00FA5837" w:rsidP="004C7FBD">
            <w:pPr>
              <w:pStyle w:val="Bullet"/>
              <w:numPr>
                <w:ilvl w:val="0"/>
                <w:numId w:val="0"/>
              </w:numPr>
              <w:ind w:left="33"/>
            </w:pPr>
            <w:r w:rsidRPr="004335FA">
              <w:t>Inspect the semi-annual risk report for the Executive Board and the annual risk report (including activities of the risk control functions) for the Board of Directors (with copy to Internal Audit and the audit firm) and assess their adequacy/comprehensiveness.</w:t>
            </w:r>
          </w:p>
        </w:tc>
        <w:tc>
          <w:tcPr>
            <w:tcW w:w="3686" w:type="dxa"/>
            <w:tcBorders>
              <w:bottom w:val="single" w:sz="4" w:space="0" w:color="auto"/>
            </w:tcBorders>
            <w:shd w:val="clear" w:color="auto" w:fill="auto"/>
          </w:tcPr>
          <w:p w14:paraId="1FFE0CA3" w14:textId="77777777" w:rsidR="0003546F" w:rsidRPr="00E76257" w:rsidRDefault="0003546F" w:rsidP="00E1226C">
            <w:pPr>
              <w:pStyle w:val="Bullet"/>
              <w:numPr>
                <w:ilvl w:val="0"/>
                <w:numId w:val="0"/>
              </w:numPr>
              <w:rPr>
                <w:lang w:val="en-US"/>
              </w:rPr>
            </w:pPr>
          </w:p>
        </w:tc>
        <w:tc>
          <w:tcPr>
            <w:tcW w:w="992" w:type="dxa"/>
            <w:tcBorders>
              <w:bottom w:val="single" w:sz="4" w:space="0" w:color="auto"/>
            </w:tcBorders>
            <w:shd w:val="clear" w:color="auto" w:fill="auto"/>
          </w:tcPr>
          <w:p w14:paraId="7037987D" w14:textId="77777777" w:rsidR="0003546F" w:rsidRPr="00E76257" w:rsidRDefault="0003546F" w:rsidP="001B3543">
            <w:pPr>
              <w:spacing w:line="240" w:lineRule="auto"/>
              <w:rPr>
                <w:rFonts w:cs="Arial"/>
                <w:sz w:val="16"/>
                <w:szCs w:val="16"/>
                <w:lang w:val="en-US"/>
              </w:rPr>
            </w:pPr>
          </w:p>
        </w:tc>
      </w:tr>
      <w:tr w:rsidR="0003546F" w:rsidRPr="004335FA" w14:paraId="77335079" w14:textId="77777777" w:rsidTr="00F408E8">
        <w:tc>
          <w:tcPr>
            <w:tcW w:w="531" w:type="dxa"/>
            <w:shd w:val="clear" w:color="auto" w:fill="auto"/>
          </w:tcPr>
          <w:p w14:paraId="358E965C" w14:textId="6F94B4F7" w:rsidR="0003546F" w:rsidRPr="00E76257" w:rsidRDefault="0003546F" w:rsidP="001B3543">
            <w:pPr>
              <w:spacing w:line="240" w:lineRule="auto"/>
              <w:rPr>
                <w:rFonts w:cs="Arial"/>
                <w:sz w:val="16"/>
                <w:szCs w:val="16"/>
                <w:lang w:val="en-US"/>
              </w:rPr>
            </w:pPr>
          </w:p>
        </w:tc>
        <w:tc>
          <w:tcPr>
            <w:tcW w:w="1596" w:type="dxa"/>
            <w:vMerge/>
            <w:shd w:val="clear" w:color="auto" w:fill="auto"/>
          </w:tcPr>
          <w:p w14:paraId="3A2B0E28" w14:textId="77777777" w:rsidR="0003546F" w:rsidRPr="00E76257" w:rsidRDefault="0003546F" w:rsidP="001B3543">
            <w:pPr>
              <w:spacing w:line="240" w:lineRule="auto"/>
              <w:rPr>
                <w:rFonts w:cs="Arial"/>
                <w:b/>
                <w:sz w:val="16"/>
                <w:szCs w:val="16"/>
                <w:lang w:val="en-US"/>
              </w:rPr>
            </w:pPr>
          </w:p>
        </w:tc>
        <w:tc>
          <w:tcPr>
            <w:tcW w:w="3685" w:type="dxa"/>
            <w:tcBorders>
              <w:bottom w:val="single" w:sz="4" w:space="0" w:color="auto"/>
            </w:tcBorders>
            <w:shd w:val="clear" w:color="auto" w:fill="auto"/>
          </w:tcPr>
          <w:p w14:paraId="2119A75D" w14:textId="08418C95" w:rsidR="0003546F" w:rsidRPr="004335FA" w:rsidRDefault="00C47011" w:rsidP="004C7FBD">
            <w:pPr>
              <w:pStyle w:val="Bullet"/>
              <w:numPr>
                <w:ilvl w:val="0"/>
                <w:numId w:val="0"/>
              </w:numPr>
              <w:ind w:left="33"/>
            </w:pPr>
            <w:r w:rsidRPr="004335FA">
              <w:t xml:space="preserve">Assess whether the risk control function informs the Board of Directors at least annually on the institution's risk profile and its activities (margin </w:t>
            </w:r>
            <w:r w:rsidR="00E76257">
              <w:t xml:space="preserve">no. </w:t>
            </w:r>
            <w:r w:rsidRPr="004335FA">
              <w:t>75 FINMA Circ. 17/1).</w:t>
            </w:r>
          </w:p>
        </w:tc>
        <w:tc>
          <w:tcPr>
            <w:tcW w:w="3827" w:type="dxa"/>
            <w:tcBorders>
              <w:bottom w:val="single" w:sz="4" w:space="0" w:color="auto"/>
            </w:tcBorders>
            <w:shd w:val="clear" w:color="auto" w:fill="auto"/>
          </w:tcPr>
          <w:p w14:paraId="70365633" w14:textId="77777777" w:rsidR="0003546F" w:rsidRPr="00E76257" w:rsidRDefault="0003546F" w:rsidP="0003546F">
            <w:pPr>
              <w:pStyle w:val="Bullet"/>
              <w:numPr>
                <w:ilvl w:val="0"/>
                <w:numId w:val="0"/>
              </w:numPr>
              <w:ind w:left="33"/>
              <w:rPr>
                <w:lang w:val="en-US"/>
              </w:rPr>
            </w:pPr>
          </w:p>
        </w:tc>
        <w:tc>
          <w:tcPr>
            <w:tcW w:w="3686" w:type="dxa"/>
            <w:tcBorders>
              <w:bottom w:val="single" w:sz="4" w:space="0" w:color="auto"/>
            </w:tcBorders>
            <w:shd w:val="clear" w:color="auto" w:fill="auto"/>
          </w:tcPr>
          <w:p w14:paraId="6F95E44D" w14:textId="77777777" w:rsidR="0003546F" w:rsidRPr="00E76257" w:rsidRDefault="0003546F" w:rsidP="00E1226C">
            <w:pPr>
              <w:pStyle w:val="Bullet"/>
              <w:numPr>
                <w:ilvl w:val="0"/>
                <w:numId w:val="0"/>
              </w:numPr>
              <w:rPr>
                <w:lang w:val="en-US"/>
              </w:rPr>
            </w:pPr>
          </w:p>
        </w:tc>
        <w:tc>
          <w:tcPr>
            <w:tcW w:w="992" w:type="dxa"/>
            <w:tcBorders>
              <w:bottom w:val="single" w:sz="4" w:space="0" w:color="auto"/>
            </w:tcBorders>
            <w:shd w:val="clear" w:color="auto" w:fill="auto"/>
          </w:tcPr>
          <w:p w14:paraId="64644EE3" w14:textId="77777777" w:rsidR="0003546F" w:rsidRPr="00E76257" w:rsidRDefault="0003546F" w:rsidP="001B3543">
            <w:pPr>
              <w:spacing w:line="240" w:lineRule="auto"/>
              <w:rPr>
                <w:rFonts w:cs="Arial"/>
                <w:sz w:val="16"/>
                <w:szCs w:val="16"/>
                <w:lang w:val="en-US"/>
              </w:rPr>
            </w:pPr>
          </w:p>
        </w:tc>
      </w:tr>
      <w:tr w:rsidR="00D7768F" w:rsidRPr="004335FA" w14:paraId="369B50B2" w14:textId="77777777" w:rsidTr="00F408E8">
        <w:tc>
          <w:tcPr>
            <w:tcW w:w="531" w:type="dxa"/>
            <w:tcBorders>
              <w:bottom w:val="single" w:sz="4" w:space="0" w:color="auto"/>
            </w:tcBorders>
            <w:shd w:val="clear" w:color="auto" w:fill="auto"/>
          </w:tcPr>
          <w:p w14:paraId="4B8C4C59" w14:textId="77777777" w:rsidR="00D7768F" w:rsidRPr="00E76257" w:rsidRDefault="00D7768F" w:rsidP="001B3543">
            <w:pPr>
              <w:spacing w:line="240" w:lineRule="auto"/>
              <w:rPr>
                <w:rFonts w:cs="Arial"/>
                <w:sz w:val="16"/>
                <w:szCs w:val="16"/>
                <w:lang w:val="en-US"/>
              </w:rPr>
            </w:pPr>
          </w:p>
        </w:tc>
        <w:tc>
          <w:tcPr>
            <w:tcW w:w="1596" w:type="dxa"/>
            <w:vMerge/>
            <w:tcBorders>
              <w:bottom w:val="single" w:sz="4" w:space="0" w:color="auto"/>
            </w:tcBorders>
            <w:shd w:val="clear" w:color="auto" w:fill="auto"/>
          </w:tcPr>
          <w:p w14:paraId="6059CCEB" w14:textId="77777777" w:rsidR="00D7768F" w:rsidRPr="00E76257" w:rsidRDefault="00D7768F" w:rsidP="001B3543">
            <w:pPr>
              <w:spacing w:line="240" w:lineRule="auto"/>
              <w:rPr>
                <w:rFonts w:cs="Arial"/>
                <w:b/>
                <w:sz w:val="16"/>
                <w:szCs w:val="16"/>
                <w:lang w:val="en-US"/>
              </w:rPr>
            </w:pPr>
          </w:p>
        </w:tc>
        <w:tc>
          <w:tcPr>
            <w:tcW w:w="3685" w:type="dxa"/>
            <w:tcBorders>
              <w:bottom w:val="single" w:sz="4" w:space="0" w:color="auto"/>
            </w:tcBorders>
            <w:shd w:val="clear" w:color="auto" w:fill="auto"/>
          </w:tcPr>
          <w:p w14:paraId="7017445C" w14:textId="235A59E4" w:rsidR="00D7768F" w:rsidRPr="004335FA" w:rsidRDefault="00D7768F" w:rsidP="00D54391">
            <w:pPr>
              <w:pStyle w:val="Bullet"/>
              <w:numPr>
                <w:ilvl w:val="0"/>
                <w:numId w:val="0"/>
              </w:numPr>
              <w:ind w:left="33"/>
            </w:pPr>
            <w:r w:rsidRPr="004335FA">
              <w:t xml:space="preserve">Obtain and assess the other evidence that risk control function effectively assumes its other tasks and responsibilities (prompt information in </w:t>
            </w:r>
            <w:r w:rsidRPr="004335FA">
              <w:lastRenderedPageBreak/>
              <w:t xml:space="preserve">the event of special developments) (margin </w:t>
            </w:r>
            <w:r w:rsidR="00E76257">
              <w:t xml:space="preserve">no. </w:t>
            </w:r>
            <w:r w:rsidRPr="004335FA">
              <w:t>76 FINMA Circ. 17/1).</w:t>
            </w:r>
          </w:p>
        </w:tc>
        <w:tc>
          <w:tcPr>
            <w:tcW w:w="3827" w:type="dxa"/>
            <w:tcBorders>
              <w:bottom w:val="single" w:sz="4" w:space="0" w:color="auto"/>
            </w:tcBorders>
            <w:shd w:val="clear" w:color="auto" w:fill="auto"/>
          </w:tcPr>
          <w:p w14:paraId="47A67A54" w14:textId="77777777" w:rsidR="00D7768F" w:rsidRPr="00E76257" w:rsidRDefault="00D7768F" w:rsidP="008D684E">
            <w:pPr>
              <w:pStyle w:val="Bullet"/>
              <w:numPr>
                <w:ilvl w:val="0"/>
                <w:numId w:val="0"/>
              </w:numPr>
              <w:ind w:left="33"/>
              <w:rPr>
                <w:lang w:val="en-US"/>
              </w:rPr>
            </w:pPr>
          </w:p>
        </w:tc>
        <w:tc>
          <w:tcPr>
            <w:tcW w:w="3686" w:type="dxa"/>
            <w:tcBorders>
              <w:bottom w:val="single" w:sz="4" w:space="0" w:color="auto"/>
            </w:tcBorders>
            <w:shd w:val="clear" w:color="auto" w:fill="auto"/>
          </w:tcPr>
          <w:p w14:paraId="58AFBA90" w14:textId="77777777" w:rsidR="00D7768F" w:rsidRPr="00E76257" w:rsidRDefault="00D7768F" w:rsidP="00E1226C">
            <w:pPr>
              <w:pStyle w:val="Bullet"/>
              <w:numPr>
                <w:ilvl w:val="0"/>
                <w:numId w:val="0"/>
              </w:numPr>
              <w:rPr>
                <w:lang w:val="en-US"/>
              </w:rPr>
            </w:pPr>
          </w:p>
        </w:tc>
        <w:tc>
          <w:tcPr>
            <w:tcW w:w="992" w:type="dxa"/>
            <w:tcBorders>
              <w:bottom w:val="single" w:sz="4" w:space="0" w:color="auto"/>
            </w:tcBorders>
            <w:shd w:val="clear" w:color="auto" w:fill="auto"/>
          </w:tcPr>
          <w:p w14:paraId="6894FC2E" w14:textId="77777777" w:rsidR="00D7768F" w:rsidRPr="00E76257" w:rsidRDefault="00D7768F" w:rsidP="001B3543">
            <w:pPr>
              <w:spacing w:line="240" w:lineRule="auto"/>
              <w:rPr>
                <w:rFonts w:cs="Arial"/>
                <w:sz w:val="16"/>
                <w:szCs w:val="16"/>
                <w:lang w:val="en-US"/>
              </w:rPr>
            </w:pPr>
          </w:p>
        </w:tc>
      </w:tr>
      <w:tr w:rsidR="0003546F" w:rsidRPr="004335FA" w14:paraId="6FBE4EBB" w14:textId="77777777" w:rsidTr="00F408E8">
        <w:tc>
          <w:tcPr>
            <w:tcW w:w="531" w:type="dxa"/>
            <w:tcBorders>
              <w:bottom w:val="single" w:sz="4" w:space="0" w:color="auto"/>
            </w:tcBorders>
            <w:shd w:val="clear" w:color="auto" w:fill="auto"/>
          </w:tcPr>
          <w:p w14:paraId="06A33563" w14:textId="192850F0" w:rsidR="0003546F" w:rsidRPr="00E76257" w:rsidRDefault="0003546F" w:rsidP="001B3543">
            <w:pPr>
              <w:spacing w:line="240" w:lineRule="auto"/>
              <w:rPr>
                <w:rFonts w:cs="Arial"/>
                <w:sz w:val="16"/>
                <w:szCs w:val="16"/>
                <w:lang w:val="en-US"/>
              </w:rPr>
            </w:pPr>
          </w:p>
        </w:tc>
        <w:tc>
          <w:tcPr>
            <w:tcW w:w="1596" w:type="dxa"/>
            <w:vMerge/>
            <w:tcBorders>
              <w:bottom w:val="single" w:sz="4" w:space="0" w:color="auto"/>
            </w:tcBorders>
            <w:shd w:val="clear" w:color="auto" w:fill="auto"/>
          </w:tcPr>
          <w:p w14:paraId="3E43BB28" w14:textId="77777777" w:rsidR="0003546F" w:rsidRPr="00E76257" w:rsidRDefault="0003546F" w:rsidP="001B3543">
            <w:pPr>
              <w:spacing w:line="240" w:lineRule="auto"/>
              <w:rPr>
                <w:rFonts w:cs="Arial"/>
                <w:b/>
                <w:sz w:val="16"/>
                <w:szCs w:val="16"/>
                <w:lang w:val="en-US"/>
              </w:rPr>
            </w:pPr>
          </w:p>
        </w:tc>
        <w:tc>
          <w:tcPr>
            <w:tcW w:w="3685" w:type="dxa"/>
            <w:tcBorders>
              <w:bottom w:val="single" w:sz="4" w:space="0" w:color="auto"/>
            </w:tcBorders>
            <w:shd w:val="clear" w:color="auto" w:fill="auto"/>
          </w:tcPr>
          <w:p w14:paraId="12946CAE" w14:textId="43B06685" w:rsidR="007C4D48" w:rsidRPr="004335FA" w:rsidRDefault="0070462C" w:rsidP="00D54391">
            <w:pPr>
              <w:pStyle w:val="Bullet"/>
              <w:numPr>
                <w:ilvl w:val="0"/>
                <w:numId w:val="0"/>
              </w:numPr>
              <w:ind w:left="33"/>
            </w:pPr>
            <w:r w:rsidRPr="004335FA">
              <w:t>Identify and document internal controls performed by the Function and assess their design effectiveness/ comprehensiveness.</w:t>
            </w:r>
          </w:p>
        </w:tc>
        <w:tc>
          <w:tcPr>
            <w:tcW w:w="3827" w:type="dxa"/>
            <w:tcBorders>
              <w:bottom w:val="single" w:sz="4" w:space="0" w:color="auto"/>
            </w:tcBorders>
            <w:shd w:val="clear" w:color="auto" w:fill="auto"/>
          </w:tcPr>
          <w:p w14:paraId="631A0AB4" w14:textId="5825DB50" w:rsidR="0003546F" w:rsidRPr="004335FA" w:rsidRDefault="0003546F">
            <w:pPr>
              <w:pStyle w:val="Bullet"/>
              <w:numPr>
                <w:ilvl w:val="0"/>
                <w:numId w:val="0"/>
              </w:numPr>
              <w:ind w:left="33"/>
            </w:pPr>
            <w:r w:rsidRPr="004335FA">
              <w:t>Execute tests of controls to confirm the operating effectiveness of the internal controls performed by the risk control function.</w:t>
            </w:r>
          </w:p>
        </w:tc>
        <w:tc>
          <w:tcPr>
            <w:tcW w:w="3686" w:type="dxa"/>
            <w:tcBorders>
              <w:bottom w:val="single" w:sz="4" w:space="0" w:color="auto"/>
            </w:tcBorders>
            <w:shd w:val="clear" w:color="auto" w:fill="auto"/>
          </w:tcPr>
          <w:p w14:paraId="79197DC5" w14:textId="77777777" w:rsidR="0003546F" w:rsidRPr="00E76257" w:rsidRDefault="0003546F" w:rsidP="00E1226C">
            <w:pPr>
              <w:pStyle w:val="Bullet"/>
              <w:numPr>
                <w:ilvl w:val="0"/>
                <w:numId w:val="0"/>
              </w:numPr>
              <w:rPr>
                <w:lang w:val="en-US"/>
              </w:rPr>
            </w:pPr>
          </w:p>
        </w:tc>
        <w:tc>
          <w:tcPr>
            <w:tcW w:w="992" w:type="dxa"/>
            <w:tcBorders>
              <w:bottom w:val="single" w:sz="4" w:space="0" w:color="auto"/>
            </w:tcBorders>
            <w:shd w:val="clear" w:color="auto" w:fill="auto"/>
          </w:tcPr>
          <w:p w14:paraId="61FADB5C" w14:textId="77777777" w:rsidR="0003546F" w:rsidRPr="00E76257" w:rsidRDefault="0003546F" w:rsidP="001B3543">
            <w:pPr>
              <w:spacing w:line="240" w:lineRule="auto"/>
              <w:rPr>
                <w:rFonts w:cs="Arial"/>
                <w:sz w:val="16"/>
                <w:szCs w:val="16"/>
                <w:lang w:val="en-US"/>
              </w:rPr>
            </w:pPr>
          </w:p>
        </w:tc>
      </w:tr>
      <w:tr w:rsidR="00F6760D" w:rsidRPr="00117A16" w14:paraId="4603B058" w14:textId="77777777" w:rsidTr="00F408E8">
        <w:tc>
          <w:tcPr>
            <w:tcW w:w="14317" w:type="dxa"/>
            <w:gridSpan w:val="6"/>
            <w:shd w:val="pct10" w:color="auto" w:fill="auto"/>
          </w:tcPr>
          <w:p w14:paraId="72DF54DD" w14:textId="35FAD256" w:rsidR="00F6760D" w:rsidRPr="004335FA" w:rsidRDefault="00BD0B1A" w:rsidP="00F6760D">
            <w:pPr>
              <w:spacing w:line="240" w:lineRule="auto"/>
              <w:rPr>
                <w:rFonts w:cs="Arial"/>
                <w:i/>
                <w:sz w:val="16"/>
                <w:szCs w:val="16"/>
              </w:rPr>
            </w:pPr>
            <w:r w:rsidRPr="004335FA">
              <w:rPr>
                <w:sz w:val="16"/>
                <w:szCs w:val="16"/>
              </w:rPr>
              <w:t>“Confirmation that the organisational set-up of the risk control function and the compensation system did not lead to a conflict of interest”.</w:t>
            </w:r>
          </w:p>
          <w:p w14:paraId="7CC7A914" w14:textId="7E63304E" w:rsidR="00F6760D" w:rsidRPr="00E76257" w:rsidRDefault="00BD0B1A" w:rsidP="00F6760D">
            <w:pPr>
              <w:spacing w:line="240" w:lineRule="auto"/>
              <w:rPr>
                <w:rFonts w:cs="Arial"/>
                <w:i/>
                <w:sz w:val="16"/>
                <w:szCs w:val="16"/>
                <w:lang w:val="de-CH"/>
              </w:rPr>
            </w:pPr>
            <w:r w:rsidRPr="00E76257">
              <w:rPr>
                <w:i/>
                <w:sz w:val="16"/>
                <w:szCs w:val="16"/>
                <w:lang w:val="de-CH"/>
              </w:rPr>
              <w:t>„Bestätigung, dass die organisatorische Anordnung der Funktion Risikokontrolle und das Entschädigungssystem keine Zielkonflikte herbeiführten“.</w:t>
            </w:r>
          </w:p>
          <w:p w14:paraId="12AE5BC8" w14:textId="6166FCB0" w:rsidR="00BD0B1A" w:rsidRPr="00E76257" w:rsidRDefault="004E14FF" w:rsidP="00F6760D">
            <w:pPr>
              <w:spacing w:line="240" w:lineRule="auto"/>
              <w:rPr>
                <w:rFonts w:cs="Arial"/>
                <w:i/>
                <w:sz w:val="16"/>
                <w:szCs w:val="16"/>
                <w:lang w:val="fr-CH"/>
              </w:rPr>
            </w:pPr>
            <w:r w:rsidRPr="00E76257">
              <w:rPr>
                <w:i/>
                <w:sz w:val="16"/>
                <w:szCs w:val="16"/>
                <w:lang w:val="fr-CH"/>
              </w:rPr>
              <w:t>“Confirmation que le positionnement de la fonction de contrôle des risques dans l’organisation et le mode de rémunération n’ont pas généré de conflits d’objectifs”.</w:t>
            </w:r>
          </w:p>
        </w:tc>
      </w:tr>
      <w:tr w:rsidR="009E1A63" w:rsidRPr="004335FA" w14:paraId="14D8E1EC" w14:textId="77777777" w:rsidTr="00F408E8">
        <w:tc>
          <w:tcPr>
            <w:tcW w:w="531" w:type="dxa"/>
            <w:shd w:val="clear" w:color="auto" w:fill="auto"/>
          </w:tcPr>
          <w:p w14:paraId="1690EBA6" w14:textId="304487E5" w:rsidR="009E1A63" w:rsidRPr="004335FA" w:rsidRDefault="009E1A63" w:rsidP="001B3543">
            <w:pPr>
              <w:spacing w:line="240" w:lineRule="auto"/>
              <w:rPr>
                <w:rFonts w:cs="Arial"/>
                <w:sz w:val="16"/>
                <w:szCs w:val="16"/>
                <w:lang w:val="fr-CH"/>
              </w:rPr>
            </w:pPr>
          </w:p>
        </w:tc>
        <w:tc>
          <w:tcPr>
            <w:tcW w:w="1596" w:type="dxa"/>
            <w:vMerge w:val="restart"/>
            <w:shd w:val="clear" w:color="auto" w:fill="auto"/>
          </w:tcPr>
          <w:p w14:paraId="50AD0450" w14:textId="131D26E4" w:rsidR="009E1A63" w:rsidRPr="004335FA" w:rsidRDefault="009E1A63" w:rsidP="00DC13B4">
            <w:pPr>
              <w:spacing w:line="240" w:lineRule="auto"/>
              <w:rPr>
                <w:rFonts w:cs="Arial"/>
                <w:b/>
                <w:sz w:val="16"/>
                <w:szCs w:val="16"/>
              </w:rPr>
            </w:pPr>
            <w:r w:rsidRPr="004335FA">
              <w:rPr>
                <w:b/>
                <w:sz w:val="16"/>
                <w:szCs w:val="16"/>
              </w:rPr>
              <w:t>Organisational set-up and prevention of conflicts of interest</w:t>
            </w:r>
          </w:p>
        </w:tc>
        <w:tc>
          <w:tcPr>
            <w:tcW w:w="3685" w:type="dxa"/>
            <w:shd w:val="clear" w:color="auto" w:fill="auto"/>
          </w:tcPr>
          <w:p w14:paraId="34719E52" w14:textId="47F4EBB4" w:rsidR="009E1A63" w:rsidRPr="004335FA" w:rsidRDefault="009E1A63" w:rsidP="00946B52">
            <w:pPr>
              <w:pStyle w:val="Bullet"/>
              <w:numPr>
                <w:ilvl w:val="0"/>
                <w:numId w:val="0"/>
              </w:numPr>
              <w:ind w:left="33"/>
            </w:pPr>
            <w:r w:rsidRPr="004335FA">
              <w:rPr>
                <w:i/>
              </w:rPr>
              <w:t>Assess whether the organisational set-up of the risk control function is adequate considering the size, business and organisational complexity of the institution and does not lead to a conflict of interest and if it is independent from the revenue-generating units (margin</w:t>
            </w:r>
            <w:r w:rsidR="00B90B2C">
              <w:rPr>
                <w:i/>
              </w:rPr>
              <w:t xml:space="preserve"> no</w:t>
            </w:r>
            <w:r w:rsidRPr="004335FA">
              <w:rPr>
                <w:i/>
              </w:rPr>
              <w:t>s</w:t>
            </w:r>
            <w:r w:rsidR="00B90B2C">
              <w:rPr>
                <w:i/>
              </w:rPr>
              <w:t>.</w:t>
            </w:r>
            <w:r w:rsidRPr="004335FA">
              <w:rPr>
                <w:i/>
              </w:rPr>
              <w:t xml:space="preserve"> 62–68 FINMA Circ. 17/1), specifically:</w:t>
            </w:r>
          </w:p>
        </w:tc>
        <w:tc>
          <w:tcPr>
            <w:tcW w:w="3827" w:type="dxa"/>
            <w:shd w:val="clear" w:color="auto" w:fill="auto"/>
          </w:tcPr>
          <w:p w14:paraId="05D388F5" w14:textId="77777777" w:rsidR="009E1A63" w:rsidRPr="00E76257" w:rsidRDefault="009E1A63" w:rsidP="00415624">
            <w:pPr>
              <w:pStyle w:val="Bullet"/>
              <w:numPr>
                <w:ilvl w:val="0"/>
                <w:numId w:val="0"/>
              </w:numPr>
              <w:ind w:left="33"/>
              <w:rPr>
                <w:lang w:val="en-US"/>
              </w:rPr>
            </w:pPr>
          </w:p>
        </w:tc>
        <w:tc>
          <w:tcPr>
            <w:tcW w:w="3686" w:type="dxa"/>
            <w:shd w:val="clear" w:color="auto" w:fill="auto"/>
          </w:tcPr>
          <w:p w14:paraId="1F39D854" w14:textId="77777777" w:rsidR="009E1A63" w:rsidRPr="00E76257" w:rsidRDefault="009E1A63" w:rsidP="00371281">
            <w:pPr>
              <w:pStyle w:val="Bullet"/>
              <w:numPr>
                <w:ilvl w:val="0"/>
                <w:numId w:val="0"/>
              </w:numPr>
              <w:rPr>
                <w:lang w:val="en-US"/>
              </w:rPr>
            </w:pPr>
          </w:p>
        </w:tc>
        <w:tc>
          <w:tcPr>
            <w:tcW w:w="992" w:type="dxa"/>
            <w:shd w:val="clear" w:color="auto" w:fill="auto"/>
          </w:tcPr>
          <w:p w14:paraId="092CC046" w14:textId="77777777" w:rsidR="009E1A63" w:rsidRPr="00E76257" w:rsidRDefault="009E1A63" w:rsidP="001B3543">
            <w:pPr>
              <w:spacing w:line="240" w:lineRule="auto"/>
              <w:rPr>
                <w:rFonts w:cs="Arial"/>
                <w:sz w:val="16"/>
                <w:szCs w:val="16"/>
                <w:lang w:val="en-US"/>
              </w:rPr>
            </w:pPr>
          </w:p>
        </w:tc>
      </w:tr>
      <w:tr w:rsidR="009E1A63" w:rsidRPr="004335FA" w14:paraId="65D27EC3" w14:textId="77777777" w:rsidTr="00F408E8">
        <w:tc>
          <w:tcPr>
            <w:tcW w:w="531" w:type="dxa"/>
            <w:shd w:val="clear" w:color="auto" w:fill="auto"/>
          </w:tcPr>
          <w:p w14:paraId="5F5FDFD1" w14:textId="45271CED" w:rsidR="009E1A63" w:rsidRPr="00E76257" w:rsidRDefault="009E1A63" w:rsidP="001B3543">
            <w:pPr>
              <w:spacing w:line="240" w:lineRule="auto"/>
              <w:rPr>
                <w:rFonts w:cs="Arial"/>
                <w:sz w:val="16"/>
                <w:szCs w:val="16"/>
                <w:lang w:val="en-US"/>
              </w:rPr>
            </w:pPr>
          </w:p>
        </w:tc>
        <w:tc>
          <w:tcPr>
            <w:tcW w:w="1596" w:type="dxa"/>
            <w:vMerge/>
            <w:shd w:val="clear" w:color="auto" w:fill="auto"/>
          </w:tcPr>
          <w:p w14:paraId="7C1A40E5" w14:textId="77777777" w:rsidR="009E1A63" w:rsidRPr="00E76257" w:rsidRDefault="009E1A63" w:rsidP="00BB76C4">
            <w:pPr>
              <w:spacing w:line="240" w:lineRule="auto"/>
              <w:rPr>
                <w:rFonts w:cs="Arial"/>
                <w:b/>
                <w:sz w:val="16"/>
                <w:szCs w:val="16"/>
                <w:lang w:val="en-US"/>
              </w:rPr>
            </w:pPr>
          </w:p>
        </w:tc>
        <w:tc>
          <w:tcPr>
            <w:tcW w:w="3685" w:type="dxa"/>
            <w:shd w:val="clear" w:color="auto" w:fill="auto"/>
          </w:tcPr>
          <w:p w14:paraId="11B6124F" w14:textId="31CFB6E2" w:rsidR="009E1A63" w:rsidRPr="004335FA" w:rsidRDefault="009E1A63" w:rsidP="00F701BE">
            <w:pPr>
              <w:pStyle w:val="Bullet"/>
              <w:numPr>
                <w:ilvl w:val="0"/>
                <w:numId w:val="0"/>
              </w:numPr>
              <w:ind w:left="33"/>
            </w:pPr>
            <w:r w:rsidRPr="004335FA">
              <w:t>Assess whether the organi</w:t>
            </w:r>
            <w:r w:rsidR="005632B8">
              <w:t>s</w:t>
            </w:r>
            <w:r w:rsidRPr="004335FA">
              <w:t xml:space="preserve">ational set-up of the risk control function complies with FINMA Circ. 17/1 – especially regarding prevention of conflict of interest and independence from revenue-generating units – and is appropriate given recent and planned changes to the institution’s overall circumstances, </w:t>
            </w:r>
            <w:proofErr w:type="gramStart"/>
            <w:r w:rsidRPr="004335FA">
              <w:t>controls</w:t>
            </w:r>
            <w:proofErr w:type="gramEnd"/>
            <w:r w:rsidRPr="004335FA">
              <w:t xml:space="preserve"> and organisation (margin</w:t>
            </w:r>
            <w:r w:rsidR="00B90B2C">
              <w:t xml:space="preserve"> no</w:t>
            </w:r>
            <w:r w:rsidRPr="004335FA">
              <w:t>s</w:t>
            </w:r>
            <w:r w:rsidR="00B90B2C">
              <w:t>.</w:t>
            </w:r>
            <w:r w:rsidRPr="004335FA">
              <w:t xml:space="preserve"> 60</w:t>
            </w:r>
            <w:r w:rsidR="00E81092">
              <w:rPr>
                <w:i/>
              </w:rPr>
              <w:t>–</w:t>
            </w:r>
            <w:r w:rsidRPr="004335FA">
              <w:t>64 FINMA Circ. 17/1).</w:t>
            </w:r>
          </w:p>
        </w:tc>
        <w:tc>
          <w:tcPr>
            <w:tcW w:w="3827" w:type="dxa"/>
            <w:shd w:val="clear" w:color="auto" w:fill="auto"/>
          </w:tcPr>
          <w:p w14:paraId="10E91680" w14:textId="77777777" w:rsidR="009E1A63" w:rsidRPr="00E76257" w:rsidRDefault="009E1A63" w:rsidP="007C4D48">
            <w:pPr>
              <w:spacing w:line="240" w:lineRule="auto"/>
              <w:ind w:left="33"/>
              <w:rPr>
                <w:rFonts w:cs="Arial"/>
                <w:sz w:val="16"/>
                <w:szCs w:val="16"/>
                <w:lang w:val="en-US"/>
              </w:rPr>
            </w:pPr>
          </w:p>
        </w:tc>
        <w:tc>
          <w:tcPr>
            <w:tcW w:w="3686" w:type="dxa"/>
            <w:shd w:val="clear" w:color="auto" w:fill="auto"/>
          </w:tcPr>
          <w:p w14:paraId="5910F002" w14:textId="77777777" w:rsidR="009E1A63" w:rsidRPr="00E76257" w:rsidRDefault="009E1A63" w:rsidP="00371281">
            <w:pPr>
              <w:pStyle w:val="Bullet"/>
              <w:numPr>
                <w:ilvl w:val="0"/>
                <w:numId w:val="0"/>
              </w:numPr>
              <w:rPr>
                <w:lang w:val="en-US"/>
              </w:rPr>
            </w:pPr>
          </w:p>
        </w:tc>
        <w:tc>
          <w:tcPr>
            <w:tcW w:w="992" w:type="dxa"/>
            <w:shd w:val="clear" w:color="auto" w:fill="auto"/>
          </w:tcPr>
          <w:p w14:paraId="79D46FD0" w14:textId="77777777" w:rsidR="009E1A63" w:rsidRPr="00E76257" w:rsidRDefault="009E1A63" w:rsidP="001B3543">
            <w:pPr>
              <w:spacing w:line="240" w:lineRule="auto"/>
              <w:rPr>
                <w:rFonts w:cs="Arial"/>
                <w:sz w:val="16"/>
                <w:szCs w:val="16"/>
                <w:lang w:val="en-US"/>
              </w:rPr>
            </w:pPr>
          </w:p>
        </w:tc>
      </w:tr>
      <w:tr w:rsidR="009E1A63" w:rsidRPr="004335FA" w14:paraId="2B958AB1" w14:textId="77777777" w:rsidTr="00F408E8">
        <w:tc>
          <w:tcPr>
            <w:tcW w:w="531" w:type="dxa"/>
            <w:shd w:val="clear" w:color="auto" w:fill="auto"/>
          </w:tcPr>
          <w:p w14:paraId="5755F6F3" w14:textId="7A6FF683" w:rsidR="009E1A63" w:rsidRPr="00E76257" w:rsidRDefault="009E1A63" w:rsidP="001B3543">
            <w:pPr>
              <w:spacing w:line="240" w:lineRule="auto"/>
              <w:rPr>
                <w:rFonts w:cs="Arial"/>
                <w:sz w:val="16"/>
                <w:szCs w:val="16"/>
                <w:lang w:val="en-US"/>
              </w:rPr>
            </w:pPr>
          </w:p>
        </w:tc>
        <w:tc>
          <w:tcPr>
            <w:tcW w:w="1596" w:type="dxa"/>
            <w:vMerge/>
            <w:shd w:val="clear" w:color="auto" w:fill="auto"/>
          </w:tcPr>
          <w:p w14:paraId="17EFA8A3" w14:textId="77777777" w:rsidR="009E1A63" w:rsidRPr="00E76257" w:rsidRDefault="009E1A63" w:rsidP="00BB76C4">
            <w:pPr>
              <w:spacing w:line="240" w:lineRule="auto"/>
              <w:rPr>
                <w:rFonts w:cs="Arial"/>
                <w:b/>
                <w:sz w:val="16"/>
                <w:szCs w:val="16"/>
                <w:lang w:val="en-US"/>
              </w:rPr>
            </w:pPr>
          </w:p>
        </w:tc>
        <w:tc>
          <w:tcPr>
            <w:tcW w:w="3685" w:type="dxa"/>
            <w:shd w:val="clear" w:color="auto" w:fill="auto"/>
          </w:tcPr>
          <w:p w14:paraId="0FFAF8EB" w14:textId="38EB0EA2" w:rsidR="009E1A63" w:rsidRPr="004335FA" w:rsidRDefault="009E1A63" w:rsidP="004C7FBD">
            <w:pPr>
              <w:pStyle w:val="Bullet"/>
              <w:numPr>
                <w:ilvl w:val="0"/>
                <w:numId w:val="0"/>
              </w:numPr>
              <w:ind w:left="33"/>
            </w:pPr>
            <w:r w:rsidRPr="004335FA">
              <w:t xml:space="preserve">Identify what member(s) of Executive Board is/are responsible for the risk control function and assess whether the unlimited information, access and inspection rights as independent control body are ensured (margin </w:t>
            </w:r>
            <w:r w:rsidR="00B90B2C">
              <w:t xml:space="preserve">nos. </w:t>
            </w:r>
            <w:r w:rsidRPr="004335FA">
              <w:t>64 and 65 FINMA Circ. 17/1).</w:t>
            </w:r>
          </w:p>
        </w:tc>
        <w:tc>
          <w:tcPr>
            <w:tcW w:w="3827" w:type="dxa"/>
            <w:shd w:val="clear" w:color="auto" w:fill="auto"/>
          </w:tcPr>
          <w:p w14:paraId="2A2C17D4" w14:textId="77777777" w:rsidR="009E1A63" w:rsidRPr="00E76257" w:rsidRDefault="009E1A63" w:rsidP="007C4D48">
            <w:pPr>
              <w:spacing w:line="240" w:lineRule="auto"/>
              <w:ind w:left="33"/>
              <w:rPr>
                <w:rFonts w:cs="Arial"/>
                <w:sz w:val="16"/>
                <w:szCs w:val="16"/>
                <w:lang w:val="en-US"/>
              </w:rPr>
            </w:pPr>
          </w:p>
        </w:tc>
        <w:tc>
          <w:tcPr>
            <w:tcW w:w="3686" w:type="dxa"/>
            <w:shd w:val="clear" w:color="auto" w:fill="auto"/>
          </w:tcPr>
          <w:p w14:paraId="789AEC4A" w14:textId="77777777" w:rsidR="009E1A63" w:rsidRPr="00E76257" w:rsidRDefault="009E1A63" w:rsidP="00371281">
            <w:pPr>
              <w:pStyle w:val="Bullet"/>
              <w:numPr>
                <w:ilvl w:val="0"/>
                <w:numId w:val="0"/>
              </w:numPr>
              <w:rPr>
                <w:lang w:val="en-US"/>
              </w:rPr>
            </w:pPr>
          </w:p>
        </w:tc>
        <w:tc>
          <w:tcPr>
            <w:tcW w:w="992" w:type="dxa"/>
            <w:shd w:val="clear" w:color="auto" w:fill="auto"/>
          </w:tcPr>
          <w:p w14:paraId="6A67CFA3" w14:textId="77777777" w:rsidR="009E1A63" w:rsidRPr="00E76257" w:rsidRDefault="009E1A63" w:rsidP="001B3543">
            <w:pPr>
              <w:spacing w:line="240" w:lineRule="auto"/>
              <w:rPr>
                <w:rFonts w:cs="Arial"/>
                <w:sz w:val="16"/>
                <w:szCs w:val="16"/>
                <w:lang w:val="en-US"/>
              </w:rPr>
            </w:pPr>
          </w:p>
        </w:tc>
      </w:tr>
      <w:tr w:rsidR="00C6473E" w:rsidRPr="004335FA" w14:paraId="6A75777B" w14:textId="77777777" w:rsidTr="00F408E8">
        <w:tc>
          <w:tcPr>
            <w:tcW w:w="531" w:type="dxa"/>
            <w:shd w:val="clear" w:color="auto" w:fill="auto"/>
          </w:tcPr>
          <w:p w14:paraId="22F6600D" w14:textId="2AE9EA2D" w:rsidR="009E1A63" w:rsidRPr="00E76257" w:rsidRDefault="009E1A63" w:rsidP="001B3543">
            <w:pPr>
              <w:spacing w:line="240" w:lineRule="auto"/>
              <w:rPr>
                <w:rFonts w:cs="Arial"/>
                <w:sz w:val="16"/>
                <w:szCs w:val="16"/>
                <w:lang w:val="en-US"/>
              </w:rPr>
            </w:pPr>
          </w:p>
        </w:tc>
        <w:tc>
          <w:tcPr>
            <w:tcW w:w="1596" w:type="dxa"/>
            <w:vMerge/>
            <w:shd w:val="clear" w:color="auto" w:fill="auto"/>
          </w:tcPr>
          <w:p w14:paraId="60CF8B97" w14:textId="77777777" w:rsidR="009E1A63" w:rsidRPr="00E76257" w:rsidRDefault="009E1A63" w:rsidP="00BB76C4">
            <w:pPr>
              <w:spacing w:line="240" w:lineRule="auto"/>
              <w:rPr>
                <w:rFonts w:cs="Arial"/>
                <w:b/>
                <w:sz w:val="16"/>
                <w:szCs w:val="16"/>
                <w:lang w:val="en-US"/>
              </w:rPr>
            </w:pPr>
          </w:p>
        </w:tc>
        <w:tc>
          <w:tcPr>
            <w:tcW w:w="3685" w:type="dxa"/>
            <w:shd w:val="clear" w:color="auto" w:fill="auto"/>
          </w:tcPr>
          <w:p w14:paraId="152B1AE4" w14:textId="6EC52033" w:rsidR="009E1A63" w:rsidRPr="004335FA" w:rsidRDefault="009E1A63" w:rsidP="004C7FBD">
            <w:pPr>
              <w:pStyle w:val="Bullet"/>
              <w:numPr>
                <w:ilvl w:val="0"/>
                <w:numId w:val="0"/>
              </w:numPr>
              <w:ind w:left="33"/>
            </w:pPr>
            <w:r w:rsidRPr="004335FA">
              <w:t>Assess whether the remuneration scheme for employees of the risk control function (e.g. salary, bonuses, fees) does not set any incentives which could lead to a conflict of interest.</w:t>
            </w:r>
          </w:p>
        </w:tc>
        <w:tc>
          <w:tcPr>
            <w:tcW w:w="3827" w:type="dxa"/>
            <w:shd w:val="clear" w:color="auto" w:fill="auto"/>
          </w:tcPr>
          <w:p w14:paraId="31B35A0C" w14:textId="3F5B720A" w:rsidR="009E1A63" w:rsidRPr="004335FA" w:rsidRDefault="009E1A63" w:rsidP="00FA7405">
            <w:pPr>
              <w:pStyle w:val="Bullet"/>
              <w:numPr>
                <w:ilvl w:val="0"/>
                <w:numId w:val="0"/>
              </w:numPr>
              <w:ind w:left="33"/>
            </w:pPr>
            <w:r w:rsidRPr="004335FA">
              <w:t>Develop and execute substantive procedures to confirm that the remuneration of employees of the risk control function does not depend on the results of individual products or transactions.</w:t>
            </w:r>
          </w:p>
        </w:tc>
        <w:tc>
          <w:tcPr>
            <w:tcW w:w="3686" w:type="dxa"/>
            <w:shd w:val="clear" w:color="auto" w:fill="auto"/>
          </w:tcPr>
          <w:p w14:paraId="48924132" w14:textId="77777777" w:rsidR="009E1A63" w:rsidRPr="00E76257" w:rsidRDefault="009E1A63" w:rsidP="00371281">
            <w:pPr>
              <w:pStyle w:val="Bullet"/>
              <w:numPr>
                <w:ilvl w:val="0"/>
                <w:numId w:val="0"/>
              </w:numPr>
              <w:rPr>
                <w:lang w:val="en-US"/>
              </w:rPr>
            </w:pPr>
          </w:p>
        </w:tc>
        <w:tc>
          <w:tcPr>
            <w:tcW w:w="992" w:type="dxa"/>
            <w:shd w:val="clear" w:color="auto" w:fill="auto"/>
          </w:tcPr>
          <w:p w14:paraId="2DDBF5E7" w14:textId="77777777" w:rsidR="009E1A63" w:rsidRPr="00E76257" w:rsidRDefault="009E1A63" w:rsidP="001B3543">
            <w:pPr>
              <w:spacing w:line="240" w:lineRule="auto"/>
              <w:rPr>
                <w:rFonts w:cs="Arial"/>
                <w:sz w:val="16"/>
                <w:szCs w:val="16"/>
                <w:lang w:val="en-US"/>
              </w:rPr>
            </w:pPr>
          </w:p>
        </w:tc>
      </w:tr>
      <w:tr w:rsidR="009E1A63" w:rsidRPr="004335FA" w14:paraId="5A91F534" w14:textId="77777777" w:rsidTr="00F408E8">
        <w:tc>
          <w:tcPr>
            <w:tcW w:w="531" w:type="dxa"/>
            <w:shd w:val="clear" w:color="auto" w:fill="auto"/>
          </w:tcPr>
          <w:p w14:paraId="15CAB20C" w14:textId="77777777" w:rsidR="009E1A63" w:rsidRPr="00E76257" w:rsidRDefault="009E1A63" w:rsidP="001B3543">
            <w:pPr>
              <w:spacing w:line="240" w:lineRule="auto"/>
              <w:rPr>
                <w:rFonts w:cs="Arial"/>
                <w:sz w:val="16"/>
                <w:szCs w:val="16"/>
                <w:lang w:val="en-US"/>
              </w:rPr>
            </w:pPr>
          </w:p>
        </w:tc>
        <w:tc>
          <w:tcPr>
            <w:tcW w:w="1596" w:type="dxa"/>
            <w:vMerge/>
            <w:shd w:val="clear" w:color="auto" w:fill="auto"/>
          </w:tcPr>
          <w:p w14:paraId="1C1D2677" w14:textId="77777777" w:rsidR="009E1A63" w:rsidRPr="00E76257" w:rsidRDefault="009E1A63" w:rsidP="00BB76C4">
            <w:pPr>
              <w:spacing w:line="240" w:lineRule="auto"/>
              <w:rPr>
                <w:rFonts w:cs="Arial"/>
                <w:b/>
                <w:sz w:val="16"/>
                <w:szCs w:val="16"/>
                <w:lang w:val="en-US"/>
              </w:rPr>
            </w:pPr>
          </w:p>
        </w:tc>
        <w:tc>
          <w:tcPr>
            <w:tcW w:w="3685" w:type="dxa"/>
            <w:shd w:val="clear" w:color="auto" w:fill="auto"/>
          </w:tcPr>
          <w:p w14:paraId="25596E3C" w14:textId="0E1FDBDD" w:rsidR="009E1A63" w:rsidRPr="004335FA" w:rsidRDefault="009E1A63" w:rsidP="009E1A63">
            <w:pPr>
              <w:pStyle w:val="Bullet"/>
              <w:numPr>
                <w:ilvl w:val="0"/>
                <w:numId w:val="0"/>
              </w:numPr>
              <w:ind w:left="33"/>
            </w:pPr>
            <w:r w:rsidRPr="004335FA">
              <w:t>Assess if the risk control function (independent control body) has direct access to the Board of Directors</w:t>
            </w:r>
            <w:r w:rsidR="00E76257">
              <w:t xml:space="preserve"> </w:t>
            </w:r>
            <w:r w:rsidR="00E76257" w:rsidRPr="00E76257">
              <w:t>(margin. no. 66 FINMA Circ. 17/1)</w:t>
            </w:r>
            <w:r w:rsidRPr="004335FA">
              <w:t>.</w:t>
            </w:r>
          </w:p>
        </w:tc>
        <w:tc>
          <w:tcPr>
            <w:tcW w:w="3827" w:type="dxa"/>
            <w:shd w:val="clear" w:color="auto" w:fill="auto"/>
          </w:tcPr>
          <w:p w14:paraId="72E6C6D1" w14:textId="77777777" w:rsidR="009E1A63" w:rsidRPr="00E76257" w:rsidRDefault="009E1A63" w:rsidP="00606203">
            <w:pPr>
              <w:pStyle w:val="Bullet"/>
              <w:numPr>
                <w:ilvl w:val="0"/>
                <w:numId w:val="0"/>
              </w:numPr>
              <w:ind w:left="33"/>
              <w:rPr>
                <w:lang w:val="en-US"/>
              </w:rPr>
            </w:pPr>
          </w:p>
        </w:tc>
        <w:tc>
          <w:tcPr>
            <w:tcW w:w="3686" w:type="dxa"/>
            <w:shd w:val="clear" w:color="auto" w:fill="auto"/>
          </w:tcPr>
          <w:p w14:paraId="1A6623A8" w14:textId="77777777" w:rsidR="009E1A63" w:rsidRPr="00E76257" w:rsidRDefault="009E1A63" w:rsidP="00371281">
            <w:pPr>
              <w:pStyle w:val="Bullet"/>
              <w:numPr>
                <w:ilvl w:val="0"/>
                <w:numId w:val="0"/>
              </w:numPr>
              <w:rPr>
                <w:lang w:val="en-US"/>
              </w:rPr>
            </w:pPr>
          </w:p>
        </w:tc>
        <w:tc>
          <w:tcPr>
            <w:tcW w:w="992" w:type="dxa"/>
            <w:shd w:val="clear" w:color="auto" w:fill="auto"/>
          </w:tcPr>
          <w:p w14:paraId="5B72B4E1" w14:textId="77777777" w:rsidR="009E1A63" w:rsidRPr="00E76257" w:rsidRDefault="009E1A63" w:rsidP="001B3543">
            <w:pPr>
              <w:spacing w:line="240" w:lineRule="auto"/>
              <w:rPr>
                <w:rFonts w:cs="Arial"/>
                <w:sz w:val="16"/>
                <w:szCs w:val="16"/>
                <w:lang w:val="en-US"/>
              </w:rPr>
            </w:pPr>
          </w:p>
        </w:tc>
      </w:tr>
      <w:tr w:rsidR="00E01F1B" w:rsidRPr="004335FA" w14:paraId="2C4D8464" w14:textId="77777777" w:rsidTr="00F408E8">
        <w:tc>
          <w:tcPr>
            <w:tcW w:w="531" w:type="dxa"/>
            <w:shd w:val="clear" w:color="auto" w:fill="auto"/>
          </w:tcPr>
          <w:p w14:paraId="79B4142C" w14:textId="77777777" w:rsidR="00E01F1B" w:rsidRPr="00E76257" w:rsidRDefault="00E01F1B" w:rsidP="001B3543">
            <w:pPr>
              <w:spacing w:line="240" w:lineRule="auto"/>
              <w:rPr>
                <w:rFonts w:cs="Arial"/>
                <w:sz w:val="16"/>
                <w:szCs w:val="16"/>
                <w:lang w:val="en-US"/>
              </w:rPr>
            </w:pPr>
          </w:p>
        </w:tc>
        <w:tc>
          <w:tcPr>
            <w:tcW w:w="1596" w:type="dxa"/>
            <w:vMerge/>
            <w:shd w:val="clear" w:color="auto" w:fill="auto"/>
          </w:tcPr>
          <w:p w14:paraId="0C76E46F" w14:textId="77777777" w:rsidR="00E01F1B" w:rsidRPr="00E76257" w:rsidRDefault="00E01F1B" w:rsidP="00BB76C4">
            <w:pPr>
              <w:spacing w:line="240" w:lineRule="auto"/>
              <w:rPr>
                <w:rFonts w:cs="Arial"/>
                <w:b/>
                <w:sz w:val="16"/>
                <w:szCs w:val="16"/>
                <w:lang w:val="en-US"/>
              </w:rPr>
            </w:pPr>
          </w:p>
        </w:tc>
        <w:tc>
          <w:tcPr>
            <w:tcW w:w="3685" w:type="dxa"/>
            <w:shd w:val="clear" w:color="auto" w:fill="auto"/>
          </w:tcPr>
          <w:p w14:paraId="482620F5" w14:textId="23340129" w:rsidR="00E01F1B" w:rsidRPr="004335FA" w:rsidDel="00C548A6" w:rsidRDefault="00E01F1B" w:rsidP="00E76257">
            <w:pPr>
              <w:pStyle w:val="Bullet"/>
              <w:numPr>
                <w:ilvl w:val="0"/>
                <w:numId w:val="0"/>
              </w:numPr>
              <w:ind w:left="33"/>
            </w:pPr>
            <w:r w:rsidRPr="00AA78F7">
              <w:rPr>
                <w:b/>
                <w:sz w:val="28"/>
                <w:szCs w:val="28"/>
              </w:rPr>
              <w:t>*</w:t>
            </w:r>
            <w:r w:rsidRPr="004335FA">
              <w:t xml:space="preserve"> Assess if a separate risk control function exists as an independent control body and if a chief risk </w:t>
            </w:r>
            <w:r w:rsidRPr="004335FA">
              <w:lastRenderedPageBreak/>
              <w:t>officer has been appointed to head it up</w:t>
            </w:r>
            <w:r w:rsidR="00E76257">
              <w:t xml:space="preserve"> (m</w:t>
            </w:r>
            <w:r w:rsidR="00505CD9" w:rsidRPr="004335FA">
              <w:t>argin</w:t>
            </w:r>
            <w:r w:rsidR="00E76257">
              <w:t xml:space="preserve"> no.</w:t>
            </w:r>
            <w:r w:rsidR="00505CD9" w:rsidRPr="004335FA">
              <w:t xml:space="preserve"> 67 FINMA Circ. 17/1).</w:t>
            </w:r>
          </w:p>
        </w:tc>
        <w:tc>
          <w:tcPr>
            <w:tcW w:w="3827" w:type="dxa"/>
            <w:shd w:val="clear" w:color="auto" w:fill="auto"/>
          </w:tcPr>
          <w:p w14:paraId="79CB3E67" w14:textId="77777777" w:rsidR="00E01F1B" w:rsidRPr="00E76257" w:rsidRDefault="00E01F1B" w:rsidP="00606203">
            <w:pPr>
              <w:pStyle w:val="Bullet"/>
              <w:numPr>
                <w:ilvl w:val="0"/>
                <w:numId w:val="0"/>
              </w:numPr>
              <w:ind w:left="33"/>
              <w:rPr>
                <w:lang w:val="en-US"/>
              </w:rPr>
            </w:pPr>
          </w:p>
        </w:tc>
        <w:tc>
          <w:tcPr>
            <w:tcW w:w="3686" w:type="dxa"/>
            <w:shd w:val="clear" w:color="auto" w:fill="auto"/>
          </w:tcPr>
          <w:p w14:paraId="0525E8BD" w14:textId="77777777" w:rsidR="00E01F1B" w:rsidRPr="00E76257" w:rsidRDefault="00E01F1B" w:rsidP="00371281">
            <w:pPr>
              <w:pStyle w:val="Bullet"/>
              <w:numPr>
                <w:ilvl w:val="0"/>
                <w:numId w:val="0"/>
              </w:numPr>
              <w:rPr>
                <w:lang w:val="en-US"/>
              </w:rPr>
            </w:pPr>
          </w:p>
        </w:tc>
        <w:tc>
          <w:tcPr>
            <w:tcW w:w="992" w:type="dxa"/>
            <w:shd w:val="clear" w:color="auto" w:fill="auto"/>
          </w:tcPr>
          <w:p w14:paraId="1A5E3CC1" w14:textId="77777777" w:rsidR="00E01F1B" w:rsidRPr="00E76257" w:rsidRDefault="00E01F1B" w:rsidP="001B3543">
            <w:pPr>
              <w:spacing w:line="240" w:lineRule="auto"/>
              <w:rPr>
                <w:rFonts w:cs="Arial"/>
                <w:sz w:val="16"/>
                <w:szCs w:val="16"/>
                <w:lang w:val="en-US"/>
              </w:rPr>
            </w:pPr>
          </w:p>
        </w:tc>
      </w:tr>
      <w:tr w:rsidR="009E1A63" w:rsidRPr="004335FA" w14:paraId="2113EA42" w14:textId="77777777" w:rsidTr="00F408E8">
        <w:tc>
          <w:tcPr>
            <w:tcW w:w="531" w:type="dxa"/>
            <w:shd w:val="clear" w:color="auto" w:fill="auto"/>
          </w:tcPr>
          <w:p w14:paraId="062CA205" w14:textId="77777777" w:rsidR="009E1A63" w:rsidRPr="00E76257" w:rsidRDefault="009E1A63" w:rsidP="001B3543">
            <w:pPr>
              <w:spacing w:line="240" w:lineRule="auto"/>
              <w:rPr>
                <w:rFonts w:cs="Arial"/>
                <w:sz w:val="16"/>
                <w:szCs w:val="16"/>
                <w:lang w:val="en-US"/>
              </w:rPr>
            </w:pPr>
          </w:p>
        </w:tc>
        <w:tc>
          <w:tcPr>
            <w:tcW w:w="1596" w:type="dxa"/>
            <w:vMerge/>
            <w:shd w:val="clear" w:color="auto" w:fill="auto"/>
          </w:tcPr>
          <w:p w14:paraId="7950559B" w14:textId="77777777" w:rsidR="009E1A63" w:rsidRPr="00E76257" w:rsidRDefault="009E1A63" w:rsidP="00BB76C4">
            <w:pPr>
              <w:spacing w:line="240" w:lineRule="auto"/>
              <w:rPr>
                <w:rFonts w:cs="Arial"/>
                <w:b/>
                <w:sz w:val="16"/>
                <w:szCs w:val="16"/>
                <w:lang w:val="en-US"/>
              </w:rPr>
            </w:pPr>
          </w:p>
        </w:tc>
        <w:tc>
          <w:tcPr>
            <w:tcW w:w="3685" w:type="dxa"/>
            <w:shd w:val="clear" w:color="auto" w:fill="auto"/>
          </w:tcPr>
          <w:p w14:paraId="2A4F34F7" w14:textId="77777777" w:rsidR="004C3B71" w:rsidRPr="004335FA" w:rsidRDefault="004C3B71" w:rsidP="004C3B71">
            <w:pPr>
              <w:pStyle w:val="Bullet"/>
              <w:numPr>
                <w:ilvl w:val="0"/>
                <w:numId w:val="0"/>
              </w:numPr>
              <w:ind w:left="33"/>
            </w:pPr>
            <w:r w:rsidRPr="004335FA">
              <w:t xml:space="preserve">Applicable only to systemically important institutions: </w:t>
            </w:r>
          </w:p>
          <w:p w14:paraId="19F11991" w14:textId="10858D87" w:rsidR="009E1A63" w:rsidRPr="004335FA" w:rsidRDefault="004C3B71" w:rsidP="004C3B71">
            <w:pPr>
              <w:pStyle w:val="Bullet"/>
              <w:numPr>
                <w:ilvl w:val="0"/>
                <w:numId w:val="0"/>
              </w:numPr>
              <w:ind w:left="33"/>
            </w:pPr>
            <w:r w:rsidRPr="004335FA">
              <w:t xml:space="preserve">Assess if a chief risk officer, who is member of the Executive Board, has been appointed (margin </w:t>
            </w:r>
            <w:r w:rsidR="00B90B2C">
              <w:t xml:space="preserve">no. </w:t>
            </w:r>
            <w:r w:rsidRPr="004335FA">
              <w:t>68 FINMA Circ. 17/1).</w:t>
            </w:r>
          </w:p>
        </w:tc>
        <w:tc>
          <w:tcPr>
            <w:tcW w:w="3827" w:type="dxa"/>
            <w:shd w:val="clear" w:color="auto" w:fill="auto"/>
          </w:tcPr>
          <w:p w14:paraId="516E85B3" w14:textId="77777777" w:rsidR="009E1A63" w:rsidRPr="00E76257" w:rsidRDefault="009E1A63" w:rsidP="00606203">
            <w:pPr>
              <w:pStyle w:val="Bullet"/>
              <w:numPr>
                <w:ilvl w:val="0"/>
                <w:numId w:val="0"/>
              </w:numPr>
              <w:ind w:left="33"/>
              <w:rPr>
                <w:lang w:val="en-US"/>
              </w:rPr>
            </w:pPr>
          </w:p>
        </w:tc>
        <w:tc>
          <w:tcPr>
            <w:tcW w:w="3686" w:type="dxa"/>
            <w:shd w:val="clear" w:color="auto" w:fill="auto"/>
          </w:tcPr>
          <w:p w14:paraId="180BFC72" w14:textId="77777777" w:rsidR="009E1A63" w:rsidRPr="00E76257" w:rsidRDefault="009E1A63" w:rsidP="00371281">
            <w:pPr>
              <w:pStyle w:val="Bullet"/>
              <w:numPr>
                <w:ilvl w:val="0"/>
                <w:numId w:val="0"/>
              </w:numPr>
              <w:rPr>
                <w:lang w:val="en-US"/>
              </w:rPr>
            </w:pPr>
          </w:p>
        </w:tc>
        <w:tc>
          <w:tcPr>
            <w:tcW w:w="992" w:type="dxa"/>
            <w:shd w:val="clear" w:color="auto" w:fill="auto"/>
          </w:tcPr>
          <w:p w14:paraId="1EE061C8" w14:textId="77777777" w:rsidR="009E1A63" w:rsidRPr="00E76257" w:rsidRDefault="009E1A63" w:rsidP="001B3543">
            <w:pPr>
              <w:spacing w:line="240" w:lineRule="auto"/>
              <w:rPr>
                <w:rFonts w:cs="Arial"/>
                <w:sz w:val="16"/>
                <w:szCs w:val="16"/>
                <w:lang w:val="en-US"/>
              </w:rPr>
            </w:pPr>
          </w:p>
        </w:tc>
      </w:tr>
    </w:tbl>
    <w:p w14:paraId="37759E59" w14:textId="441F62AE" w:rsidR="00A018BA" w:rsidRPr="00E76257" w:rsidRDefault="00A018BA" w:rsidP="00A018BA">
      <w:pPr>
        <w:spacing w:before="0" w:after="200"/>
        <w:rPr>
          <w:rFonts w:cs="Arial"/>
          <w:b/>
          <w:lang w:val="en-US"/>
        </w:rPr>
      </w:pPr>
    </w:p>
    <w:p w14:paraId="7DDA491F" w14:textId="77777777" w:rsidR="00A018BA" w:rsidRPr="00E76257" w:rsidRDefault="00A018BA" w:rsidP="00A018BA">
      <w:pPr>
        <w:rPr>
          <w:rFonts w:ascii="EYInterstate Light" w:hAnsi="EYInterstate Light"/>
          <w:lang w:val="en-US"/>
        </w:rPr>
      </w:pPr>
    </w:p>
    <w:p w14:paraId="3A342AB1" w14:textId="77777777" w:rsidR="009F683E" w:rsidRPr="00B90D29" w:rsidRDefault="00513348" w:rsidP="00F6760D">
      <w:pPr>
        <w:spacing w:before="240"/>
        <w:jc w:val="center"/>
        <w:rPr>
          <w:rFonts w:cs="Arial"/>
        </w:rPr>
      </w:pPr>
      <w:r>
        <w:t>*********************************</w:t>
      </w:r>
    </w:p>
    <w:sectPr w:rsidR="009F683E" w:rsidRPr="00B90D29" w:rsidSect="00E23370">
      <w:headerReference w:type="default" r:id="rId13"/>
      <w:footerReference w:type="default" r:id="rId14"/>
      <w:pgSz w:w="16838" w:h="11906" w:orient="landscape"/>
      <w:pgMar w:top="1417" w:right="1417" w:bottom="1135" w:left="1134" w:header="426"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59E35" w14:textId="77777777" w:rsidR="00DA5488" w:rsidRDefault="00DA5488" w:rsidP="0073176F">
      <w:pPr>
        <w:spacing w:after="0" w:line="240" w:lineRule="auto"/>
      </w:pPr>
      <w:r>
        <w:separator/>
      </w:r>
    </w:p>
  </w:endnote>
  <w:endnote w:type="continuationSeparator" w:id="0">
    <w:p w14:paraId="6648850A" w14:textId="77777777" w:rsidR="00DA5488" w:rsidRDefault="00DA5488" w:rsidP="0073176F">
      <w:pPr>
        <w:spacing w:after="0" w:line="240" w:lineRule="auto"/>
      </w:pPr>
      <w:r>
        <w:continuationSeparator/>
      </w:r>
    </w:p>
  </w:endnote>
  <w:endnote w:type="continuationNotice" w:id="1">
    <w:p w14:paraId="29E5597E" w14:textId="77777777" w:rsidR="00DA5488" w:rsidRDefault="00DA548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YInterstate Light">
    <w:altName w:val="Calibri"/>
    <w:charset w:val="00"/>
    <w:family w:val="auto"/>
    <w:pitch w:val="variable"/>
    <w:sig w:usb0="A00002AF" w:usb1="5000206A" w:usb2="00000000" w:usb3="00000000" w:csb0="0000009F" w:csb1="00000000"/>
  </w:font>
  <w:font w:name="EYInterstate">
    <w:altName w:val="Times New Roman"/>
    <w:charset w:val="00"/>
    <w:family w:val="auto"/>
    <w:pitch w:val="variable"/>
    <w:sig w:usb0="00000001" w:usb1="5000206A"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54E6" w14:textId="08A7C65C" w:rsidR="005654C3" w:rsidRPr="004335FA" w:rsidRDefault="00094C73" w:rsidP="00094C73">
    <w:pPr>
      <w:pStyle w:val="Pieddepage"/>
      <w:tabs>
        <w:tab w:val="clear" w:pos="9072"/>
        <w:tab w:val="right" w:pos="14317"/>
      </w:tabs>
      <w:rPr>
        <w:rFonts w:cs="Arial"/>
        <w:sz w:val="16"/>
        <w:szCs w:val="16"/>
      </w:rPr>
    </w:pPr>
    <w:r w:rsidRPr="004335FA">
      <w:rPr>
        <w:sz w:val="16"/>
        <w:szCs w:val="16"/>
      </w:rPr>
      <w:t xml:space="preserve">Procedures for </w:t>
    </w:r>
    <w:r w:rsidR="004A5BE6">
      <w:rPr>
        <w:sz w:val="16"/>
        <w:szCs w:val="16"/>
      </w:rPr>
      <w:t>audit field "C</w:t>
    </w:r>
    <w:r w:rsidRPr="004335FA">
      <w:rPr>
        <w:sz w:val="16"/>
        <w:szCs w:val="16"/>
      </w:rPr>
      <w:t>entralised risk control and risk mitigation functions</w:t>
    </w:r>
    <w:r w:rsidR="004A5BE6">
      <w:rPr>
        <w:sz w:val="16"/>
        <w:szCs w:val="16"/>
      </w:rPr>
      <w:t>"</w:t>
    </w:r>
  </w:p>
  <w:p w14:paraId="5251AD3B" w14:textId="3B9DC08B" w:rsidR="005654C3" w:rsidRPr="004335FA" w:rsidRDefault="00224379" w:rsidP="00D247FF">
    <w:pPr>
      <w:pStyle w:val="Pieddepage"/>
      <w:tabs>
        <w:tab w:val="clear" w:pos="9072"/>
        <w:tab w:val="right" w:pos="14317"/>
      </w:tabs>
      <w:rPr>
        <w:rFonts w:cs="Arial"/>
        <w:sz w:val="16"/>
        <w:szCs w:val="16"/>
      </w:rPr>
    </w:pPr>
    <w:r w:rsidRPr="004335FA">
      <w:rPr>
        <w:sz w:val="16"/>
        <w:szCs w:val="16"/>
      </w:rPr>
      <w:t xml:space="preserve">Version of </w:t>
    </w:r>
    <w:r w:rsidR="00E81092">
      <w:rPr>
        <w:sz w:val="16"/>
        <w:szCs w:val="16"/>
      </w:rPr>
      <w:t>15 March</w:t>
    </w:r>
    <w:r w:rsidR="00EA0476">
      <w:rPr>
        <w:sz w:val="16"/>
        <w:szCs w:val="16"/>
      </w:rPr>
      <w:t xml:space="preserve"> 2025</w:t>
    </w:r>
    <w:r w:rsidRPr="004335FA">
      <w:rPr>
        <w:sz w:val="16"/>
        <w:szCs w:val="16"/>
      </w:rPr>
      <w:t xml:space="preserve">, applicable </w:t>
    </w:r>
    <w:r w:rsidR="004D3962">
      <w:rPr>
        <w:sz w:val="16"/>
        <w:szCs w:val="16"/>
      </w:rPr>
      <w:t>from</w:t>
    </w:r>
    <w:r w:rsidR="004D3962" w:rsidRPr="004335FA">
      <w:rPr>
        <w:sz w:val="16"/>
        <w:szCs w:val="16"/>
      </w:rPr>
      <w:t xml:space="preserve"> </w:t>
    </w:r>
    <w:r w:rsidRPr="004335FA">
      <w:rPr>
        <w:sz w:val="16"/>
        <w:szCs w:val="16"/>
      </w:rPr>
      <w:t>audit period 202</w:t>
    </w:r>
    <w:r w:rsidR="00EA0476">
      <w:rPr>
        <w:sz w:val="16"/>
        <w:szCs w:val="16"/>
      </w:rPr>
      <w:t>5</w:t>
    </w:r>
    <w:r w:rsidRPr="004335FA">
      <w:rPr>
        <w:sz w:val="16"/>
        <w:szCs w:val="16"/>
      </w:rPr>
      <w:t xml:space="preserve"> (audit year beginning 1 Jan</w:t>
    </w:r>
    <w:r w:rsidR="00EA0476">
      <w:rPr>
        <w:sz w:val="16"/>
        <w:szCs w:val="16"/>
      </w:rPr>
      <w:t>uary</w:t>
    </w:r>
    <w:r w:rsidRPr="004335FA">
      <w:rPr>
        <w:sz w:val="16"/>
        <w:szCs w:val="16"/>
      </w:rPr>
      <w:t xml:space="preserve"> 202</w:t>
    </w:r>
    <w:r w:rsidR="00EA0476">
      <w:rPr>
        <w:sz w:val="16"/>
        <w:szCs w:val="16"/>
      </w:rPr>
      <w:t>5</w:t>
    </w:r>
    <w:r w:rsidRPr="004335FA">
      <w:rPr>
        <w:sz w:val="16"/>
        <w:szCs w:val="16"/>
      </w:rPr>
      <w:t xml:space="preserve"> or later)</w:t>
    </w:r>
    <w:r w:rsidRPr="004335FA">
      <w:rPr>
        <w:sz w:val="16"/>
        <w:szCs w:val="16"/>
      </w:rPr>
      <w:tab/>
      <w:t xml:space="preserve">Page </w:t>
    </w:r>
    <w:r w:rsidR="005654C3" w:rsidRPr="004335FA">
      <w:rPr>
        <w:rFonts w:cs="Arial"/>
        <w:sz w:val="16"/>
        <w:szCs w:val="16"/>
      </w:rPr>
      <w:fldChar w:fldCharType="begin"/>
    </w:r>
    <w:r w:rsidR="005654C3" w:rsidRPr="004335FA">
      <w:rPr>
        <w:rFonts w:cs="Arial"/>
        <w:sz w:val="16"/>
        <w:szCs w:val="16"/>
      </w:rPr>
      <w:instrText xml:space="preserve"> PAGE   \* MERGEFORMAT </w:instrText>
    </w:r>
    <w:r w:rsidR="005654C3" w:rsidRPr="004335FA">
      <w:rPr>
        <w:rFonts w:cs="Arial"/>
        <w:sz w:val="16"/>
        <w:szCs w:val="16"/>
      </w:rPr>
      <w:fldChar w:fldCharType="separate"/>
    </w:r>
    <w:r w:rsidR="00AA78F7">
      <w:rPr>
        <w:rFonts w:cs="Arial"/>
        <w:noProof/>
        <w:sz w:val="16"/>
        <w:szCs w:val="16"/>
      </w:rPr>
      <w:t>7</w:t>
    </w:r>
    <w:r w:rsidR="005654C3" w:rsidRPr="004335FA">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C733D" w14:textId="77777777" w:rsidR="00DA5488" w:rsidRDefault="00DA5488" w:rsidP="0073176F">
      <w:pPr>
        <w:spacing w:after="0" w:line="240" w:lineRule="auto"/>
      </w:pPr>
      <w:r>
        <w:separator/>
      </w:r>
    </w:p>
  </w:footnote>
  <w:footnote w:type="continuationSeparator" w:id="0">
    <w:p w14:paraId="414B225B" w14:textId="77777777" w:rsidR="00DA5488" w:rsidRDefault="00DA5488" w:rsidP="0073176F">
      <w:pPr>
        <w:spacing w:after="0" w:line="240" w:lineRule="auto"/>
      </w:pPr>
      <w:r>
        <w:continuationSeparator/>
      </w:r>
    </w:p>
  </w:footnote>
  <w:footnote w:type="continuationNotice" w:id="1">
    <w:p w14:paraId="7E1432CA" w14:textId="77777777" w:rsidR="00DA5488" w:rsidRDefault="00DA5488">
      <w:pPr>
        <w:spacing w:before="0" w:after="0" w:line="240" w:lineRule="auto"/>
      </w:pPr>
    </w:p>
  </w:footnote>
  <w:footnote w:id="2">
    <w:p w14:paraId="3FE8B1BA" w14:textId="7E1E8928" w:rsidR="009A6740" w:rsidRPr="001F20A1" w:rsidRDefault="009A6740" w:rsidP="009A6740">
      <w:pPr>
        <w:pStyle w:val="Notedebasdepage"/>
      </w:pPr>
      <w:r w:rsidRPr="001F20A1">
        <w:rPr>
          <w:rStyle w:val="Appelnotedebasdep"/>
        </w:rPr>
        <w:footnoteRef/>
      </w:r>
      <w:r w:rsidRPr="001F20A1">
        <w:t xml:space="preserve"> </w:t>
      </w:r>
      <w:bookmarkStart w:id="0" w:name="_Hlk191459366"/>
      <w:r w:rsidR="00EA0476">
        <w:t>Art</w:t>
      </w:r>
      <w:r w:rsidR="00E81092">
        <w:t>icle</w:t>
      </w:r>
      <w:r w:rsidR="00EA0476">
        <w:t xml:space="preserve"> 10 para</w:t>
      </w:r>
      <w:r w:rsidR="00E81092">
        <w:t>s</w:t>
      </w:r>
      <w:r w:rsidR="00EA0476">
        <w:t xml:space="preserve">. 2 and 3 </w:t>
      </w:r>
      <w:r w:rsidR="004A5BE6" w:rsidRPr="004A5BE6">
        <w:t>FINMA Regulatory Auditing Ordinance</w:t>
      </w:r>
      <w:bookmarkEnd w:id="0"/>
      <w:r w:rsidR="004A5BE6" w:rsidRPr="004A5BE6">
        <w:t xml:space="preserve"> </w:t>
      </w:r>
      <w:r w:rsidR="00E81092">
        <w:t>of 31 October 2024 (SR </w:t>
      </w:r>
      <w:r w:rsidR="00E81092" w:rsidRPr="00117A16">
        <w:rPr>
          <w:i/>
          <w:iCs/>
        </w:rPr>
        <w:t>956.161.1</w:t>
      </w:r>
      <w:r w:rsidR="00E81092">
        <w:t>)</w:t>
      </w:r>
    </w:p>
  </w:footnote>
  <w:footnote w:id="3">
    <w:p w14:paraId="5648826A" w14:textId="3908AF04" w:rsidR="00C548A6" w:rsidRPr="00AC006D" w:rsidRDefault="00C548A6">
      <w:pPr>
        <w:pStyle w:val="Notedebasdepage"/>
      </w:pPr>
      <w:r>
        <w:rPr>
          <w:rStyle w:val="Appelnotedebasdep"/>
          <w:sz w:val="16"/>
        </w:rPr>
        <w:footnoteRef/>
      </w:r>
      <w:r>
        <w:rPr>
          <w:sz w:val="16"/>
        </w:rPr>
        <w:t xml:space="preserve"> Banks in the small banks regime must at the very least conduct scenario analyses.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AE87" w14:textId="1B71427C" w:rsidR="005654C3" w:rsidRPr="00405371" w:rsidRDefault="005654C3" w:rsidP="004C7FBD">
    <w:pPr>
      <w:pStyle w:val="En-tte"/>
      <w:tabs>
        <w:tab w:val="clear" w:pos="4536"/>
        <w:tab w:val="clear" w:pos="9072"/>
        <w:tab w:val="left" w:pos="3969"/>
        <w:tab w:val="right" w:pos="14317"/>
      </w:tabs>
      <w:rPr>
        <w:rFonts w:cs="Arial"/>
        <w:sz w:val="16"/>
        <w:szCs w:val="16"/>
      </w:rPr>
    </w:pPr>
    <w:r w:rsidRPr="00405371">
      <w:rPr>
        <w:noProof/>
        <w:sz w:val="16"/>
        <w:szCs w:val="16"/>
        <w:lang w:val="de-CH" w:eastAsia="de-CH" w:bidi="ar-SA"/>
      </w:rPr>
      <w:drawing>
        <wp:anchor distT="0" distB="0" distL="114300" distR="114300" simplePos="0" relativeHeight="251658240" behindDoc="1" locked="0" layoutInCell="1" allowOverlap="1" wp14:anchorId="16F461E5" wp14:editId="4C4A554C">
          <wp:simplePos x="0" y="0"/>
          <wp:positionH relativeFrom="column">
            <wp:posOffset>7500620</wp:posOffset>
          </wp:positionH>
          <wp:positionV relativeFrom="paragraph">
            <wp:posOffset>-20955</wp:posOffset>
          </wp:positionV>
          <wp:extent cx="1784350" cy="717550"/>
          <wp:effectExtent l="0" t="0" r="6350" b="6350"/>
          <wp:wrapTight wrapText="bothSides">
            <wp:wrapPolygon edited="0">
              <wp:start x="0" y="0"/>
              <wp:lineTo x="0" y="21218"/>
              <wp:lineTo x="21446" y="21218"/>
              <wp:lineTo x="21446"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Logo_FINMA"/>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84350"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5371">
      <w:rPr>
        <w:b/>
        <w:sz w:val="16"/>
        <w:szCs w:val="16"/>
        <w:highlight w:val="yellow"/>
      </w:rPr>
      <w:t>[Institution XY]</w:t>
    </w:r>
    <w:r w:rsidRPr="00405371">
      <w:rPr>
        <w:sz w:val="16"/>
        <w:szCs w:val="16"/>
      </w:rPr>
      <w:tab/>
      <w:t xml:space="preserve">Reference: </w:t>
    </w:r>
    <w:r w:rsidRPr="00405371">
      <w:rPr>
        <w:sz w:val="16"/>
        <w:szCs w:val="16"/>
        <w:highlight w:val="yellow"/>
      </w:rPr>
      <w:t>[add reference]</w:t>
    </w:r>
  </w:p>
  <w:p w14:paraId="6E264DE0" w14:textId="63104F8F" w:rsidR="005654C3" w:rsidRPr="00405371" w:rsidRDefault="005654C3" w:rsidP="004C7FBD">
    <w:pPr>
      <w:pStyle w:val="En-tte"/>
      <w:tabs>
        <w:tab w:val="clear" w:pos="4536"/>
        <w:tab w:val="clear" w:pos="9072"/>
        <w:tab w:val="left" w:pos="3969"/>
        <w:tab w:val="right" w:pos="14317"/>
      </w:tabs>
      <w:rPr>
        <w:rFonts w:cs="Arial"/>
        <w:b/>
        <w:sz w:val="16"/>
        <w:szCs w:val="16"/>
      </w:rPr>
    </w:pPr>
    <w:r w:rsidRPr="00405371">
      <w:rPr>
        <w:sz w:val="16"/>
        <w:szCs w:val="16"/>
      </w:rPr>
      <w:t xml:space="preserve">Audit period </w:t>
    </w:r>
    <w:r w:rsidRPr="00405371">
      <w:rPr>
        <w:sz w:val="16"/>
        <w:szCs w:val="16"/>
        <w:highlight w:val="yellow"/>
      </w:rPr>
      <w:t>20XX</w:t>
    </w:r>
    <w:r w:rsidRPr="00405371">
      <w:rPr>
        <w:sz w:val="16"/>
        <w:szCs w:val="16"/>
      </w:rPr>
      <w:tab/>
    </w:r>
    <w:r w:rsidRPr="00405371">
      <w:rPr>
        <w:b/>
        <w:sz w:val="16"/>
        <w:szCs w:val="16"/>
      </w:rPr>
      <w:t>Centralised risk control functions</w:t>
    </w:r>
  </w:p>
  <w:p w14:paraId="4E868C9A" w14:textId="77777777" w:rsidR="005654C3" w:rsidRPr="00405371" w:rsidRDefault="005654C3" w:rsidP="009D5487">
    <w:pPr>
      <w:pStyle w:val="En-tte"/>
      <w:tabs>
        <w:tab w:val="clear" w:pos="9072"/>
        <w:tab w:val="right" w:pos="14317"/>
      </w:tabs>
      <w:rPr>
        <w:rFonts w:cs="Arial"/>
        <w:b/>
        <w:sz w:val="16"/>
        <w:szCs w:val="16"/>
      </w:rPr>
    </w:pPr>
  </w:p>
  <w:p w14:paraId="1ACCBE19" w14:textId="77777777" w:rsidR="005654C3" w:rsidRPr="00405371" w:rsidRDefault="005654C3" w:rsidP="009D5487">
    <w:pPr>
      <w:pStyle w:val="En-tte"/>
      <w:tabs>
        <w:tab w:val="clear" w:pos="9072"/>
        <w:tab w:val="right" w:pos="14317"/>
      </w:tabs>
      <w:rPr>
        <w:rFonts w:cs="Arial"/>
        <w:b/>
        <w:sz w:val="16"/>
        <w:szCs w:val="16"/>
      </w:rPr>
    </w:pPr>
  </w:p>
  <w:p w14:paraId="3BA589DE" w14:textId="77777777" w:rsidR="005654C3" w:rsidRPr="00405371" w:rsidRDefault="005654C3" w:rsidP="009D5487">
    <w:pPr>
      <w:pStyle w:val="En-tte"/>
      <w:tabs>
        <w:tab w:val="clear" w:pos="9072"/>
        <w:tab w:val="right" w:pos="14317"/>
      </w:tabs>
      <w:rPr>
        <w:rFonts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80276"/>
    <w:multiLevelType w:val="multilevel"/>
    <w:tmpl w:val="545A961C"/>
    <w:styleLink w:val="ListePP"/>
    <w:lvl w:ilvl="0">
      <w:start w:val="1"/>
      <w:numFmt w:val="upperLetter"/>
      <w:lvlText w:val="%1"/>
      <w:lvlJc w:val="left"/>
      <w:pPr>
        <w:ind w:left="357" w:hanging="357"/>
      </w:pPr>
      <w:rPr>
        <w:rFonts w:hint="default"/>
      </w:rPr>
    </w:lvl>
    <w:lvl w:ilvl="1">
      <w:start w:val="1"/>
      <w:numFmt w:val="decimal"/>
      <w:suff w:val="nothing"/>
      <w:lvlText w:val="%1.%2"/>
      <w:lvlJc w:val="left"/>
      <w:pPr>
        <w:ind w:left="357" w:hanging="357"/>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 w15:restartNumberingAfterBreak="0">
    <w:nsid w:val="203E20BD"/>
    <w:multiLevelType w:val="multilevel"/>
    <w:tmpl w:val="545A961C"/>
    <w:numStyleLink w:val="ListePP"/>
  </w:abstractNum>
  <w:abstractNum w:abstractNumId="2" w15:restartNumberingAfterBreak="0">
    <w:nsid w:val="33A86BBF"/>
    <w:multiLevelType w:val="hybridMultilevel"/>
    <w:tmpl w:val="1D76B6A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5F95171"/>
    <w:multiLevelType w:val="hybridMultilevel"/>
    <w:tmpl w:val="78D62A5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40750EFF"/>
    <w:multiLevelType w:val="hybridMultilevel"/>
    <w:tmpl w:val="E862B470"/>
    <w:lvl w:ilvl="0" w:tplc="08070001">
      <w:start w:val="1"/>
      <w:numFmt w:val="bullet"/>
      <w:lvlText w:val=""/>
      <w:lvlJc w:val="left"/>
      <w:pPr>
        <w:ind w:left="753" w:hanging="360"/>
      </w:pPr>
      <w:rPr>
        <w:rFonts w:ascii="Symbol" w:hAnsi="Symbol" w:hint="default"/>
      </w:rPr>
    </w:lvl>
    <w:lvl w:ilvl="1" w:tplc="08070003" w:tentative="1">
      <w:start w:val="1"/>
      <w:numFmt w:val="bullet"/>
      <w:lvlText w:val="o"/>
      <w:lvlJc w:val="left"/>
      <w:pPr>
        <w:ind w:left="1473" w:hanging="360"/>
      </w:pPr>
      <w:rPr>
        <w:rFonts w:ascii="Courier New" w:hAnsi="Courier New" w:cs="Courier New" w:hint="default"/>
      </w:rPr>
    </w:lvl>
    <w:lvl w:ilvl="2" w:tplc="08070005" w:tentative="1">
      <w:start w:val="1"/>
      <w:numFmt w:val="bullet"/>
      <w:lvlText w:val=""/>
      <w:lvlJc w:val="left"/>
      <w:pPr>
        <w:ind w:left="2193" w:hanging="360"/>
      </w:pPr>
      <w:rPr>
        <w:rFonts w:ascii="Wingdings" w:hAnsi="Wingdings" w:hint="default"/>
      </w:rPr>
    </w:lvl>
    <w:lvl w:ilvl="3" w:tplc="08070001" w:tentative="1">
      <w:start w:val="1"/>
      <w:numFmt w:val="bullet"/>
      <w:lvlText w:val=""/>
      <w:lvlJc w:val="left"/>
      <w:pPr>
        <w:ind w:left="2913" w:hanging="360"/>
      </w:pPr>
      <w:rPr>
        <w:rFonts w:ascii="Symbol" w:hAnsi="Symbol" w:hint="default"/>
      </w:rPr>
    </w:lvl>
    <w:lvl w:ilvl="4" w:tplc="08070003" w:tentative="1">
      <w:start w:val="1"/>
      <w:numFmt w:val="bullet"/>
      <w:lvlText w:val="o"/>
      <w:lvlJc w:val="left"/>
      <w:pPr>
        <w:ind w:left="3633" w:hanging="360"/>
      </w:pPr>
      <w:rPr>
        <w:rFonts w:ascii="Courier New" w:hAnsi="Courier New" w:cs="Courier New" w:hint="default"/>
      </w:rPr>
    </w:lvl>
    <w:lvl w:ilvl="5" w:tplc="08070005" w:tentative="1">
      <w:start w:val="1"/>
      <w:numFmt w:val="bullet"/>
      <w:lvlText w:val=""/>
      <w:lvlJc w:val="left"/>
      <w:pPr>
        <w:ind w:left="4353" w:hanging="360"/>
      </w:pPr>
      <w:rPr>
        <w:rFonts w:ascii="Wingdings" w:hAnsi="Wingdings" w:hint="default"/>
      </w:rPr>
    </w:lvl>
    <w:lvl w:ilvl="6" w:tplc="08070001" w:tentative="1">
      <w:start w:val="1"/>
      <w:numFmt w:val="bullet"/>
      <w:lvlText w:val=""/>
      <w:lvlJc w:val="left"/>
      <w:pPr>
        <w:ind w:left="5073" w:hanging="360"/>
      </w:pPr>
      <w:rPr>
        <w:rFonts w:ascii="Symbol" w:hAnsi="Symbol" w:hint="default"/>
      </w:rPr>
    </w:lvl>
    <w:lvl w:ilvl="7" w:tplc="08070003" w:tentative="1">
      <w:start w:val="1"/>
      <w:numFmt w:val="bullet"/>
      <w:lvlText w:val="o"/>
      <w:lvlJc w:val="left"/>
      <w:pPr>
        <w:ind w:left="5793" w:hanging="360"/>
      </w:pPr>
      <w:rPr>
        <w:rFonts w:ascii="Courier New" w:hAnsi="Courier New" w:cs="Courier New" w:hint="default"/>
      </w:rPr>
    </w:lvl>
    <w:lvl w:ilvl="8" w:tplc="08070005" w:tentative="1">
      <w:start w:val="1"/>
      <w:numFmt w:val="bullet"/>
      <w:lvlText w:val=""/>
      <w:lvlJc w:val="left"/>
      <w:pPr>
        <w:ind w:left="6513" w:hanging="360"/>
      </w:pPr>
      <w:rPr>
        <w:rFonts w:ascii="Wingdings" w:hAnsi="Wingdings" w:hint="default"/>
      </w:rPr>
    </w:lvl>
  </w:abstractNum>
  <w:abstractNum w:abstractNumId="5" w15:restartNumberingAfterBreak="0">
    <w:nsid w:val="48727F15"/>
    <w:multiLevelType w:val="hybridMultilevel"/>
    <w:tmpl w:val="5E60E3B8"/>
    <w:lvl w:ilvl="0" w:tplc="0700CF3A">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5D875C5"/>
    <w:multiLevelType w:val="hybridMultilevel"/>
    <w:tmpl w:val="627CA638"/>
    <w:lvl w:ilvl="0" w:tplc="A6F2005E">
      <w:numFmt w:val="bullet"/>
      <w:lvlText w:val=""/>
      <w:lvlJc w:val="left"/>
      <w:pPr>
        <w:ind w:left="393" w:hanging="360"/>
      </w:pPr>
      <w:rPr>
        <w:rFonts w:ascii="Symbol" w:eastAsiaTheme="minorHAnsi" w:hAnsi="Symbol" w:cs="Arial" w:hint="default"/>
      </w:rPr>
    </w:lvl>
    <w:lvl w:ilvl="1" w:tplc="08070003" w:tentative="1">
      <w:start w:val="1"/>
      <w:numFmt w:val="bullet"/>
      <w:lvlText w:val="o"/>
      <w:lvlJc w:val="left"/>
      <w:pPr>
        <w:ind w:left="1113" w:hanging="360"/>
      </w:pPr>
      <w:rPr>
        <w:rFonts w:ascii="Courier New" w:hAnsi="Courier New" w:cs="Courier New" w:hint="default"/>
      </w:rPr>
    </w:lvl>
    <w:lvl w:ilvl="2" w:tplc="08070005" w:tentative="1">
      <w:start w:val="1"/>
      <w:numFmt w:val="bullet"/>
      <w:lvlText w:val=""/>
      <w:lvlJc w:val="left"/>
      <w:pPr>
        <w:ind w:left="1833" w:hanging="360"/>
      </w:pPr>
      <w:rPr>
        <w:rFonts w:ascii="Wingdings" w:hAnsi="Wingdings" w:hint="default"/>
      </w:rPr>
    </w:lvl>
    <w:lvl w:ilvl="3" w:tplc="08070001" w:tentative="1">
      <w:start w:val="1"/>
      <w:numFmt w:val="bullet"/>
      <w:lvlText w:val=""/>
      <w:lvlJc w:val="left"/>
      <w:pPr>
        <w:ind w:left="2553" w:hanging="360"/>
      </w:pPr>
      <w:rPr>
        <w:rFonts w:ascii="Symbol" w:hAnsi="Symbol" w:hint="default"/>
      </w:rPr>
    </w:lvl>
    <w:lvl w:ilvl="4" w:tplc="08070003" w:tentative="1">
      <w:start w:val="1"/>
      <w:numFmt w:val="bullet"/>
      <w:lvlText w:val="o"/>
      <w:lvlJc w:val="left"/>
      <w:pPr>
        <w:ind w:left="3273" w:hanging="360"/>
      </w:pPr>
      <w:rPr>
        <w:rFonts w:ascii="Courier New" w:hAnsi="Courier New" w:cs="Courier New" w:hint="default"/>
      </w:rPr>
    </w:lvl>
    <w:lvl w:ilvl="5" w:tplc="08070005" w:tentative="1">
      <w:start w:val="1"/>
      <w:numFmt w:val="bullet"/>
      <w:lvlText w:val=""/>
      <w:lvlJc w:val="left"/>
      <w:pPr>
        <w:ind w:left="3993" w:hanging="360"/>
      </w:pPr>
      <w:rPr>
        <w:rFonts w:ascii="Wingdings" w:hAnsi="Wingdings" w:hint="default"/>
      </w:rPr>
    </w:lvl>
    <w:lvl w:ilvl="6" w:tplc="08070001" w:tentative="1">
      <w:start w:val="1"/>
      <w:numFmt w:val="bullet"/>
      <w:lvlText w:val=""/>
      <w:lvlJc w:val="left"/>
      <w:pPr>
        <w:ind w:left="4713" w:hanging="360"/>
      </w:pPr>
      <w:rPr>
        <w:rFonts w:ascii="Symbol" w:hAnsi="Symbol" w:hint="default"/>
      </w:rPr>
    </w:lvl>
    <w:lvl w:ilvl="7" w:tplc="08070003" w:tentative="1">
      <w:start w:val="1"/>
      <w:numFmt w:val="bullet"/>
      <w:lvlText w:val="o"/>
      <w:lvlJc w:val="left"/>
      <w:pPr>
        <w:ind w:left="5433" w:hanging="360"/>
      </w:pPr>
      <w:rPr>
        <w:rFonts w:ascii="Courier New" w:hAnsi="Courier New" w:cs="Courier New" w:hint="default"/>
      </w:rPr>
    </w:lvl>
    <w:lvl w:ilvl="8" w:tplc="08070005" w:tentative="1">
      <w:start w:val="1"/>
      <w:numFmt w:val="bullet"/>
      <w:lvlText w:val=""/>
      <w:lvlJc w:val="left"/>
      <w:pPr>
        <w:ind w:left="6153" w:hanging="360"/>
      </w:pPr>
      <w:rPr>
        <w:rFonts w:ascii="Wingdings" w:hAnsi="Wingdings" w:hint="default"/>
      </w:rPr>
    </w:lvl>
  </w:abstractNum>
  <w:abstractNum w:abstractNumId="7" w15:restartNumberingAfterBreak="0">
    <w:nsid w:val="5B34218B"/>
    <w:multiLevelType w:val="hybridMultilevel"/>
    <w:tmpl w:val="08284DB2"/>
    <w:lvl w:ilvl="0" w:tplc="08070001">
      <w:start w:val="1"/>
      <w:numFmt w:val="bullet"/>
      <w:lvlText w:val=""/>
      <w:lvlJc w:val="left"/>
      <w:pPr>
        <w:ind w:left="753" w:hanging="360"/>
      </w:pPr>
      <w:rPr>
        <w:rFonts w:ascii="Symbol" w:hAnsi="Symbol" w:hint="default"/>
      </w:rPr>
    </w:lvl>
    <w:lvl w:ilvl="1" w:tplc="08070003" w:tentative="1">
      <w:start w:val="1"/>
      <w:numFmt w:val="bullet"/>
      <w:lvlText w:val="o"/>
      <w:lvlJc w:val="left"/>
      <w:pPr>
        <w:ind w:left="1473" w:hanging="360"/>
      </w:pPr>
      <w:rPr>
        <w:rFonts w:ascii="Courier New" w:hAnsi="Courier New" w:cs="Courier New" w:hint="default"/>
      </w:rPr>
    </w:lvl>
    <w:lvl w:ilvl="2" w:tplc="08070005" w:tentative="1">
      <w:start w:val="1"/>
      <w:numFmt w:val="bullet"/>
      <w:lvlText w:val=""/>
      <w:lvlJc w:val="left"/>
      <w:pPr>
        <w:ind w:left="2193" w:hanging="360"/>
      </w:pPr>
      <w:rPr>
        <w:rFonts w:ascii="Wingdings" w:hAnsi="Wingdings" w:hint="default"/>
      </w:rPr>
    </w:lvl>
    <w:lvl w:ilvl="3" w:tplc="08070001" w:tentative="1">
      <w:start w:val="1"/>
      <w:numFmt w:val="bullet"/>
      <w:lvlText w:val=""/>
      <w:lvlJc w:val="left"/>
      <w:pPr>
        <w:ind w:left="2913" w:hanging="360"/>
      </w:pPr>
      <w:rPr>
        <w:rFonts w:ascii="Symbol" w:hAnsi="Symbol" w:hint="default"/>
      </w:rPr>
    </w:lvl>
    <w:lvl w:ilvl="4" w:tplc="08070003" w:tentative="1">
      <w:start w:val="1"/>
      <w:numFmt w:val="bullet"/>
      <w:lvlText w:val="o"/>
      <w:lvlJc w:val="left"/>
      <w:pPr>
        <w:ind w:left="3633" w:hanging="360"/>
      </w:pPr>
      <w:rPr>
        <w:rFonts w:ascii="Courier New" w:hAnsi="Courier New" w:cs="Courier New" w:hint="default"/>
      </w:rPr>
    </w:lvl>
    <w:lvl w:ilvl="5" w:tplc="08070005" w:tentative="1">
      <w:start w:val="1"/>
      <w:numFmt w:val="bullet"/>
      <w:lvlText w:val=""/>
      <w:lvlJc w:val="left"/>
      <w:pPr>
        <w:ind w:left="4353" w:hanging="360"/>
      </w:pPr>
      <w:rPr>
        <w:rFonts w:ascii="Wingdings" w:hAnsi="Wingdings" w:hint="default"/>
      </w:rPr>
    </w:lvl>
    <w:lvl w:ilvl="6" w:tplc="08070001" w:tentative="1">
      <w:start w:val="1"/>
      <w:numFmt w:val="bullet"/>
      <w:lvlText w:val=""/>
      <w:lvlJc w:val="left"/>
      <w:pPr>
        <w:ind w:left="5073" w:hanging="360"/>
      </w:pPr>
      <w:rPr>
        <w:rFonts w:ascii="Symbol" w:hAnsi="Symbol" w:hint="default"/>
      </w:rPr>
    </w:lvl>
    <w:lvl w:ilvl="7" w:tplc="08070003" w:tentative="1">
      <w:start w:val="1"/>
      <w:numFmt w:val="bullet"/>
      <w:lvlText w:val="o"/>
      <w:lvlJc w:val="left"/>
      <w:pPr>
        <w:ind w:left="5793" w:hanging="360"/>
      </w:pPr>
      <w:rPr>
        <w:rFonts w:ascii="Courier New" w:hAnsi="Courier New" w:cs="Courier New" w:hint="default"/>
      </w:rPr>
    </w:lvl>
    <w:lvl w:ilvl="8" w:tplc="08070005" w:tentative="1">
      <w:start w:val="1"/>
      <w:numFmt w:val="bullet"/>
      <w:lvlText w:val=""/>
      <w:lvlJc w:val="left"/>
      <w:pPr>
        <w:ind w:left="6513" w:hanging="360"/>
      </w:pPr>
      <w:rPr>
        <w:rFonts w:ascii="Wingdings" w:hAnsi="Wingdings" w:hint="default"/>
      </w:rPr>
    </w:lvl>
  </w:abstractNum>
  <w:abstractNum w:abstractNumId="8" w15:restartNumberingAfterBreak="0">
    <w:nsid w:val="5D5C5130"/>
    <w:multiLevelType w:val="hybridMultilevel"/>
    <w:tmpl w:val="5AFE4992"/>
    <w:lvl w:ilvl="0" w:tplc="245E82AA">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4943C0A"/>
    <w:multiLevelType w:val="hybridMultilevel"/>
    <w:tmpl w:val="1092EC7C"/>
    <w:lvl w:ilvl="0" w:tplc="1B5E319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05C3FCB"/>
    <w:multiLevelType w:val="hybridMultilevel"/>
    <w:tmpl w:val="6C661F1A"/>
    <w:lvl w:ilvl="0" w:tplc="8ABE2DFE">
      <w:numFmt w:val="bullet"/>
      <w:pStyle w:val="Bullet"/>
      <w:lvlText w:val="-"/>
      <w:lvlJc w:val="left"/>
      <w:pPr>
        <w:ind w:left="720" w:hanging="360"/>
      </w:pPr>
      <w:rPr>
        <w:rFonts w:ascii="EYInterstate Light" w:eastAsiaTheme="minorHAnsi" w:hAnsi="EYInterstate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654260532">
    <w:abstractNumId w:val="0"/>
  </w:num>
  <w:num w:numId="2" w16cid:durableId="671760188">
    <w:abstractNumId w:val="1"/>
    <w:lvlOverride w:ilvl="0">
      <w:lvl w:ilvl="0">
        <w:start w:val="1"/>
        <w:numFmt w:val="upperLetter"/>
        <w:lvlText w:val="%1"/>
        <w:lvlJc w:val="left"/>
        <w:pPr>
          <w:ind w:left="357" w:hanging="357"/>
        </w:pPr>
        <w:rPr>
          <w:rFonts w:hint="default"/>
        </w:rPr>
      </w:lvl>
    </w:lvlOverride>
    <w:lvlOverride w:ilvl="1">
      <w:lvl w:ilvl="1">
        <w:start w:val="1"/>
        <w:numFmt w:val="decimal"/>
        <w:suff w:val="nothing"/>
        <w:lvlText w:val="%1.%2"/>
        <w:lvlJc w:val="left"/>
        <w:pPr>
          <w:ind w:left="357" w:hanging="357"/>
        </w:pPr>
        <w:rPr>
          <w:rFonts w:ascii="EYInterstate" w:hAnsi="EYInterstate"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2">
      <w:lvl w:ilvl="2">
        <w:start w:val="1"/>
        <w:numFmt w:val="decimal"/>
        <w:pStyle w:val="Titre3"/>
        <w:lvlText w:val="%1.%2.%3"/>
        <w:lvlJc w:val="left"/>
        <w:pPr>
          <w:ind w:left="357" w:hanging="357"/>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3" w16cid:durableId="90860073">
    <w:abstractNumId w:val="10"/>
  </w:num>
  <w:num w:numId="4" w16cid:durableId="779421588">
    <w:abstractNumId w:val="8"/>
  </w:num>
  <w:num w:numId="5" w16cid:durableId="238558110">
    <w:abstractNumId w:val="5"/>
  </w:num>
  <w:num w:numId="6" w16cid:durableId="1369061260">
    <w:abstractNumId w:val="10"/>
  </w:num>
  <w:num w:numId="7" w16cid:durableId="124589829">
    <w:abstractNumId w:val="10"/>
  </w:num>
  <w:num w:numId="8" w16cid:durableId="767576901">
    <w:abstractNumId w:val="10"/>
  </w:num>
  <w:num w:numId="9" w16cid:durableId="1912039369">
    <w:abstractNumId w:val="10"/>
  </w:num>
  <w:num w:numId="10" w16cid:durableId="1371296295">
    <w:abstractNumId w:val="10"/>
  </w:num>
  <w:num w:numId="11" w16cid:durableId="637106280">
    <w:abstractNumId w:val="10"/>
  </w:num>
  <w:num w:numId="12" w16cid:durableId="781533617">
    <w:abstractNumId w:val="10"/>
  </w:num>
  <w:num w:numId="13" w16cid:durableId="1120731423">
    <w:abstractNumId w:val="10"/>
  </w:num>
  <w:num w:numId="14" w16cid:durableId="843742030">
    <w:abstractNumId w:val="10"/>
  </w:num>
  <w:num w:numId="15" w16cid:durableId="57243847">
    <w:abstractNumId w:val="10"/>
  </w:num>
  <w:num w:numId="16" w16cid:durableId="1959726388">
    <w:abstractNumId w:val="10"/>
  </w:num>
  <w:num w:numId="17" w16cid:durableId="1001616633">
    <w:abstractNumId w:val="10"/>
  </w:num>
  <w:num w:numId="18" w16cid:durableId="1479112468">
    <w:abstractNumId w:val="10"/>
  </w:num>
  <w:num w:numId="19" w16cid:durableId="1067220703">
    <w:abstractNumId w:val="10"/>
  </w:num>
  <w:num w:numId="20" w16cid:durableId="1133674421">
    <w:abstractNumId w:val="10"/>
  </w:num>
  <w:num w:numId="21" w16cid:durableId="1223172223">
    <w:abstractNumId w:val="10"/>
  </w:num>
  <w:num w:numId="22" w16cid:durableId="133522177">
    <w:abstractNumId w:val="9"/>
  </w:num>
  <w:num w:numId="23" w16cid:durableId="1033312462">
    <w:abstractNumId w:val="10"/>
  </w:num>
  <w:num w:numId="24" w16cid:durableId="1201169884">
    <w:abstractNumId w:val="7"/>
  </w:num>
  <w:num w:numId="25" w16cid:durableId="992486334">
    <w:abstractNumId w:val="4"/>
  </w:num>
  <w:num w:numId="26" w16cid:durableId="798648235">
    <w:abstractNumId w:val="10"/>
  </w:num>
  <w:num w:numId="27" w16cid:durableId="1727991593">
    <w:abstractNumId w:val="3"/>
  </w:num>
  <w:num w:numId="28" w16cid:durableId="1830293001">
    <w:abstractNumId w:val="2"/>
  </w:num>
  <w:num w:numId="29" w16cid:durableId="1431467097">
    <w:abstractNumId w:val="6"/>
  </w:num>
  <w:num w:numId="30" w16cid:durableId="58827674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hideSpellingErrors/>
  <w:hideGrammaticalErrors/>
  <w:proofState w:spelling="clean" w:grammar="clean"/>
  <w:defaultTabStop w:val="708"/>
  <w:autoHyphenation/>
  <w:hyphenationZone w:val="567"/>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6F"/>
    <w:rsid w:val="000038B7"/>
    <w:rsid w:val="00003DEA"/>
    <w:rsid w:val="00004411"/>
    <w:rsid w:val="000067CF"/>
    <w:rsid w:val="00006BC9"/>
    <w:rsid w:val="00007639"/>
    <w:rsid w:val="00012AEB"/>
    <w:rsid w:val="00012CCD"/>
    <w:rsid w:val="00013CC5"/>
    <w:rsid w:val="00014CAD"/>
    <w:rsid w:val="0001506A"/>
    <w:rsid w:val="00016202"/>
    <w:rsid w:val="00016B0E"/>
    <w:rsid w:val="00016C72"/>
    <w:rsid w:val="00017547"/>
    <w:rsid w:val="00020474"/>
    <w:rsid w:val="000209A9"/>
    <w:rsid w:val="0002133D"/>
    <w:rsid w:val="00022135"/>
    <w:rsid w:val="00022671"/>
    <w:rsid w:val="0002429A"/>
    <w:rsid w:val="00024350"/>
    <w:rsid w:val="000250CF"/>
    <w:rsid w:val="0002624A"/>
    <w:rsid w:val="00030F77"/>
    <w:rsid w:val="0003546F"/>
    <w:rsid w:val="000363B1"/>
    <w:rsid w:val="000366CA"/>
    <w:rsid w:val="00036D65"/>
    <w:rsid w:val="00041BB7"/>
    <w:rsid w:val="000424C9"/>
    <w:rsid w:val="0004253A"/>
    <w:rsid w:val="00046856"/>
    <w:rsid w:val="00047096"/>
    <w:rsid w:val="00047792"/>
    <w:rsid w:val="00047C8C"/>
    <w:rsid w:val="00051655"/>
    <w:rsid w:val="000608A8"/>
    <w:rsid w:val="00061BA4"/>
    <w:rsid w:val="000624A4"/>
    <w:rsid w:val="000634CA"/>
    <w:rsid w:val="000645F5"/>
    <w:rsid w:val="00064FCD"/>
    <w:rsid w:val="000652CA"/>
    <w:rsid w:val="00065D05"/>
    <w:rsid w:val="000661B3"/>
    <w:rsid w:val="000735D6"/>
    <w:rsid w:val="000748EA"/>
    <w:rsid w:val="00082C26"/>
    <w:rsid w:val="00082D9B"/>
    <w:rsid w:val="00083C1C"/>
    <w:rsid w:val="00083FB0"/>
    <w:rsid w:val="000843F8"/>
    <w:rsid w:val="00085B58"/>
    <w:rsid w:val="00086E2B"/>
    <w:rsid w:val="00090ADF"/>
    <w:rsid w:val="00090FAF"/>
    <w:rsid w:val="000926CB"/>
    <w:rsid w:val="00093407"/>
    <w:rsid w:val="00094C73"/>
    <w:rsid w:val="00095183"/>
    <w:rsid w:val="00095592"/>
    <w:rsid w:val="000A0B0F"/>
    <w:rsid w:val="000A1BD5"/>
    <w:rsid w:val="000A3CD3"/>
    <w:rsid w:val="000A42AC"/>
    <w:rsid w:val="000A581D"/>
    <w:rsid w:val="000A5CBC"/>
    <w:rsid w:val="000A673C"/>
    <w:rsid w:val="000A6E44"/>
    <w:rsid w:val="000B0AEC"/>
    <w:rsid w:val="000B3D37"/>
    <w:rsid w:val="000B5506"/>
    <w:rsid w:val="000B5B37"/>
    <w:rsid w:val="000B6A11"/>
    <w:rsid w:val="000B7C09"/>
    <w:rsid w:val="000C0BDE"/>
    <w:rsid w:val="000C3E39"/>
    <w:rsid w:val="000C7424"/>
    <w:rsid w:val="000C7D90"/>
    <w:rsid w:val="000D13B1"/>
    <w:rsid w:val="000D398C"/>
    <w:rsid w:val="000D6161"/>
    <w:rsid w:val="000E043C"/>
    <w:rsid w:val="000E110F"/>
    <w:rsid w:val="000E1C2F"/>
    <w:rsid w:val="000E3618"/>
    <w:rsid w:val="000E37FC"/>
    <w:rsid w:val="000E50B3"/>
    <w:rsid w:val="000E590A"/>
    <w:rsid w:val="000E677E"/>
    <w:rsid w:val="000F42F4"/>
    <w:rsid w:val="000F4671"/>
    <w:rsid w:val="00100F5B"/>
    <w:rsid w:val="00106961"/>
    <w:rsid w:val="00107E58"/>
    <w:rsid w:val="0011059F"/>
    <w:rsid w:val="001112D4"/>
    <w:rsid w:val="00111449"/>
    <w:rsid w:val="00111BD5"/>
    <w:rsid w:val="001125B1"/>
    <w:rsid w:val="00117A16"/>
    <w:rsid w:val="00117BCC"/>
    <w:rsid w:val="0012026E"/>
    <w:rsid w:val="00121478"/>
    <w:rsid w:val="00121E7A"/>
    <w:rsid w:val="00123E39"/>
    <w:rsid w:val="00124C11"/>
    <w:rsid w:val="00127B56"/>
    <w:rsid w:val="00127C13"/>
    <w:rsid w:val="00130B30"/>
    <w:rsid w:val="00131D47"/>
    <w:rsid w:val="0014034B"/>
    <w:rsid w:val="00142C84"/>
    <w:rsid w:val="00142EE1"/>
    <w:rsid w:val="0014398E"/>
    <w:rsid w:val="0014602F"/>
    <w:rsid w:val="00146B9B"/>
    <w:rsid w:val="00146BD6"/>
    <w:rsid w:val="0014750E"/>
    <w:rsid w:val="00150373"/>
    <w:rsid w:val="001524A9"/>
    <w:rsid w:val="0015290D"/>
    <w:rsid w:val="00153358"/>
    <w:rsid w:val="00155567"/>
    <w:rsid w:val="001610BF"/>
    <w:rsid w:val="00167455"/>
    <w:rsid w:val="0016794B"/>
    <w:rsid w:val="0017032A"/>
    <w:rsid w:val="001737DA"/>
    <w:rsid w:val="00173ED3"/>
    <w:rsid w:val="0017531B"/>
    <w:rsid w:val="00175CF3"/>
    <w:rsid w:val="00182272"/>
    <w:rsid w:val="00183846"/>
    <w:rsid w:val="00185722"/>
    <w:rsid w:val="00185758"/>
    <w:rsid w:val="00187002"/>
    <w:rsid w:val="00191D14"/>
    <w:rsid w:val="0019241A"/>
    <w:rsid w:val="0019390F"/>
    <w:rsid w:val="00194422"/>
    <w:rsid w:val="001950B1"/>
    <w:rsid w:val="001954E8"/>
    <w:rsid w:val="00196009"/>
    <w:rsid w:val="0019797A"/>
    <w:rsid w:val="001A105A"/>
    <w:rsid w:val="001A1AC0"/>
    <w:rsid w:val="001A1B32"/>
    <w:rsid w:val="001A39AF"/>
    <w:rsid w:val="001A45CA"/>
    <w:rsid w:val="001B0E19"/>
    <w:rsid w:val="001B22B3"/>
    <w:rsid w:val="001B2788"/>
    <w:rsid w:val="001B3543"/>
    <w:rsid w:val="001B3A1A"/>
    <w:rsid w:val="001B416F"/>
    <w:rsid w:val="001B4BC1"/>
    <w:rsid w:val="001B763E"/>
    <w:rsid w:val="001C001D"/>
    <w:rsid w:val="001C1216"/>
    <w:rsid w:val="001C22FE"/>
    <w:rsid w:val="001C4063"/>
    <w:rsid w:val="001C7344"/>
    <w:rsid w:val="001C7C95"/>
    <w:rsid w:val="001D0059"/>
    <w:rsid w:val="001D023A"/>
    <w:rsid w:val="001D3F89"/>
    <w:rsid w:val="001D49C0"/>
    <w:rsid w:val="001E0C10"/>
    <w:rsid w:val="001E2A56"/>
    <w:rsid w:val="001E54A7"/>
    <w:rsid w:val="001E6CC8"/>
    <w:rsid w:val="001F20A1"/>
    <w:rsid w:val="001F264B"/>
    <w:rsid w:val="001F65D0"/>
    <w:rsid w:val="001F77B1"/>
    <w:rsid w:val="001F782E"/>
    <w:rsid w:val="0020088F"/>
    <w:rsid w:val="00201E2E"/>
    <w:rsid w:val="00206467"/>
    <w:rsid w:val="00207C18"/>
    <w:rsid w:val="002104F2"/>
    <w:rsid w:val="0021155E"/>
    <w:rsid w:val="00211A49"/>
    <w:rsid w:val="00211D49"/>
    <w:rsid w:val="00211D75"/>
    <w:rsid w:val="0021403B"/>
    <w:rsid w:val="0021406D"/>
    <w:rsid w:val="002157DE"/>
    <w:rsid w:val="00216358"/>
    <w:rsid w:val="00220745"/>
    <w:rsid w:val="0022183B"/>
    <w:rsid w:val="002219EF"/>
    <w:rsid w:val="0022227C"/>
    <w:rsid w:val="00224379"/>
    <w:rsid w:val="0022521D"/>
    <w:rsid w:val="0022774D"/>
    <w:rsid w:val="002311A4"/>
    <w:rsid w:val="0023405D"/>
    <w:rsid w:val="00234352"/>
    <w:rsid w:val="00234CCB"/>
    <w:rsid w:val="00235C97"/>
    <w:rsid w:val="00240C18"/>
    <w:rsid w:val="0024269F"/>
    <w:rsid w:val="0024768A"/>
    <w:rsid w:val="00251456"/>
    <w:rsid w:val="0025192F"/>
    <w:rsid w:val="00253AE1"/>
    <w:rsid w:val="00253DDB"/>
    <w:rsid w:val="002553A1"/>
    <w:rsid w:val="0025569C"/>
    <w:rsid w:val="002562F2"/>
    <w:rsid w:val="00261820"/>
    <w:rsid w:val="0026656E"/>
    <w:rsid w:val="00266F48"/>
    <w:rsid w:val="00267097"/>
    <w:rsid w:val="002729E7"/>
    <w:rsid w:val="002743FF"/>
    <w:rsid w:val="0027643F"/>
    <w:rsid w:val="00282365"/>
    <w:rsid w:val="00283147"/>
    <w:rsid w:val="00283B74"/>
    <w:rsid w:val="00284351"/>
    <w:rsid w:val="00284880"/>
    <w:rsid w:val="002952FE"/>
    <w:rsid w:val="00296423"/>
    <w:rsid w:val="002A0AFC"/>
    <w:rsid w:val="002A2544"/>
    <w:rsid w:val="002A3D86"/>
    <w:rsid w:val="002A507D"/>
    <w:rsid w:val="002A579C"/>
    <w:rsid w:val="002B0057"/>
    <w:rsid w:val="002B101C"/>
    <w:rsid w:val="002B19F9"/>
    <w:rsid w:val="002B3029"/>
    <w:rsid w:val="002B3A01"/>
    <w:rsid w:val="002B4AE7"/>
    <w:rsid w:val="002B4EB8"/>
    <w:rsid w:val="002B5717"/>
    <w:rsid w:val="002B79CF"/>
    <w:rsid w:val="002C2523"/>
    <w:rsid w:val="002C3A35"/>
    <w:rsid w:val="002C62D2"/>
    <w:rsid w:val="002D08A4"/>
    <w:rsid w:val="002D15A6"/>
    <w:rsid w:val="002D1C55"/>
    <w:rsid w:val="002D2A40"/>
    <w:rsid w:val="002D3883"/>
    <w:rsid w:val="002D4C85"/>
    <w:rsid w:val="002D56A5"/>
    <w:rsid w:val="002D5DB0"/>
    <w:rsid w:val="002D6DCC"/>
    <w:rsid w:val="002D6F47"/>
    <w:rsid w:val="002E033C"/>
    <w:rsid w:val="002E545F"/>
    <w:rsid w:val="002F0FC8"/>
    <w:rsid w:val="002F1359"/>
    <w:rsid w:val="002F2931"/>
    <w:rsid w:val="002F2C0F"/>
    <w:rsid w:val="002F30E1"/>
    <w:rsid w:val="002F387D"/>
    <w:rsid w:val="002F7710"/>
    <w:rsid w:val="002F7E16"/>
    <w:rsid w:val="00301420"/>
    <w:rsid w:val="0030165B"/>
    <w:rsid w:val="00304472"/>
    <w:rsid w:val="003072C1"/>
    <w:rsid w:val="00307C7B"/>
    <w:rsid w:val="00307DC6"/>
    <w:rsid w:val="003105B9"/>
    <w:rsid w:val="00310C41"/>
    <w:rsid w:val="00311C64"/>
    <w:rsid w:val="00312D1B"/>
    <w:rsid w:val="003130A1"/>
    <w:rsid w:val="00313E95"/>
    <w:rsid w:val="00314A15"/>
    <w:rsid w:val="0031534E"/>
    <w:rsid w:val="00315D63"/>
    <w:rsid w:val="003164E2"/>
    <w:rsid w:val="00317848"/>
    <w:rsid w:val="003179A2"/>
    <w:rsid w:val="0032007C"/>
    <w:rsid w:val="00320CAD"/>
    <w:rsid w:val="00321746"/>
    <w:rsid w:val="00321885"/>
    <w:rsid w:val="00321FD5"/>
    <w:rsid w:val="00322EDE"/>
    <w:rsid w:val="00326F5E"/>
    <w:rsid w:val="00327735"/>
    <w:rsid w:val="003324D9"/>
    <w:rsid w:val="003334B7"/>
    <w:rsid w:val="00333897"/>
    <w:rsid w:val="00333E26"/>
    <w:rsid w:val="00334C1F"/>
    <w:rsid w:val="003351BB"/>
    <w:rsid w:val="003353FA"/>
    <w:rsid w:val="0033615A"/>
    <w:rsid w:val="003367A0"/>
    <w:rsid w:val="0033737E"/>
    <w:rsid w:val="00341BA1"/>
    <w:rsid w:val="00350BD1"/>
    <w:rsid w:val="0035176B"/>
    <w:rsid w:val="003519F3"/>
    <w:rsid w:val="00351BE1"/>
    <w:rsid w:val="00351EB2"/>
    <w:rsid w:val="00352645"/>
    <w:rsid w:val="00352874"/>
    <w:rsid w:val="003540BD"/>
    <w:rsid w:val="0035426B"/>
    <w:rsid w:val="00354FAD"/>
    <w:rsid w:val="00357213"/>
    <w:rsid w:val="003579C8"/>
    <w:rsid w:val="003613F7"/>
    <w:rsid w:val="003634E4"/>
    <w:rsid w:val="00364401"/>
    <w:rsid w:val="00366D3A"/>
    <w:rsid w:val="00367CC7"/>
    <w:rsid w:val="00370776"/>
    <w:rsid w:val="0037077C"/>
    <w:rsid w:val="00371281"/>
    <w:rsid w:val="003717DC"/>
    <w:rsid w:val="0037289F"/>
    <w:rsid w:val="00380C03"/>
    <w:rsid w:val="0038190E"/>
    <w:rsid w:val="00381F14"/>
    <w:rsid w:val="003827C3"/>
    <w:rsid w:val="00385857"/>
    <w:rsid w:val="0038669F"/>
    <w:rsid w:val="00386A98"/>
    <w:rsid w:val="0038735B"/>
    <w:rsid w:val="00390304"/>
    <w:rsid w:val="00392256"/>
    <w:rsid w:val="00392C86"/>
    <w:rsid w:val="003938CC"/>
    <w:rsid w:val="00394636"/>
    <w:rsid w:val="00394988"/>
    <w:rsid w:val="00395B22"/>
    <w:rsid w:val="003968DD"/>
    <w:rsid w:val="00396930"/>
    <w:rsid w:val="00396CC5"/>
    <w:rsid w:val="00396D67"/>
    <w:rsid w:val="003A1DA5"/>
    <w:rsid w:val="003A5EE2"/>
    <w:rsid w:val="003A63B2"/>
    <w:rsid w:val="003A656C"/>
    <w:rsid w:val="003A74C2"/>
    <w:rsid w:val="003B1109"/>
    <w:rsid w:val="003B3F09"/>
    <w:rsid w:val="003C0030"/>
    <w:rsid w:val="003C0668"/>
    <w:rsid w:val="003C3094"/>
    <w:rsid w:val="003C3BBB"/>
    <w:rsid w:val="003C4F8E"/>
    <w:rsid w:val="003C5B48"/>
    <w:rsid w:val="003C6F80"/>
    <w:rsid w:val="003C79BE"/>
    <w:rsid w:val="003D072E"/>
    <w:rsid w:val="003D1621"/>
    <w:rsid w:val="003D1FBC"/>
    <w:rsid w:val="003D2AC8"/>
    <w:rsid w:val="003D2D4A"/>
    <w:rsid w:val="003D42C9"/>
    <w:rsid w:val="003D7B4F"/>
    <w:rsid w:val="003E0B77"/>
    <w:rsid w:val="003E1DA2"/>
    <w:rsid w:val="003E2A5B"/>
    <w:rsid w:val="003E6FC9"/>
    <w:rsid w:val="003F1BA6"/>
    <w:rsid w:val="003F1EE5"/>
    <w:rsid w:val="003F2543"/>
    <w:rsid w:val="003F2AEA"/>
    <w:rsid w:val="003F2BCB"/>
    <w:rsid w:val="003F4F30"/>
    <w:rsid w:val="003F50D1"/>
    <w:rsid w:val="003F55D5"/>
    <w:rsid w:val="003F6868"/>
    <w:rsid w:val="003F6D4F"/>
    <w:rsid w:val="003F6ECC"/>
    <w:rsid w:val="003F70F8"/>
    <w:rsid w:val="003F7AD9"/>
    <w:rsid w:val="0040004E"/>
    <w:rsid w:val="004025B9"/>
    <w:rsid w:val="0040313A"/>
    <w:rsid w:val="00403829"/>
    <w:rsid w:val="004039EA"/>
    <w:rsid w:val="00405371"/>
    <w:rsid w:val="0040619D"/>
    <w:rsid w:val="00410109"/>
    <w:rsid w:val="004112D6"/>
    <w:rsid w:val="00411CDA"/>
    <w:rsid w:val="0041269F"/>
    <w:rsid w:val="004148E2"/>
    <w:rsid w:val="00415624"/>
    <w:rsid w:val="004165FE"/>
    <w:rsid w:val="00416AA6"/>
    <w:rsid w:val="00416B51"/>
    <w:rsid w:val="00417322"/>
    <w:rsid w:val="004178C4"/>
    <w:rsid w:val="00421376"/>
    <w:rsid w:val="00422480"/>
    <w:rsid w:val="00422DC3"/>
    <w:rsid w:val="00423239"/>
    <w:rsid w:val="004240C2"/>
    <w:rsid w:val="00424650"/>
    <w:rsid w:val="00424F1E"/>
    <w:rsid w:val="00425BF6"/>
    <w:rsid w:val="00432097"/>
    <w:rsid w:val="004335FA"/>
    <w:rsid w:val="00433E8D"/>
    <w:rsid w:val="00434174"/>
    <w:rsid w:val="00435848"/>
    <w:rsid w:val="00435BB7"/>
    <w:rsid w:val="00436011"/>
    <w:rsid w:val="004377EE"/>
    <w:rsid w:val="00440936"/>
    <w:rsid w:val="00440BBC"/>
    <w:rsid w:val="00442A93"/>
    <w:rsid w:val="0044394C"/>
    <w:rsid w:val="0044400A"/>
    <w:rsid w:val="00444C32"/>
    <w:rsid w:val="0044517C"/>
    <w:rsid w:val="004514BB"/>
    <w:rsid w:val="00451A4E"/>
    <w:rsid w:val="00451DBD"/>
    <w:rsid w:val="00452091"/>
    <w:rsid w:val="0045532C"/>
    <w:rsid w:val="00461A02"/>
    <w:rsid w:val="00464225"/>
    <w:rsid w:val="00464740"/>
    <w:rsid w:val="004649B5"/>
    <w:rsid w:val="004677B3"/>
    <w:rsid w:val="00472883"/>
    <w:rsid w:val="00472994"/>
    <w:rsid w:val="004754C5"/>
    <w:rsid w:val="00476DE3"/>
    <w:rsid w:val="00480717"/>
    <w:rsid w:val="004814BC"/>
    <w:rsid w:val="004823CB"/>
    <w:rsid w:val="00482DA3"/>
    <w:rsid w:val="004850F8"/>
    <w:rsid w:val="0049056B"/>
    <w:rsid w:val="004907DE"/>
    <w:rsid w:val="00491004"/>
    <w:rsid w:val="004918A4"/>
    <w:rsid w:val="00494EE0"/>
    <w:rsid w:val="00496E5A"/>
    <w:rsid w:val="00497439"/>
    <w:rsid w:val="004A3785"/>
    <w:rsid w:val="004A5BE6"/>
    <w:rsid w:val="004A5DC7"/>
    <w:rsid w:val="004A7E20"/>
    <w:rsid w:val="004B01E0"/>
    <w:rsid w:val="004B2DBB"/>
    <w:rsid w:val="004B661F"/>
    <w:rsid w:val="004B6EB8"/>
    <w:rsid w:val="004B77F7"/>
    <w:rsid w:val="004C05BF"/>
    <w:rsid w:val="004C201D"/>
    <w:rsid w:val="004C2138"/>
    <w:rsid w:val="004C3B71"/>
    <w:rsid w:val="004C3F57"/>
    <w:rsid w:val="004C43A0"/>
    <w:rsid w:val="004C7FBD"/>
    <w:rsid w:val="004D0626"/>
    <w:rsid w:val="004D24D3"/>
    <w:rsid w:val="004D3962"/>
    <w:rsid w:val="004D76DE"/>
    <w:rsid w:val="004E1151"/>
    <w:rsid w:val="004E14FF"/>
    <w:rsid w:val="004E4E0D"/>
    <w:rsid w:val="004E51DB"/>
    <w:rsid w:val="004E7E53"/>
    <w:rsid w:val="004F0D79"/>
    <w:rsid w:val="004F4419"/>
    <w:rsid w:val="004F4848"/>
    <w:rsid w:val="004F5BE3"/>
    <w:rsid w:val="00503BE5"/>
    <w:rsid w:val="00505876"/>
    <w:rsid w:val="00505CD9"/>
    <w:rsid w:val="005105C7"/>
    <w:rsid w:val="00512DE8"/>
    <w:rsid w:val="00513348"/>
    <w:rsid w:val="0051480E"/>
    <w:rsid w:val="00514D2B"/>
    <w:rsid w:val="005172C0"/>
    <w:rsid w:val="005202DE"/>
    <w:rsid w:val="005233D5"/>
    <w:rsid w:val="005274D3"/>
    <w:rsid w:val="0053125E"/>
    <w:rsid w:val="00531EE2"/>
    <w:rsid w:val="0053333D"/>
    <w:rsid w:val="0053365C"/>
    <w:rsid w:val="00535D10"/>
    <w:rsid w:val="00537005"/>
    <w:rsid w:val="00537333"/>
    <w:rsid w:val="00537739"/>
    <w:rsid w:val="00540201"/>
    <w:rsid w:val="00540BDF"/>
    <w:rsid w:val="0054178D"/>
    <w:rsid w:val="005417FC"/>
    <w:rsid w:val="00541B0D"/>
    <w:rsid w:val="00543117"/>
    <w:rsid w:val="00543501"/>
    <w:rsid w:val="005443CE"/>
    <w:rsid w:val="005444E9"/>
    <w:rsid w:val="00544C0F"/>
    <w:rsid w:val="00545091"/>
    <w:rsid w:val="00547381"/>
    <w:rsid w:val="0054740C"/>
    <w:rsid w:val="00554327"/>
    <w:rsid w:val="00554CE5"/>
    <w:rsid w:val="00554E74"/>
    <w:rsid w:val="00562942"/>
    <w:rsid w:val="005632B8"/>
    <w:rsid w:val="00565238"/>
    <w:rsid w:val="005654C3"/>
    <w:rsid w:val="00565A1F"/>
    <w:rsid w:val="005666B9"/>
    <w:rsid w:val="005743E7"/>
    <w:rsid w:val="00576664"/>
    <w:rsid w:val="005766F7"/>
    <w:rsid w:val="00577539"/>
    <w:rsid w:val="0058037C"/>
    <w:rsid w:val="00583A54"/>
    <w:rsid w:val="00584EE7"/>
    <w:rsid w:val="00586642"/>
    <w:rsid w:val="00587DC2"/>
    <w:rsid w:val="00591D54"/>
    <w:rsid w:val="00594CFF"/>
    <w:rsid w:val="005977A9"/>
    <w:rsid w:val="005A2F74"/>
    <w:rsid w:val="005A3720"/>
    <w:rsid w:val="005A4026"/>
    <w:rsid w:val="005A5AF1"/>
    <w:rsid w:val="005A6109"/>
    <w:rsid w:val="005A610B"/>
    <w:rsid w:val="005B0390"/>
    <w:rsid w:val="005B0451"/>
    <w:rsid w:val="005B131C"/>
    <w:rsid w:val="005B2DD6"/>
    <w:rsid w:val="005B428A"/>
    <w:rsid w:val="005B5A08"/>
    <w:rsid w:val="005B6365"/>
    <w:rsid w:val="005B7D40"/>
    <w:rsid w:val="005C00F0"/>
    <w:rsid w:val="005C0C64"/>
    <w:rsid w:val="005C1C95"/>
    <w:rsid w:val="005C668B"/>
    <w:rsid w:val="005C71F0"/>
    <w:rsid w:val="005D00E1"/>
    <w:rsid w:val="005D252D"/>
    <w:rsid w:val="005D2808"/>
    <w:rsid w:val="005D33C8"/>
    <w:rsid w:val="005D33E0"/>
    <w:rsid w:val="005D440A"/>
    <w:rsid w:val="005D483E"/>
    <w:rsid w:val="005D6922"/>
    <w:rsid w:val="005E0093"/>
    <w:rsid w:val="005E0BC7"/>
    <w:rsid w:val="005E3D2F"/>
    <w:rsid w:val="005E5A30"/>
    <w:rsid w:val="005E6F8D"/>
    <w:rsid w:val="005E7298"/>
    <w:rsid w:val="005E7745"/>
    <w:rsid w:val="005F56BA"/>
    <w:rsid w:val="005F5D8D"/>
    <w:rsid w:val="005F5DA8"/>
    <w:rsid w:val="005F6812"/>
    <w:rsid w:val="005F7077"/>
    <w:rsid w:val="006003DA"/>
    <w:rsid w:val="0060120B"/>
    <w:rsid w:val="0060349B"/>
    <w:rsid w:val="00604518"/>
    <w:rsid w:val="0060535B"/>
    <w:rsid w:val="00606203"/>
    <w:rsid w:val="00606979"/>
    <w:rsid w:val="006072F5"/>
    <w:rsid w:val="00610268"/>
    <w:rsid w:val="006106AB"/>
    <w:rsid w:val="00610BC3"/>
    <w:rsid w:val="0061158A"/>
    <w:rsid w:val="00611FB4"/>
    <w:rsid w:val="006120B0"/>
    <w:rsid w:val="00612A2B"/>
    <w:rsid w:val="006143D4"/>
    <w:rsid w:val="00614C4B"/>
    <w:rsid w:val="00615279"/>
    <w:rsid w:val="006173B6"/>
    <w:rsid w:val="00617A8C"/>
    <w:rsid w:val="00617D2B"/>
    <w:rsid w:val="00620C71"/>
    <w:rsid w:val="006213D9"/>
    <w:rsid w:val="00621AE0"/>
    <w:rsid w:val="00622F58"/>
    <w:rsid w:val="00624FE8"/>
    <w:rsid w:val="006274C1"/>
    <w:rsid w:val="006311CC"/>
    <w:rsid w:val="00632338"/>
    <w:rsid w:val="00633000"/>
    <w:rsid w:val="0063346A"/>
    <w:rsid w:val="00634360"/>
    <w:rsid w:val="0063445F"/>
    <w:rsid w:val="00634D6E"/>
    <w:rsid w:val="00635C2A"/>
    <w:rsid w:val="0063699F"/>
    <w:rsid w:val="00636BDE"/>
    <w:rsid w:val="00636DE5"/>
    <w:rsid w:val="0063713C"/>
    <w:rsid w:val="0063794E"/>
    <w:rsid w:val="00637EDD"/>
    <w:rsid w:val="006409D7"/>
    <w:rsid w:val="00641D04"/>
    <w:rsid w:val="00642878"/>
    <w:rsid w:val="00642CC4"/>
    <w:rsid w:val="006447F9"/>
    <w:rsid w:val="00644B0A"/>
    <w:rsid w:val="00646576"/>
    <w:rsid w:val="0064735B"/>
    <w:rsid w:val="00647694"/>
    <w:rsid w:val="00650833"/>
    <w:rsid w:val="006532EA"/>
    <w:rsid w:val="006555E4"/>
    <w:rsid w:val="0065579A"/>
    <w:rsid w:val="00655B6A"/>
    <w:rsid w:val="006564D2"/>
    <w:rsid w:val="006622A3"/>
    <w:rsid w:val="006625DA"/>
    <w:rsid w:val="00662CCD"/>
    <w:rsid w:val="00664F5A"/>
    <w:rsid w:val="00664FD9"/>
    <w:rsid w:val="006650F2"/>
    <w:rsid w:val="006660B3"/>
    <w:rsid w:val="00667127"/>
    <w:rsid w:val="00667469"/>
    <w:rsid w:val="0067216E"/>
    <w:rsid w:val="00672356"/>
    <w:rsid w:val="00672393"/>
    <w:rsid w:val="0067258D"/>
    <w:rsid w:val="00672D08"/>
    <w:rsid w:val="0067372D"/>
    <w:rsid w:val="00673DB9"/>
    <w:rsid w:val="0067579D"/>
    <w:rsid w:val="00680C0E"/>
    <w:rsid w:val="006845EA"/>
    <w:rsid w:val="00686EAE"/>
    <w:rsid w:val="006923EB"/>
    <w:rsid w:val="0069241B"/>
    <w:rsid w:val="0069519F"/>
    <w:rsid w:val="006967AE"/>
    <w:rsid w:val="006A0123"/>
    <w:rsid w:val="006A0252"/>
    <w:rsid w:val="006A0750"/>
    <w:rsid w:val="006A0B96"/>
    <w:rsid w:val="006A167C"/>
    <w:rsid w:val="006A16E3"/>
    <w:rsid w:val="006A1C02"/>
    <w:rsid w:val="006A2A69"/>
    <w:rsid w:val="006A31F4"/>
    <w:rsid w:val="006A410F"/>
    <w:rsid w:val="006A4405"/>
    <w:rsid w:val="006A4A4C"/>
    <w:rsid w:val="006B0A0F"/>
    <w:rsid w:val="006B17F5"/>
    <w:rsid w:val="006B2B41"/>
    <w:rsid w:val="006B4282"/>
    <w:rsid w:val="006B46B1"/>
    <w:rsid w:val="006B4AB0"/>
    <w:rsid w:val="006B7471"/>
    <w:rsid w:val="006C2A6A"/>
    <w:rsid w:val="006C59FE"/>
    <w:rsid w:val="006C5B8A"/>
    <w:rsid w:val="006C5E3B"/>
    <w:rsid w:val="006C62F6"/>
    <w:rsid w:val="006C68C1"/>
    <w:rsid w:val="006D0E12"/>
    <w:rsid w:val="006D1679"/>
    <w:rsid w:val="006D3E1C"/>
    <w:rsid w:val="006D420C"/>
    <w:rsid w:val="006D55BE"/>
    <w:rsid w:val="006D5944"/>
    <w:rsid w:val="006D72FA"/>
    <w:rsid w:val="006E2370"/>
    <w:rsid w:val="006E2F2B"/>
    <w:rsid w:val="006E4F77"/>
    <w:rsid w:val="006E7D31"/>
    <w:rsid w:val="006F0977"/>
    <w:rsid w:val="006F2B54"/>
    <w:rsid w:val="006F3170"/>
    <w:rsid w:val="006F3612"/>
    <w:rsid w:val="006F3763"/>
    <w:rsid w:val="006F4B65"/>
    <w:rsid w:val="006F4CF1"/>
    <w:rsid w:val="006F53D3"/>
    <w:rsid w:val="006F67A4"/>
    <w:rsid w:val="006F68CE"/>
    <w:rsid w:val="006F736E"/>
    <w:rsid w:val="006F7D24"/>
    <w:rsid w:val="00702714"/>
    <w:rsid w:val="00703489"/>
    <w:rsid w:val="0070462C"/>
    <w:rsid w:val="0070734C"/>
    <w:rsid w:val="00711A39"/>
    <w:rsid w:val="00713903"/>
    <w:rsid w:val="00721233"/>
    <w:rsid w:val="0072428D"/>
    <w:rsid w:val="00725344"/>
    <w:rsid w:val="00725720"/>
    <w:rsid w:val="00730163"/>
    <w:rsid w:val="0073176F"/>
    <w:rsid w:val="00732CC2"/>
    <w:rsid w:val="007330F0"/>
    <w:rsid w:val="0073363F"/>
    <w:rsid w:val="00733BB1"/>
    <w:rsid w:val="007348B2"/>
    <w:rsid w:val="00736BC0"/>
    <w:rsid w:val="00737871"/>
    <w:rsid w:val="00737A31"/>
    <w:rsid w:val="00740B87"/>
    <w:rsid w:val="00741C59"/>
    <w:rsid w:val="00743861"/>
    <w:rsid w:val="007446E9"/>
    <w:rsid w:val="007462BF"/>
    <w:rsid w:val="0074691D"/>
    <w:rsid w:val="00747F09"/>
    <w:rsid w:val="00751E72"/>
    <w:rsid w:val="00755BF6"/>
    <w:rsid w:val="00757785"/>
    <w:rsid w:val="00757A2F"/>
    <w:rsid w:val="00760AC4"/>
    <w:rsid w:val="007651C8"/>
    <w:rsid w:val="00765D9C"/>
    <w:rsid w:val="0076748B"/>
    <w:rsid w:val="007727AB"/>
    <w:rsid w:val="00773E92"/>
    <w:rsid w:val="00773F7C"/>
    <w:rsid w:val="007751D1"/>
    <w:rsid w:val="00777573"/>
    <w:rsid w:val="007775CE"/>
    <w:rsid w:val="0078151B"/>
    <w:rsid w:val="007820CA"/>
    <w:rsid w:val="00782C72"/>
    <w:rsid w:val="00782D78"/>
    <w:rsid w:val="007844AC"/>
    <w:rsid w:val="00785654"/>
    <w:rsid w:val="00792067"/>
    <w:rsid w:val="00794215"/>
    <w:rsid w:val="0079483A"/>
    <w:rsid w:val="00795D3F"/>
    <w:rsid w:val="0079760E"/>
    <w:rsid w:val="007A0ADA"/>
    <w:rsid w:val="007A0B73"/>
    <w:rsid w:val="007A23B2"/>
    <w:rsid w:val="007A27C9"/>
    <w:rsid w:val="007A2879"/>
    <w:rsid w:val="007A2CAF"/>
    <w:rsid w:val="007A4F32"/>
    <w:rsid w:val="007A6D2D"/>
    <w:rsid w:val="007B3EAB"/>
    <w:rsid w:val="007B6524"/>
    <w:rsid w:val="007B655F"/>
    <w:rsid w:val="007B6DA9"/>
    <w:rsid w:val="007C08B5"/>
    <w:rsid w:val="007C164D"/>
    <w:rsid w:val="007C2C7A"/>
    <w:rsid w:val="007C39E5"/>
    <w:rsid w:val="007C3E94"/>
    <w:rsid w:val="007C3FD3"/>
    <w:rsid w:val="007C4D48"/>
    <w:rsid w:val="007C5E6C"/>
    <w:rsid w:val="007C6A66"/>
    <w:rsid w:val="007D0B8D"/>
    <w:rsid w:val="007D1A74"/>
    <w:rsid w:val="007D489C"/>
    <w:rsid w:val="007D5313"/>
    <w:rsid w:val="007D6133"/>
    <w:rsid w:val="007D6523"/>
    <w:rsid w:val="007D7654"/>
    <w:rsid w:val="007D7EAE"/>
    <w:rsid w:val="007E12B3"/>
    <w:rsid w:val="007E1930"/>
    <w:rsid w:val="007E1B7C"/>
    <w:rsid w:val="007E1FAC"/>
    <w:rsid w:val="007E2104"/>
    <w:rsid w:val="007E2639"/>
    <w:rsid w:val="007E2968"/>
    <w:rsid w:val="007E3CE9"/>
    <w:rsid w:val="007E635C"/>
    <w:rsid w:val="007E6776"/>
    <w:rsid w:val="007E68BC"/>
    <w:rsid w:val="007E7B15"/>
    <w:rsid w:val="007F0721"/>
    <w:rsid w:val="007F0DE7"/>
    <w:rsid w:val="007F13D6"/>
    <w:rsid w:val="007F1AF6"/>
    <w:rsid w:val="007F2357"/>
    <w:rsid w:val="007F3EBC"/>
    <w:rsid w:val="007F504F"/>
    <w:rsid w:val="007F6838"/>
    <w:rsid w:val="007F7ACE"/>
    <w:rsid w:val="00801AEA"/>
    <w:rsid w:val="00801DC5"/>
    <w:rsid w:val="00802F69"/>
    <w:rsid w:val="008052F6"/>
    <w:rsid w:val="0080630C"/>
    <w:rsid w:val="0080735C"/>
    <w:rsid w:val="00810D30"/>
    <w:rsid w:val="00811A72"/>
    <w:rsid w:val="00813584"/>
    <w:rsid w:val="00815F95"/>
    <w:rsid w:val="00816A77"/>
    <w:rsid w:val="00817509"/>
    <w:rsid w:val="008260CF"/>
    <w:rsid w:val="008264CF"/>
    <w:rsid w:val="00832B06"/>
    <w:rsid w:val="00834473"/>
    <w:rsid w:val="00835DA4"/>
    <w:rsid w:val="00841952"/>
    <w:rsid w:val="008426C1"/>
    <w:rsid w:val="00842F39"/>
    <w:rsid w:val="008437FA"/>
    <w:rsid w:val="008439E0"/>
    <w:rsid w:val="008462CC"/>
    <w:rsid w:val="008515BF"/>
    <w:rsid w:val="00851CE2"/>
    <w:rsid w:val="008525C3"/>
    <w:rsid w:val="00853855"/>
    <w:rsid w:val="00854AA8"/>
    <w:rsid w:val="00854EEC"/>
    <w:rsid w:val="00855278"/>
    <w:rsid w:val="00855926"/>
    <w:rsid w:val="00857500"/>
    <w:rsid w:val="00857984"/>
    <w:rsid w:val="00860610"/>
    <w:rsid w:val="0086133A"/>
    <w:rsid w:val="00863E60"/>
    <w:rsid w:val="008645CE"/>
    <w:rsid w:val="0086551C"/>
    <w:rsid w:val="00865B19"/>
    <w:rsid w:val="0086671D"/>
    <w:rsid w:val="008671C3"/>
    <w:rsid w:val="00867BF0"/>
    <w:rsid w:val="00867E2F"/>
    <w:rsid w:val="00870BB6"/>
    <w:rsid w:val="008714C9"/>
    <w:rsid w:val="00871505"/>
    <w:rsid w:val="00871C80"/>
    <w:rsid w:val="008724FF"/>
    <w:rsid w:val="00872752"/>
    <w:rsid w:val="00872FE4"/>
    <w:rsid w:val="0087331A"/>
    <w:rsid w:val="00873AA0"/>
    <w:rsid w:val="008740C8"/>
    <w:rsid w:val="00874F76"/>
    <w:rsid w:val="0088469E"/>
    <w:rsid w:val="0088758A"/>
    <w:rsid w:val="00896375"/>
    <w:rsid w:val="00897884"/>
    <w:rsid w:val="008A0393"/>
    <w:rsid w:val="008A0517"/>
    <w:rsid w:val="008A201B"/>
    <w:rsid w:val="008A2551"/>
    <w:rsid w:val="008A2A17"/>
    <w:rsid w:val="008A43FE"/>
    <w:rsid w:val="008B016D"/>
    <w:rsid w:val="008B3C19"/>
    <w:rsid w:val="008B6005"/>
    <w:rsid w:val="008B73D4"/>
    <w:rsid w:val="008B7497"/>
    <w:rsid w:val="008B7787"/>
    <w:rsid w:val="008C1151"/>
    <w:rsid w:val="008C2414"/>
    <w:rsid w:val="008C59B3"/>
    <w:rsid w:val="008C660F"/>
    <w:rsid w:val="008C6C59"/>
    <w:rsid w:val="008C7B93"/>
    <w:rsid w:val="008D0B97"/>
    <w:rsid w:val="008D1C6F"/>
    <w:rsid w:val="008D2ECA"/>
    <w:rsid w:val="008D51FD"/>
    <w:rsid w:val="008D5613"/>
    <w:rsid w:val="008D684E"/>
    <w:rsid w:val="008E0576"/>
    <w:rsid w:val="008E11E4"/>
    <w:rsid w:val="008E1C6A"/>
    <w:rsid w:val="008E4FE0"/>
    <w:rsid w:val="008E5D25"/>
    <w:rsid w:val="008E72AD"/>
    <w:rsid w:val="008F062E"/>
    <w:rsid w:val="008F170D"/>
    <w:rsid w:val="008F1FC1"/>
    <w:rsid w:val="008F361F"/>
    <w:rsid w:val="008F3637"/>
    <w:rsid w:val="008F3CCA"/>
    <w:rsid w:val="008F6D6C"/>
    <w:rsid w:val="008F734A"/>
    <w:rsid w:val="0090080E"/>
    <w:rsid w:val="00902104"/>
    <w:rsid w:val="0090259F"/>
    <w:rsid w:val="00903E3C"/>
    <w:rsid w:val="00904330"/>
    <w:rsid w:val="00905A99"/>
    <w:rsid w:val="009063E2"/>
    <w:rsid w:val="00906DA4"/>
    <w:rsid w:val="009078AF"/>
    <w:rsid w:val="00910105"/>
    <w:rsid w:val="00911078"/>
    <w:rsid w:val="0091300A"/>
    <w:rsid w:val="009139B9"/>
    <w:rsid w:val="009146E0"/>
    <w:rsid w:val="00914FED"/>
    <w:rsid w:val="00915D58"/>
    <w:rsid w:val="00915EE9"/>
    <w:rsid w:val="00916835"/>
    <w:rsid w:val="00924362"/>
    <w:rsid w:val="00924E20"/>
    <w:rsid w:val="00930A1B"/>
    <w:rsid w:val="009325DB"/>
    <w:rsid w:val="0093293C"/>
    <w:rsid w:val="009332BD"/>
    <w:rsid w:val="0093484A"/>
    <w:rsid w:val="00935897"/>
    <w:rsid w:val="00935D72"/>
    <w:rsid w:val="00941221"/>
    <w:rsid w:val="00941531"/>
    <w:rsid w:val="00943215"/>
    <w:rsid w:val="009437BF"/>
    <w:rsid w:val="009438B7"/>
    <w:rsid w:val="00944B62"/>
    <w:rsid w:val="00944F68"/>
    <w:rsid w:val="00945588"/>
    <w:rsid w:val="00946B52"/>
    <w:rsid w:val="0094709A"/>
    <w:rsid w:val="009503C6"/>
    <w:rsid w:val="009514E4"/>
    <w:rsid w:val="00951F62"/>
    <w:rsid w:val="009525D2"/>
    <w:rsid w:val="009535BF"/>
    <w:rsid w:val="009538CD"/>
    <w:rsid w:val="009546D2"/>
    <w:rsid w:val="0095569F"/>
    <w:rsid w:val="0095591E"/>
    <w:rsid w:val="00957070"/>
    <w:rsid w:val="00964CB8"/>
    <w:rsid w:val="00964E3F"/>
    <w:rsid w:val="009659BD"/>
    <w:rsid w:val="00967A65"/>
    <w:rsid w:val="00970AF9"/>
    <w:rsid w:val="00971A13"/>
    <w:rsid w:val="00971D0D"/>
    <w:rsid w:val="009749CA"/>
    <w:rsid w:val="00980204"/>
    <w:rsid w:val="009829FB"/>
    <w:rsid w:val="00984C76"/>
    <w:rsid w:val="0099109D"/>
    <w:rsid w:val="0099200A"/>
    <w:rsid w:val="00992966"/>
    <w:rsid w:val="009930B4"/>
    <w:rsid w:val="00993463"/>
    <w:rsid w:val="00993D01"/>
    <w:rsid w:val="009A0570"/>
    <w:rsid w:val="009A0911"/>
    <w:rsid w:val="009A0D29"/>
    <w:rsid w:val="009A1557"/>
    <w:rsid w:val="009A17B5"/>
    <w:rsid w:val="009A2AAC"/>
    <w:rsid w:val="009A42FE"/>
    <w:rsid w:val="009A66F6"/>
    <w:rsid w:val="009A6740"/>
    <w:rsid w:val="009C2BAD"/>
    <w:rsid w:val="009C2F2B"/>
    <w:rsid w:val="009C4BCF"/>
    <w:rsid w:val="009C4DC8"/>
    <w:rsid w:val="009C6205"/>
    <w:rsid w:val="009D0B4C"/>
    <w:rsid w:val="009D11E7"/>
    <w:rsid w:val="009D2BF7"/>
    <w:rsid w:val="009D3053"/>
    <w:rsid w:val="009D3C95"/>
    <w:rsid w:val="009D47C4"/>
    <w:rsid w:val="009D4A0F"/>
    <w:rsid w:val="009D5487"/>
    <w:rsid w:val="009D54B6"/>
    <w:rsid w:val="009D75B0"/>
    <w:rsid w:val="009E1729"/>
    <w:rsid w:val="009E1739"/>
    <w:rsid w:val="009E1A63"/>
    <w:rsid w:val="009E2501"/>
    <w:rsid w:val="009E29F4"/>
    <w:rsid w:val="009E3DAF"/>
    <w:rsid w:val="009E691F"/>
    <w:rsid w:val="009E6AD7"/>
    <w:rsid w:val="009E7390"/>
    <w:rsid w:val="009F02CE"/>
    <w:rsid w:val="009F0A0F"/>
    <w:rsid w:val="009F0DCA"/>
    <w:rsid w:val="009F255D"/>
    <w:rsid w:val="009F3208"/>
    <w:rsid w:val="009F5152"/>
    <w:rsid w:val="009F5748"/>
    <w:rsid w:val="009F5F4E"/>
    <w:rsid w:val="009F683E"/>
    <w:rsid w:val="009F7152"/>
    <w:rsid w:val="009F7847"/>
    <w:rsid w:val="009F7E12"/>
    <w:rsid w:val="00A018BA"/>
    <w:rsid w:val="00A05E86"/>
    <w:rsid w:val="00A11649"/>
    <w:rsid w:val="00A11BF6"/>
    <w:rsid w:val="00A15968"/>
    <w:rsid w:val="00A159EF"/>
    <w:rsid w:val="00A170D4"/>
    <w:rsid w:val="00A17E64"/>
    <w:rsid w:val="00A21C38"/>
    <w:rsid w:val="00A2270D"/>
    <w:rsid w:val="00A24087"/>
    <w:rsid w:val="00A26E5F"/>
    <w:rsid w:val="00A30057"/>
    <w:rsid w:val="00A303D7"/>
    <w:rsid w:val="00A3347B"/>
    <w:rsid w:val="00A33F8C"/>
    <w:rsid w:val="00A369F5"/>
    <w:rsid w:val="00A40BF3"/>
    <w:rsid w:val="00A43EA2"/>
    <w:rsid w:val="00A44AC1"/>
    <w:rsid w:val="00A46A68"/>
    <w:rsid w:val="00A517CE"/>
    <w:rsid w:val="00A52D52"/>
    <w:rsid w:val="00A57B55"/>
    <w:rsid w:val="00A648C3"/>
    <w:rsid w:val="00A700B2"/>
    <w:rsid w:val="00A7141D"/>
    <w:rsid w:val="00A72CB4"/>
    <w:rsid w:val="00A77D4A"/>
    <w:rsid w:val="00A811B6"/>
    <w:rsid w:val="00A815FF"/>
    <w:rsid w:val="00A81C45"/>
    <w:rsid w:val="00A860A3"/>
    <w:rsid w:val="00A86A8E"/>
    <w:rsid w:val="00A90385"/>
    <w:rsid w:val="00A9046C"/>
    <w:rsid w:val="00A9071D"/>
    <w:rsid w:val="00A96C89"/>
    <w:rsid w:val="00A97D9A"/>
    <w:rsid w:val="00AA0040"/>
    <w:rsid w:val="00AA2F6A"/>
    <w:rsid w:val="00AA2F8D"/>
    <w:rsid w:val="00AA4D7E"/>
    <w:rsid w:val="00AA65B0"/>
    <w:rsid w:val="00AA77F0"/>
    <w:rsid w:val="00AA78F7"/>
    <w:rsid w:val="00AB2129"/>
    <w:rsid w:val="00AB30C1"/>
    <w:rsid w:val="00AB4887"/>
    <w:rsid w:val="00AB5235"/>
    <w:rsid w:val="00AB78FE"/>
    <w:rsid w:val="00AB7BC1"/>
    <w:rsid w:val="00AC006D"/>
    <w:rsid w:val="00AC178C"/>
    <w:rsid w:val="00AC4015"/>
    <w:rsid w:val="00AC7104"/>
    <w:rsid w:val="00AC71AE"/>
    <w:rsid w:val="00AC7D6E"/>
    <w:rsid w:val="00AC7FE7"/>
    <w:rsid w:val="00AD068E"/>
    <w:rsid w:val="00AD0C08"/>
    <w:rsid w:val="00AD1390"/>
    <w:rsid w:val="00AD279F"/>
    <w:rsid w:val="00AD2DED"/>
    <w:rsid w:val="00AD4A71"/>
    <w:rsid w:val="00AE10FC"/>
    <w:rsid w:val="00AE49DE"/>
    <w:rsid w:val="00AE5123"/>
    <w:rsid w:val="00AE63EC"/>
    <w:rsid w:val="00AE6AA0"/>
    <w:rsid w:val="00AE7E8A"/>
    <w:rsid w:val="00AF237A"/>
    <w:rsid w:val="00AF4782"/>
    <w:rsid w:val="00AF5CB7"/>
    <w:rsid w:val="00AF6F62"/>
    <w:rsid w:val="00AF737A"/>
    <w:rsid w:val="00B0157B"/>
    <w:rsid w:val="00B01B1D"/>
    <w:rsid w:val="00B04C07"/>
    <w:rsid w:val="00B04D78"/>
    <w:rsid w:val="00B05EA5"/>
    <w:rsid w:val="00B06178"/>
    <w:rsid w:val="00B065C1"/>
    <w:rsid w:val="00B07119"/>
    <w:rsid w:val="00B12A6A"/>
    <w:rsid w:val="00B12F3F"/>
    <w:rsid w:val="00B130C3"/>
    <w:rsid w:val="00B1332F"/>
    <w:rsid w:val="00B15BFC"/>
    <w:rsid w:val="00B15D1B"/>
    <w:rsid w:val="00B17E87"/>
    <w:rsid w:val="00B21930"/>
    <w:rsid w:val="00B252F1"/>
    <w:rsid w:val="00B259DE"/>
    <w:rsid w:val="00B2782B"/>
    <w:rsid w:val="00B27900"/>
    <w:rsid w:val="00B300AE"/>
    <w:rsid w:val="00B3145E"/>
    <w:rsid w:val="00B3203C"/>
    <w:rsid w:val="00B33732"/>
    <w:rsid w:val="00B36FB0"/>
    <w:rsid w:val="00B41C7A"/>
    <w:rsid w:val="00B472A4"/>
    <w:rsid w:val="00B50544"/>
    <w:rsid w:val="00B50D97"/>
    <w:rsid w:val="00B50E8F"/>
    <w:rsid w:val="00B5201C"/>
    <w:rsid w:val="00B52344"/>
    <w:rsid w:val="00B525DE"/>
    <w:rsid w:val="00B545A3"/>
    <w:rsid w:val="00B54948"/>
    <w:rsid w:val="00B564D9"/>
    <w:rsid w:val="00B56636"/>
    <w:rsid w:val="00B56C14"/>
    <w:rsid w:val="00B56DE3"/>
    <w:rsid w:val="00B5712B"/>
    <w:rsid w:val="00B60071"/>
    <w:rsid w:val="00B60EBE"/>
    <w:rsid w:val="00B635B7"/>
    <w:rsid w:val="00B6471A"/>
    <w:rsid w:val="00B711CD"/>
    <w:rsid w:val="00B71AC9"/>
    <w:rsid w:val="00B72271"/>
    <w:rsid w:val="00B74505"/>
    <w:rsid w:val="00B76436"/>
    <w:rsid w:val="00B80F9B"/>
    <w:rsid w:val="00B811E6"/>
    <w:rsid w:val="00B83E28"/>
    <w:rsid w:val="00B85B3F"/>
    <w:rsid w:val="00B870B8"/>
    <w:rsid w:val="00B90B2C"/>
    <w:rsid w:val="00B90D29"/>
    <w:rsid w:val="00B91747"/>
    <w:rsid w:val="00B92108"/>
    <w:rsid w:val="00B92E76"/>
    <w:rsid w:val="00B936AF"/>
    <w:rsid w:val="00B94633"/>
    <w:rsid w:val="00B94F64"/>
    <w:rsid w:val="00B96842"/>
    <w:rsid w:val="00B9756F"/>
    <w:rsid w:val="00BA1208"/>
    <w:rsid w:val="00BA3D56"/>
    <w:rsid w:val="00BA403A"/>
    <w:rsid w:val="00BA4B50"/>
    <w:rsid w:val="00BA68AA"/>
    <w:rsid w:val="00BA6CD6"/>
    <w:rsid w:val="00BB1380"/>
    <w:rsid w:val="00BB1550"/>
    <w:rsid w:val="00BB4858"/>
    <w:rsid w:val="00BB4B02"/>
    <w:rsid w:val="00BB589E"/>
    <w:rsid w:val="00BB7592"/>
    <w:rsid w:val="00BB76C4"/>
    <w:rsid w:val="00BC015C"/>
    <w:rsid w:val="00BC1B2E"/>
    <w:rsid w:val="00BC1D02"/>
    <w:rsid w:val="00BC1D67"/>
    <w:rsid w:val="00BC4400"/>
    <w:rsid w:val="00BC5500"/>
    <w:rsid w:val="00BC5D66"/>
    <w:rsid w:val="00BC6EB2"/>
    <w:rsid w:val="00BC7106"/>
    <w:rsid w:val="00BC7FFB"/>
    <w:rsid w:val="00BD0068"/>
    <w:rsid w:val="00BD0B1A"/>
    <w:rsid w:val="00BD2E40"/>
    <w:rsid w:val="00BD4A6B"/>
    <w:rsid w:val="00BD5560"/>
    <w:rsid w:val="00BD59D8"/>
    <w:rsid w:val="00BD67D6"/>
    <w:rsid w:val="00BD6EA8"/>
    <w:rsid w:val="00BD6EF8"/>
    <w:rsid w:val="00BE251D"/>
    <w:rsid w:val="00BE4597"/>
    <w:rsid w:val="00BF0201"/>
    <w:rsid w:val="00BF1F55"/>
    <w:rsid w:val="00BF448F"/>
    <w:rsid w:val="00BF68A1"/>
    <w:rsid w:val="00BF6E00"/>
    <w:rsid w:val="00BF6E6B"/>
    <w:rsid w:val="00BF7724"/>
    <w:rsid w:val="00C0247B"/>
    <w:rsid w:val="00C02BA0"/>
    <w:rsid w:val="00C05820"/>
    <w:rsid w:val="00C14304"/>
    <w:rsid w:val="00C212F6"/>
    <w:rsid w:val="00C22D71"/>
    <w:rsid w:val="00C24083"/>
    <w:rsid w:val="00C25E00"/>
    <w:rsid w:val="00C26EDB"/>
    <w:rsid w:val="00C30459"/>
    <w:rsid w:val="00C309E9"/>
    <w:rsid w:val="00C364B8"/>
    <w:rsid w:val="00C37580"/>
    <w:rsid w:val="00C376FE"/>
    <w:rsid w:val="00C37BD0"/>
    <w:rsid w:val="00C37C4B"/>
    <w:rsid w:val="00C37D42"/>
    <w:rsid w:val="00C4361E"/>
    <w:rsid w:val="00C43AF1"/>
    <w:rsid w:val="00C4499B"/>
    <w:rsid w:val="00C45B15"/>
    <w:rsid w:val="00C46E23"/>
    <w:rsid w:val="00C47011"/>
    <w:rsid w:val="00C515D2"/>
    <w:rsid w:val="00C5305E"/>
    <w:rsid w:val="00C5307E"/>
    <w:rsid w:val="00C534E3"/>
    <w:rsid w:val="00C548A6"/>
    <w:rsid w:val="00C55FAA"/>
    <w:rsid w:val="00C56EEF"/>
    <w:rsid w:val="00C5732B"/>
    <w:rsid w:val="00C576B7"/>
    <w:rsid w:val="00C5779B"/>
    <w:rsid w:val="00C57BEC"/>
    <w:rsid w:val="00C616EF"/>
    <w:rsid w:val="00C62EE5"/>
    <w:rsid w:val="00C6473E"/>
    <w:rsid w:val="00C66FFA"/>
    <w:rsid w:val="00C72BEB"/>
    <w:rsid w:val="00C77672"/>
    <w:rsid w:val="00C80905"/>
    <w:rsid w:val="00C827F9"/>
    <w:rsid w:val="00C82C5B"/>
    <w:rsid w:val="00C8541A"/>
    <w:rsid w:val="00C874D3"/>
    <w:rsid w:val="00C87DFE"/>
    <w:rsid w:val="00C905B2"/>
    <w:rsid w:val="00C92FE4"/>
    <w:rsid w:val="00C9491C"/>
    <w:rsid w:val="00CA0F36"/>
    <w:rsid w:val="00CA2213"/>
    <w:rsid w:val="00CA5EBD"/>
    <w:rsid w:val="00CA6ABF"/>
    <w:rsid w:val="00CA70C8"/>
    <w:rsid w:val="00CA7A58"/>
    <w:rsid w:val="00CB0165"/>
    <w:rsid w:val="00CB06AB"/>
    <w:rsid w:val="00CB32E9"/>
    <w:rsid w:val="00CB43CB"/>
    <w:rsid w:val="00CB7962"/>
    <w:rsid w:val="00CB7FB1"/>
    <w:rsid w:val="00CC053E"/>
    <w:rsid w:val="00CC284C"/>
    <w:rsid w:val="00CC36A6"/>
    <w:rsid w:val="00CC4782"/>
    <w:rsid w:val="00CD1A9F"/>
    <w:rsid w:val="00CD1C70"/>
    <w:rsid w:val="00CD5432"/>
    <w:rsid w:val="00CD578A"/>
    <w:rsid w:val="00CD62DC"/>
    <w:rsid w:val="00CD69D5"/>
    <w:rsid w:val="00CD77E4"/>
    <w:rsid w:val="00CE01B2"/>
    <w:rsid w:val="00CE1956"/>
    <w:rsid w:val="00CE1D6B"/>
    <w:rsid w:val="00CE2134"/>
    <w:rsid w:val="00CE38CF"/>
    <w:rsid w:val="00CE46D7"/>
    <w:rsid w:val="00CE7305"/>
    <w:rsid w:val="00CE7EF2"/>
    <w:rsid w:val="00CF1379"/>
    <w:rsid w:val="00CF3B22"/>
    <w:rsid w:val="00CF481D"/>
    <w:rsid w:val="00D02505"/>
    <w:rsid w:val="00D0281F"/>
    <w:rsid w:val="00D06161"/>
    <w:rsid w:val="00D0744F"/>
    <w:rsid w:val="00D07C5F"/>
    <w:rsid w:val="00D10098"/>
    <w:rsid w:val="00D111A9"/>
    <w:rsid w:val="00D116D0"/>
    <w:rsid w:val="00D12008"/>
    <w:rsid w:val="00D13989"/>
    <w:rsid w:val="00D13D02"/>
    <w:rsid w:val="00D20790"/>
    <w:rsid w:val="00D20E55"/>
    <w:rsid w:val="00D21209"/>
    <w:rsid w:val="00D2301D"/>
    <w:rsid w:val="00D23792"/>
    <w:rsid w:val="00D247FF"/>
    <w:rsid w:val="00D24D8D"/>
    <w:rsid w:val="00D27DC9"/>
    <w:rsid w:val="00D30774"/>
    <w:rsid w:val="00D32881"/>
    <w:rsid w:val="00D3298F"/>
    <w:rsid w:val="00D330BF"/>
    <w:rsid w:val="00D34E6D"/>
    <w:rsid w:val="00D430C1"/>
    <w:rsid w:val="00D434F9"/>
    <w:rsid w:val="00D44281"/>
    <w:rsid w:val="00D46B11"/>
    <w:rsid w:val="00D46BBF"/>
    <w:rsid w:val="00D46D1F"/>
    <w:rsid w:val="00D504D5"/>
    <w:rsid w:val="00D5323F"/>
    <w:rsid w:val="00D54391"/>
    <w:rsid w:val="00D5729F"/>
    <w:rsid w:val="00D57B0A"/>
    <w:rsid w:val="00D61D30"/>
    <w:rsid w:val="00D62A31"/>
    <w:rsid w:val="00D65938"/>
    <w:rsid w:val="00D70204"/>
    <w:rsid w:val="00D70471"/>
    <w:rsid w:val="00D72D77"/>
    <w:rsid w:val="00D73DAC"/>
    <w:rsid w:val="00D768BF"/>
    <w:rsid w:val="00D7768F"/>
    <w:rsid w:val="00D80BEC"/>
    <w:rsid w:val="00D85543"/>
    <w:rsid w:val="00D87CB2"/>
    <w:rsid w:val="00D9057F"/>
    <w:rsid w:val="00D908E5"/>
    <w:rsid w:val="00D9162B"/>
    <w:rsid w:val="00D92508"/>
    <w:rsid w:val="00D927ED"/>
    <w:rsid w:val="00D944EC"/>
    <w:rsid w:val="00D967D6"/>
    <w:rsid w:val="00D97CF2"/>
    <w:rsid w:val="00DA2AC6"/>
    <w:rsid w:val="00DA3EA3"/>
    <w:rsid w:val="00DA3F1D"/>
    <w:rsid w:val="00DA4844"/>
    <w:rsid w:val="00DA5488"/>
    <w:rsid w:val="00DA6E0D"/>
    <w:rsid w:val="00DA7AE6"/>
    <w:rsid w:val="00DB1941"/>
    <w:rsid w:val="00DB215E"/>
    <w:rsid w:val="00DB3E9B"/>
    <w:rsid w:val="00DB4513"/>
    <w:rsid w:val="00DB538B"/>
    <w:rsid w:val="00DB5A80"/>
    <w:rsid w:val="00DB7517"/>
    <w:rsid w:val="00DB79C2"/>
    <w:rsid w:val="00DB7CF3"/>
    <w:rsid w:val="00DC13B4"/>
    <w:rsid w:val="00DC2905"/>
    <w:rsid w:val="00DC322C"/>
    <w:rsid w:val="00DC3716"/>
    <w:rsid w:val="00DC468F"/>
    <w:rsid w:val="00DC6295"/>
    <w:rsid w:val="00DC7893"/>
    <w:rsid w:val="00DC789D"/>
    <w:rsid w:val="00DD05FD"/>
    <w:rsid w:val="00DD0693"/>
    <w:rsid w:val="00DD0F0C"/>
    <w:rsid w:val="00DD59E7"/>
    <w:rsid w:val="00DD767E"/>
    <w:rsid w:val="00DD7AE0"/>
    <w:rsid w:val="00DE0D95"/>
    <w:rsid w:val="00DE1B3F"/>
    <w:rsid w:val="00DE25CA"/>
    <w:rsid w:val="00DE3F21"/>
    <w:rsid w:val="00DE54B0"/>
    <w:rsid w:val="00DE71AE"/>
    <w:rsid w:val="00DE7F68"/>
    <w:rsid w:val="00DF0685"/>
    <w:rsid w:val="00DF4FBB"/>
    <w:rsid w:val="00E01017"/>
    <w:rsid w:val="00E01F1B"/>
    <w:rsid w:val="00E04004"/>
    <w:rsid w:val="00E04DE1"/>
    <w:rsid w:val="00E064B7"/>
    <w:rsid w:val="00E07BBB"/>
    <w:rsid w:val="00E111F7"/>
    <w:rsid w:val="00E1179B"/>
    <w:rsid w:val="00E1226C"/>
    <w:rsid w:val="00E14C8A"/>
    <w:rsid w:val="00E14F52"/>
    <w:rsid w:val="00E15268"/>
    <w:rsid w:val="00E155B8"/>
    <w:rsid w:val="00E16A4B"/>
    <w:rsid w:val="00E2065F"/>
    <w:rsid w:val="00E21D83"/>
    <w:rsid w:val="00E23370"/>
    <w:rsid w:val="00E242E0"/>
    <w:rsid w:val="00E25181"/>
    <w:rsid w:val="00E27794"/>
    <w:rsid w:val="00E3220F"/>
    <w:rsid w:val="00E329C7"/>
    <w:rsid w:val="00E35284"/>
    <w:rsid w:val="00E3606A"/>
    <w:rsid w:val="00E415F4"/>
    <w:rsid w:val="00E42DDB"/>
    <w:rsid w:val="00E44148"/>
    <w:rsid w:val="00E50106"/>
    <w:rsid w:val="00E5034D"/>
    <w:rsid w:val="00E531AE"/>
    <w:rsid w:val="00E57557"/>
    <w:rsid w:val="00E57A48"/>
    <w:rsid w:val="00E6013D"/>
    <w:rsid w:val="00E60521"/>
    <w:rsid w:val="00E60EE9"/>
    <w:rsid w:val="00E622B2"/>
    <w:rsid w:val="00E629A6"/>
    <w:rsid w:val="00E64AB1"/>
    <w:rsid w:val="00E665D8"/>
    <w:rsid w:val="00E7025B"/>
    <w:rsid w:val="00E70C48"/>
    <w:rsid w:val="00E71492"/>
    <w:rsid w:val="00E7192A"/>
    <w:rsid w:val="00E73A3B"/>
    <w:rsid w:val="00E75C34"/>
    <w:rsid w:val="00E76257"/>
    <w:rsid w:val="00E80477"/>
    <w:rsid w:val="00E81092"/>
    <w:rsid w:val="00E82209"/>
    <w:rsid w:val="00E82754"/>
    <w:rsid w:val="00E82801"/>
    <w:rsid w:val="00E82A73"/>
    <w:rsid w:val="00E83A0C"/>
    <w:rsid w:val="00E862AA"/>
    <w:rsid w:val="00E86541"/>
    <w:rsid w:val="00E86DDB"/>
    <w:rsid w:val="00E87C75"/>
    <w:rsid w:val="00E9016F"/>
    <w:rsid w:val="00E915B0"/>
    <w:rsid w:val="00E91B1D"/>
    <w:rsid w:val="00E92457"/>
    <w:rsid w:val="00E93764"/>
    <w:rsid w:val="00E94A8F"/>
    <w:rsid w:val="00E9518F"/>
    <w:rsid w:val="00E9589C"/>
    <w:rsid w:val="00E95E69"/>
    <w:rsid w:val="00E9623B"/>
    <w:rsid w:val="00E96669"/>
    <w:rsid w:val="00E97487"/>
    <w:rsid w:val="00EA0476"/>
    <w:rsid w:val="00EA067E"/>
    <w:rsid w:val="00EA0AAA"/>
    <w:rsid w:val="00EA209F"/>
    <w:rsid w:val="00EA20C4"/>
    <w:rsid w:val="00EA34D5"/>
    <w:rsid w:val="00EA4B3D"/>
    <w:rsid w:val="00EA7206"/>
    <w:rsid w:val="00EA7805"/>
    <w:rsid w:val="00EA7C89"/>
    <w:rsid w:val="00EB072A"/>
    <w:rsid w:val="00EB1D57"/>
    <w:rsid w:val="00EB2309"/>
    <w:rsid w:val="00EB2B65"/>
    <w:rsid w:val="00EB36A7"/>
    <w:rsid w:val="00EB55A5"/>
    <w:rsid w:val="00EB61E8"/>
    <w:rsid w:val="00EC114C"/>
    <w:rsid w:val="00EC1A91"/>
    <w:rsid w:val="00EC2304"/>
    <w:rsid w:val="00EC3078"/>
    <w:rsid w:val="00EC69A4"/>
    <w:rsid w:val="00EC6ECD"/>
    <w:rsid w:val="00EC78C0"/>
    <w:rsid w:val="00EC7DBD"/>
    <w:rsid w:val="00ED11CC"/>
    <w:rsid w:val="00ED1E68"/>
    <w:rsid w:val="00ED5F1B"/>
    <w:rsid w:val="00ED7CEA"/>
    <w:rsid w:val="00EE1C94"/>
    <w:rsid w:val="00EE2286"/>
    <w:rsid w:val="00EE277D"/>
    <w:rsid w:val="00EE334C"/>
    <w:rsid w:val="00EE5142"/>
    <w:rsid w:val="00EF0A23"/>
    <w:rsid w:val="00EF1A2F"/>
    <w:rsid w:val="00EF20C8"/>
    <w:rsid w:val="00EF25FA"/>
    <w:rsid w:val="00EF5861"/>
    <w:rsid w:val="00F0182C"/>
    <w:rsid w:val="00F04C20"/>
    <w:rsid w:val="00F05CF1"/>
    <w:rsid w:val="00F1099F"/>
    <w:rsid w:val="00F109FC"/>
    <w:rsid w:val="00F123A0"/>
    <w:rsid w:val="00F134CD"/>
    <w:rsid w:val="00F1371F"/>
    <w:rsid w:val="00F13B5E"/>
    <w:rsid w:val="00F14AAD"/>
    <w:rsid w:val="00F15D31"/>
    <w:rsid w:val="00F16CFE"/>
    <w:rsid w:val="00F22556"/>
    <w:rsid w:val="00F23B8B"/>
    <w:rsid w:val="00F23E74"/>
    <w:rsid w:val="00F24182"/>
    <w:rsid w:val="00F241AB"/>
    <w:rsid w:val="00F25117"/>
    <w:rsid w:val="00F25558"/>
    <w:rsid w:val="00F2649E"/>
    <w:rsid w:val="00F27341"/>
    <w:rsid w:val="00F2735C"/>
    <w:rsid w:val="00F27437"/>
    <w:rsid w:val="00F3238D"/>
    <w:rsid w:val="00F37CB4"/>
    <w:rsid w:val="00F408B4"/>
    <w:rsid w:val="00F408E8"/>
    <w:rsid w:val="00F445A1"/>
    <w:rsid w:val="00F462AF"/>
    <w:rsid w:val="00F52375"/>
    <w:rsid w:val="00F54ABB"/>
    <w:rsid w:val="00F54BCF"/>
    <w:rsid w:val="00F55B11"/>
    <w:rsid w:val="00F56FAE"/>
    <w:rsid w:val="00F57ADC"/>
    <w:rsid w:val="00F60972"/>
    <w:rsid w:val="00F60983"/>
    <w:rsid w:val="00F637D6"/>
    <w:rsid w:val="00F652C2"/>
    <w:rsid w:val="00F6760D"/>
    <w:rsid w:val="00F67B68"/>
    <w:rsid w:val="00F701BE"/>
    <w:rsid w:val="00F7155B"/>
    <w:rsid w:val="00F73E81"/>
    <w:rsid w:val="00F74C0C"/>
    <w:rsid w:val="00F75EEA"/>
    <w:rsid w:val="00F76418"/>
    <w:rsid w:val="00F76459"/>
    <w:rsid w:val="00F817C8"/>
    <w:rsid w:val="00F82EF7"/>
    <w:rsid w:val="00F863F3"/>
    <w:rsid w:val="00F86566"/>
    <w:rsid w:val="00F87783"/>
    <w:rsid w:val="00F913CA"/>
    <w:rsid w:val="00F916BD"/>
    <w:rsid w:val="00F9299E"/>
    <w:rsid w:val="00F92B16"/>
    <w:rsid w:val="00F93E9A"/>
    <w:rsid w:val="00F94B40"/>
    <w:rsid w:val="00F9541C"/>
    <w:rsid w:val="00F95BC3"/>
    <w:rsid w:val="00F96103"/>
    <w:rsid w:val="00F968DA"/>
    <w:rsid w:val="00F970F3"/>
    <w:rsid w:val="00FA041D"/>
    <w:rsid w:val="00FA1B87"/>
    <w:rsid w:val="00FA40A1"/>
    <w:rsid w:val="00FA4391"/>
    <w:rsid w:val="00FA4574"/>
    <w:rsid w:val="00FA5837"/>
    <w:rsid w:val="00FA7405"/>
    <w:rsid w:val="00FA7437"/>
    <w:rsid w:val="00FA7D0F"/>
    <w:rsid w:val="00FA7F03"/>
    <w:rsid w:val="00FB3A1E"/>
    <w:rsid w:val="00FB5DDB"/>
    <w:rsid w:val="00FC0C5F"/>
    <w:rsid w:val="00FC29A5"/>
    <w:rsid w:val="00FC2B9E"/>
    <w:rsid w:val="00FC2CB9"/>
    <w:rsid w:val="00FC400E"/>
    <w:rsid w:val="00FC5CBA"/>
    <w:rsid w:val="00FC5E6C"/>
    <w:rsid w:val="00FC6E90"/>
    <w:rsid w:val="00FC7557"/>
    <w:rsid w:val="00FD05A4"/>
    <w:rsid w:val="00FD3225"/>
    <w:rsid w:val="00FD3C9B"/>
    <w:rsid w:val="00FD4023"/>
    <w:rsid w:val="00FD5115"/>
    <w:rsid w:val="00FD52B9"/>
    <w:rsid w:val="00FD7497"/>
    <w:rsid w:val="00FD7D1F"/>
    <w:rsid w:val="00FE0385"/>
    <w:rsid w:val="00FE0439"/>
    <w:rsid w:val="00FE120C"/>
    <w:rsid w:val="00FE2E6A"/>
    <w:rsid w:val="00FE46A7"/>
    <w:rsid w:val="00FE5E4D"/>
    <w:rsid w:val="00FE6F59"/>
    <w:rsid w:val="00FE7225"/>
    <w:rsid w:val="00FF04B9"/>
    <w:rsid w:val="00FF1024"/>
    <w:rsid w:val="00FF105B"/>
    <w:rsid w:val="00FF124A"/>
    <w:rsid w:val="00FF1B9A"/>
    <w:rsid w:val="00FF1C80"/>
    <w:rsid w:val="00FF4AED"/>
    <w:rsid w:val="00FF60F7"/>
    <w:rsid w:val="00FF6BD2"/>
    <w:rsid w:val="00FF6C7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EA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de-DE" w:bidi="de-DE"/>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32C"/>
    <w:pPr>
      <w:spacing w:before="60" w:after="60"/>
    </w:pPr>
    <w:rPr>
      <w:rFonts w:ascii="Arial" w:hAnsi="Arial"/>
      <w:sz w:val="20"/>
    </w:rPr>
  </w:style>
  <w:style w:type="paragraph" w:styleId="Titre1">
    <w:name w:val="heading 1"/>
    <w:basedOn w:val="Normal"/>
    <w:next w:val="Normal"/>
    <w:link w:val="Titre1Car"/>
    <w:uiPriority w:val="9"/>
    <w:qFormat/>
    <w:rsid w:val="007E3C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8F1F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Titre2"/>
    <w:next w:val="Normal"/>
    <w:link w:val="Titre3Car"/>
    <w:uiPriority w:val="9"/>
    <w:unhideWhenUsed/>
    <w:qFormat/>
    <w:rsid w:val="008F1FC1"/>
    <w:pPr>
      <w:keepNext w:val="0"/>
      <w:keepLines w:val="0"/>
      <w:numPr>
        <w:ilvl w:val="2"/>
        <w:numId w:val="2"/>
      </w:numPr>
      <w:spacing w:before="60" w:after="60" w:line="240" w:lineRule="auto"/>
      <w:outlineLvl w:val="2"/>
    </w:pPr>
    <w:rPr>
      <w:rFonts w:ascii="EYInterstate Light" w:eastAsiaTheme="minorHAnsi" w:hAnsi="EYInterstate Light" w:cstheme="minorBidi"/>
      <w:b w:val="0"/>
      <w:bCs w:val="0"/>
      <w:color w:val="auto"/>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31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3176F"/>
    <w:pPr>
      <w:tabs>
        <w:tab w:val="center" w:pos="4536"/>
        <w:tab w:val="right" w:pos="9072"/>
      </w:tabs>
      <w:spacing w:after="0" w:line="240" w:lineRule="auto"/>
    </w:pPr>
  </w:style>
  <w:style w:type="character" w:customStyle="1" w:styleId="En-tteCar">
    <w:name w:val="En-tête Car"/>
    <w:basedOn w:val="Policepardfaut"/>
    <w:link w:val="En-tte"/>
    <w:uiPriority w:val="99"/>
    <w:rsid w:val="0073176F"/>
  </w:style>
  <w:style w:type="paragraph" w:styleId="Pieddepage">
    <w:name w:val="footer"/>
    <w:basedOn w:val="Normal"/>
    <w:link w:val="PieddepageCar"/>
    <w:uiPriority w:val="99"/>
    <w:unhideWhenUsed/>
    <w:rsid w:val="007317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176F"/>
  </w:style>
  <w:style w:type="paragraph" w:styleId="Paragraphedeliste">
    <w:name w:val="List Paragraph"/>
    <w:basedOn w:val="Normal"/>
    <w:uiPriority w:val="34"/>
    <w:qFormat/>
    <w:rsid w:val="00E23370"/>
    <w:pPr>
      <w:ind w:left="720"/>
      <w:contextualSpacing/>
    </w:pPr>
  </w:style>
  <w:style w:type="paragraph" w:customStyle="1" w:styleId="Default">
    <w:name w:val="Default"/>
    <w:rsid w:val="00B36FB0"/>
    <w:pPr>
      <w:autoSpaceDE w:val="0"/>
      <w:autoSpaceDN w:val="0"/>
      <w:adjustRightInd w:val="0"/>
      <w:spacing w:after="0" w:line="240" w:lineRule="auto"/>
    </w:pPr>
    <w:rPr>
      <w:rFonts w:ascii="Arial" w:hAnsi="Arial" w:cs="Arial"/>
      <w:color w:val="000000"/>
      <w:sz w:val="24"/>
      <w:szCs w:val="24"/>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Cs w:val="20"/>
    </w:rPr>
  </w:style>
  <w:style w:type="character" w:customStyle="1" w:styleId="CommentaireCar">
    <w:name w:val="Commentaire Car"/>
    <w:basedOn w:val="Policepardfaut"/>
    <w:link w:val="Commentaire"/>
    <w:uiPriority w:val="99"/>
    <w:semiHidden/>
    <w:rsid w:val="00537739"/>
    <w:rPr>
      <w:sz w:val="20"/>
      <w:szCs w:val="20"/>
    </w:rPr>
  </w:style>
  <w:style w:type="paragraph" w:styleId="Objetducommentaire">
    <w:name w:val="annotation subject"/>
    <w:basedOn w:val="Commentaire"/>
    <w:next w:val="Commentaire"/>
    <w:link w:val="ObjetducommentaireCar"/>
    <w:uiPriority w:val="99"/>
    <w:semiHidden/>
    <w:unhideWhenUsed/>
    <w:rsid w:val="00537739"/>
    <w:rPr>
      <w:b/>
      <w:bCs/>
    </w:rPr>
  </w:style>
  <w:style w:type="character" w:customStyle="1" w:styleId="ObjetducommentaireCar">
    <w:name w:val="Objet du commentaire Car"/>
    <w:basedOn w:val="CommentaireCar"/>
    <w:link w:val="Objetducommentaire"/>
    <w:uiPriority w:val="99"/>
    <w:semiHidden/>
    <w:rsid w:val="00537739"/>
    <w:rPr>
      <w:b/>
      <w:bCs/>
      <w:sz w:val="20"/>
      <w:szCs w:val="20"/>
    </w:rPr>
  </w:style>
  <w:style w:type="paragraph" w:styleId="Textedebulles">
    <w:name w:val="Balloon Text"/>
    <w:basedOn w:val="Normal"/>
    <w:link w:val="TextedebullesCar"/>
    <w:uiPriority w:val="99"/>
    <w:semiHidden/>
    <w:unhideWhenUsed/>
    <w:rsid w:val="0053773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7739"/>
    <w:rPr>
      <w:rFonts w:ascii="Tahoma" w:hAnsi="Tahoma" w:cs="Tahoma"/>
      <w:sz w:val="16"/>
      <w:szCs w:val="16"/>
    </w:rPr>
  </w:style>
  <w:style w:type="character" w:customStyle="1" w:styleId="Titre3Car">
    <w:name w:val="Titre 3 Car"/>
    <w:basedOn w:val="Policepardfaut"/>
    <w:link w:val="Titre3"/>
    <w:uiPriority w:val="9"/>
    <w:rsid w:val="008F1FC1"/>
    <w:rPr>
      <w:rFonts w:ascii="EYInterstate Light" w:hAnsi="EYInterstate Light"/>
      <w:sz w:val="16"/>
      <w:szCs w:val="16"/>
    </w:rPr>
  </w:style>
  <w:style w:type="numbering" w:customStyle="1" w:styleId="ListePP">
    <w:name w:val="Liste PP"/>
    <w:uiPriority w:val="99"/>
    <w:rsid w:val="008F1FC1"/>
    <w:pPr>
      <w:numPr>
        <w:numId w:val="1"/>
      </w:numPr>
    </w:pPr>
  </w:style>
  <w:style w:type="character" w:customStyle="1" w:styleId="Titre2Car">
    <w:name w:val="Titre 2 Car"/>
    <w:basedOn w:val="Policepardfaut"/>
    <w:link w:val="Titre2"/>
    <w:uiPriority w:val="9"/>
    <w:semiHidden/>
    <w:rsid w:val="008F1FC1"/>
    <w:rPr>
      <w:rFonts w:asciiTheme="majorHAnsi" w:eastAsiaTheme="majorEastAsia" w:hAnsiTheme="majorHAnsi" w:cstheme="majorBidi"/>
      <w:b/>
      <w:bCs/>
      <w:color w:val="4F81BD" w:themeColor="accent1"/>
      <w:sz w:val="26"/>
      <w:szCs w:val="26"/>
    </w:rPr>
  </w:style>
  <w:style w:type="paragraph" w:customStyle="1" w:styleId="Bullet">
    <w:name w:val="Bullet"/>
    <w:basedOn w:val="Paragraphedeliste"/>
    <w:qFormat/>
    <w:rsid w:val="00FF105B"/>
    <w:pPr>
      <w:numPr>
        <w:numId w:val="3"/>
      </w:numPr>
      <w:spacing w:line="240" w:lineRule="auto"/>
      <w:contextualSpacing w:val="0"/>
    </w:pPr>
    <w:rPr>
      <w:rFonts w:cs="Arial"/>
      <w:sz w:val="16"/>
      <w:szCs w:val="16"/>
    </w:rPr>
  </w:style>
  <w:style w:type="paragraph" w:styleId="Notedebasdepage">
    <w:name w:val="footnote text"/>
    <w:basedOn w:val="Normal"/>
    <w:link w:val="NotedebasdepageCar"/>
    <w:uiPriority w:val="99"/>
    <w:semiHidden/>
    <w:unhideWhenUsed/>
    <w:rsid w:val="00440BBC"/>
    <w:pPr>
      <w:spacing w:before="0" w:after="0" w:line="240" w:lineRule="auto"/>
    </w:pPr>
    <w:rPr>
      <w:szCs w:val="20"/>
    </w:rPr>
  </w:style>
  <w:style w:type="character" w:customStyle="1" w:styleId="NotedebasdepageCar">
    <w:name w:val="Note de bas de page Car"/>
    <w:basedOn w:val="Policepardfaut"/>
    <w:link w:val="Notedebasdepage"/>
    <w:uiPriority w:val="99"/>
    <w:semiHidden/>
    <w:rsid w:val="00440BBC"/>
    <w:rPr>
      <w:rFonts w:ascii="Arial" w:hAnsi="Arial"/>
      <w:sz w:val="20"/>
      <w:szCs w:val="20"/>
    </w:rPr>
  </w:style>
  <w:style w:type="character" w:styleId="Appelnotedebasdep">
    <w:name w:val="footnote reference"/>
    <w:basedOn w:val="Policepardfaut"/>
    <w:uiPriority w:val="99"/>
    <w:semiHidden/>
    <w:unhideWhenUsed/>
    <w:rsid w:val="00440BBC"/>
    <w:rPr>
      <w:vertAlign w:val="superscript"/>
    </w:rPr>
  </w:style>
  <w:style w:type="paragraph" w:customStyle="1" w:styleId="FINMAStandardAbsatz">
    <w:name w:val="FINMA Standard Absatz"/>
    <w:basedOn w:val="Normal"/>
    <w:qFormat/>
    <w:rsid w:val="00394988"/>
    <w:pPr>
      <w:spacing w:before="260" w:after="260" w:line="260" w:lineRule="atLeast"/>
      <w:jc w:val="both"/>
    </w:pPr>
    <w:rPr>
      <w:rFonts w:eastAsia="Times New Roman" w:cs="Times New Roman"/>
      <w:szCs w:val="20"/>
      <w:lang w:bidi="ar-SA"/>
    </w:rPr>
  </w:style>
  <w:style w:type="paragraph" w:styleId="Rvision">
    <w:name w:val="Revision"/>
    <w:hidden/>
    <w:uiPriority w:val="99"/>
    <w:semiHidden/>
    <w:rsid w:val="009F7152"/>
    <w:pPr>
      <w:spacing w:after="0" w:line="240" w:lineRule="auto"/>
    </w:pPr>
    <w:rPr>
      <w:rFonts w:ascii="Arial" w:hAnsi="Arial"/>
      <w:sz w:val="20"/>
    </w:rPr>
  </w:style>
  <w:style w:type="character" w:customStyle="1" w:styleId="Titre1Car">
    <w:name w:val="Titre 1 Car"/>
    <w:basedOn w:val="Policepardfaut"/>
    <w:link w:val="Titre1"/>
    <w:uiPriority w:val="9"/>
    <w:rsid w:val="007E3CE9"/>
    <w:rPr>
      <w:rFonts w:asciiTheme="majorHAnsi" w:eastAsiaTheme="majorEastAsia" w:hAnsiTheme="majorHAnsi" w:cstheme="majorBidi"/>
      <w:color w:val="365F91" w:themeColor="accent1" w:themeShade="BF"/>
      <w:sz w:val="32"/>
      <w:szCs w:val="32"/>
    </w:rPr>
  </w:style>
  <w:style w:type="paragraph" w:styleId="Corpsdetexte">
    <w:name w:val="Body Text"/>
    <w:basedOn w:val="Normal"/>
    <w:link w:val="CorpsdetexteCar"/>
    <w:unhideWhenUsed/>
    <w:qFormat/>
    <w:rsid w:val="007E3CE9"/>
    <w:pPr>
      <w:spacing w:before="0" w:after="240" w:line="240" w:lineRule="atLeast"/>
    </w:pPr>
    <w:rPr>
      <w:rFonts w:ascii="Georgia" w:hAnsi="Georgia"/>
      <w:szCs w:val="20"/>
      <w:lang w:eastAsia="en-US" w:bidi="ar-SA"/>
    </w:rPr>
  </w:style>
  <w:style w:type="character" w:customStyle="1" w:styleId="CorpsdetexteCar">
    <w:name w:val="Corps de texte Car"/>
    <w:basedOn w:val="Policepardfaut"/>
    <w:link w:val="Corpsdetexte"/>
    <w:rsid w:val="007E3CE9"/>
    <w:rPr>
      <w:rFonts w:ascii="Georgia" w:hAnsi="Georgia"/>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5880">
      <w:bodyDiv w:val="1"/>
      <w:marLeft w:val="0"/>
      <w:marRight w:val="0"/>
      <w:marTop w:val="0"/>
      <w:marBottom w:val="0"/>
      <w:divBdr>
        <w:top w:val="none" w:sz="0" w:space="0" w:color="auto"/>
        <w:left w:val="none" w:sz="0" w:space="0" w:color="auto"/>
        <w:bottom w:val="none" w:sz="0" w:space="0" w:color="auto"/>
        <w:right w:val="none" w:sz="0" w:space="0" w:color="auto"/>
      </w:divBdr>
    </w:div>
    <w:div w:id="30737841">
      <w:bodyDiv w:val="1"/>
      <w:marLeft w:val="0"/>
      <w:marRight w:val="0"/>
      <w:marTop w:val="0"/>
      <w:marBottom w:val="0"/>
      <w:divBdr>
        <w:top w:val="none" w:sz="0" w:space="0" w:color="auto"/>
        <w:left w:val="none" w:sz="0" w:space="0" w:color="auto"/>
        <w:bottom w:val="none" w:sz="0" w:space="0" w:color="auto"/>
        <w:right w:val="none" w:sz="0" w:space="0" w:color="auto"/>
      </w:divBdr>
      <w:divsChild>
        <w:div w:id="2057925266">
          <w:marLeft w:val="418"/>
          <w:marRight w:val="0"/>
          <w:marTop w:val="58"/>
          <w:marBottom w:val="0"/>
          <w:divBdr>
            <w:top w:val="none" w:sz="0" w:space="0" w:color="auto"/>
            <w:left w:val="none" w:sz="0" w:space="0" w:color="auto"/>
            <w:bottom w:val="none" w:sz="0" w:space="0" w:color="auto"/>
            <w:right w:val="none" w:sz="0" w:space="0" w:color="auto"/>
          </w:divBdr>
        </w:div>
      </w:divsChild>
    </w:div>
    <w:div w:id="42294243">
      <w:bodyDiv w:val="1"/>
      <w:marLeft w:val="0"/>
      <w:marRight w:val="0"/>
      <w:marTop w:val="0"/>
      <w:marBottom w:val="0"/>
      <w:divBdr>
        <w:top w:val="none" w:sz="0" w:space="0" w:color="auto"/>
        <w:left w:val="none" w:sz="0" w:space="0" w:color="auto"/>
        <w:bottom w:val="none" w:sz="0" w:space="0" w:color="auto"/>
        <w:right w:val="none" w:sz="0" w:space="0" w:color="auto"/>
      </w:divBdr>
      <w:divsChild>
        <w:div w:id="739642744">
          <w:marLeft w:val="432"/>
          <w:marRight w:val="0"/>
          <w:marTop w:val="58"/>
          <w:marBottom w:val="0"/>
          <w:divBdr>
            <w:top w:val="none" w:sz="0" w:space="0" w:color="auto"/>
            <w:left w:val="none" w:sz="0" w:space="0" w:color="auto"/>
            <w:bottom w:val="none" w:sz="0" w:space="0" w:color="auto"/>
            <w:right w:val="none" w:sz="0" w:space="0" w:color="auto"/>
          </w:divBdr>
        </w:div>
        <w:div w:id="1338078846">
          <w:marLeft w:val="432"/>
          <w:marRight w:val="0"/>
          <w:marTop w:val="58"/>
          <w:marBottom w:val="0"/>
          <w:divBdr>
            <w:top w:val="none" w:sz="0" w:space="0" w:color="auto"/>
            <w:left w:val="none" w:sz="0" w:space="0" w:color="auto"/>
            <w:bottom w:val="none" w:sz="0" w:space="0" w:color="auto"/>
            <w:right w:val="none" w:sz="0" w:space="0" w:color="auto"/>
          </w:divBdr>
        </w:div>
        <w:div w:id="1649675989">
          <w:marLeft w:val="432"/>
          <w:marRight w:val="0"/>
          <w:marTop w:val="58"/>
          <w:marBottom w:val="0"/>
          <w:divBdr>
            <w:top w:val="none" w:sz="0" w:space="0" w:color="auto"/>
            <w:left w:val="none" w:sz="0" w:space="0" w:color="auto"/>
            <w:bottom w:val="none" w:sz="0" w:space="0" w:color="auto"/>
            <w:right w:val="none" w:sz="0" w:space="0" w:color="auto"/>
          </w:divBdr>
        </w:div>
      </w:divsChild>
    </w:div>
    <w:div w:id="68619808">
      <w:bodyDiv w:val="1"/>
      <w:marLeft w:val="0"/>
      <w:marRight w:val="0"/>
      <w:marTop w:val="0"/>
      <w:marBottom w:val="0"/>
      <w:divBdr>
        <w:top w:val="none" w:sz="0" w:space="0" w:color="auto"/>
        <w:left w:val="none" w:sz="0" w:space="0" w:color="auto"/>
        <w:bottom w:val="none" w:sz="0" w:space="0" w:color="auto"/>
        <w:right w:val="none" w:sz="0" w:space="0" w:color="auto"/>
      </w:divBdr>
    </w:div>
    <w:div w:id="71702435">
      <w:bodyDiv w:val="1"/>
      <w:marLeft w:val="0"/>
      <w:marRight w:val="0"/>
      <w:marTop w:val="0"/>
      <w:marBottom w:val="0"/>
      <w:divBdr>
        <w:top w:val="none" w:sz="0" w:space="0" w:color="auto"/>
        <w:left w:val="none" w:sz="0" w:space="0" w:color="auto"/>
        <w:bottom w:val="none" w:sz="0" w:space="0" w:color="auto"/>
        <w:right w:val="none" w:sz="0" w:space="0" w:color="auto"/>
      </w:divBdr>
      <w:divsChild>
        <w:div w:id="471140222">
          <w:marLeft w:val="432"/>
          <w:marRight w:val="0"/>
          <w:marTop w:val="58"/>
          <w:marBottom w:val="0"/>
          <w:divBdr>
            <w:top w:val="none" w:sz="0" w:space="0" w:color="auto"/>
            <w:left w:val="none" w:sz="0" w:space="0" w:color="auto"/>
            <w:bottom w:val="none" w:sz="0" w:space="0" w:color="auto"/>
            <w:right w:val="none" w:sz="0" w:space="0" w:color="auto"/>
          </w:divBdr>
        </w:div>
        <w:div w:id="1281036527">
          <w:marLeft w:val="432"/>
          <w:marRight w:val="0"/>
          <w:marTop w:val="58"/>
          <w:marBottom w:val="0"/>
          <w:divBdr>
            <w:top w:val="none" w:sz="0" w:space="0" w:color="auto"/>
            <w:left w:val="none" w:sz="0" w:space="0" w:color="auto"/>
            <w:bottom w:val="none" w:sz="0" w:space="0" w:color="auto"/>
            <w:right w:val="none" w:sz="0" w:space="0" w:color="auto"/>
          </w:divBdr>
        </w:div>
      </w:divsChild>
    </w:div>
    <w:div w:id="90663847">
      <w:bodyDiv w:val="1"/>
      <w:marLeft w:val="0"/>
      <w:marRight w:val="0"/>
      <w:marTop w:val="0"/>
      <w:marBottom w:val="0"/>
      <w:divBdr>
        <w:top w:val="none" w:sz="0" w:space="0" w:color="auto"/>
        <w:left w:val="none" w:sz="0" w:space="0" w:color="auto"/>
        <w:bottom w:val="none" w:sz="0" w:space="0" w:color="auto"/>
        <w:right w:val="none" w:sz="0" w:space="0" w:color="auto"/>
      </w:divBdr>
    </w:div>
    <w:div w:id="123082288">
      <w:bodyDiv w:val="1"/>
      <w:marLeft w:val="0"/>
      <w:marRight w:val="0"/>
      <w:marTop w:val="0"/>
      <w:marBottom w:val="0"/>
      <w:divBdr>
        <w:top w:val="none" w:sz="0" w:space="0" w:color="auto"/>
        <w:left w:val="none" w:sz="0" w:space="0" w:color="auto"/>
        <w:bottom w:val="none" w:sz="0" w:space="0" w:color="auto"/>
        <w:right w:val="none" w:sz="0" w:space="0" w:color="auto"/>
      </w:divBdr>
    </w:div>
    <w:div w:id="125586073">
      <w:bodyDiv w:val="1"/>
      <w:marLeft w:val="0"/>
      <w:marRight w:val="0"/>
      <w:marTop w:val="0"/>
      <w:marBottom w:val="0"/>
      <w:divBdr>
        <w:top w:val="none" w:sz="0" w:space="0" w:color="auto"/>
        <w:left w:val="none" w:sz="0" w:space="0" w:color="auto"/>
        <w:bottom w:val="none" w:sz="0" w:space="0" w:color="auto"/>
        <w:right w:val="none" w:sz="0" w:space="0" w:color="auto"/>
      </w:divBdr>
    </w:div>
    <w:div w:id="177931490">
      <w:bodyDiv w:val="1"/>
      <w:marLeft w:val="0"/>
      <w:marRight w:val="0"/>
      <w:marTop w:val="0"/>
      <w:marBottom w:val="0"/>
      <w:divBdr>
        <w:top w:val="none" w:sz="0" w:space="0" w:color="auto"/>
        <w:left w:val="none" w:sz="0" w:space="0" w:color="auto"/>
        <w:bottom w:val="none" w:sz="0" w:space="0" w:color="auto"/>
        <w:right w:val="none" w:sz="0" w:space="0" w:color="auto"/>
      </w:divBdr>
    </w:div>
    <w:div w:id="280956940">
      <w:bodyDiv w:val="1"/>
      <w:marLeft w:val="0"/>
      <w:marRight w:val="0"/>
      <w:marTop w:val="0"/>
      <w:marBottom w:val="0"/>
      <w:divBdr>
        <w:top w:val="none" w:sz="0" w:space="0" w:color="auto"/>
        <w:left w:val="none" w:sz="0" w:space="0" w:color="auto"/>
        <w:bottom w:val="none" w:sz="0" w:space="0" w:color="auto"/>
        <w:right w:val="none" w:sz="0" w:space="0" w:color="auto"/>
      </w:divBdr>
    </w:div>
    <w:div w:id="293491175">
      <w:bodyDiv w:val="1"/>
      <w:marLeft w:val="0"/>
      <w:marRight w:val="0"/>
      <w:marTop w:val="0"/>
      <w:marBottom w:val="0"/>
      <w:divBdr>
        <w:top w:val="none" w:sz="0" w:space="0" w:color="auto"/>
        <w:left w:val="none" w:sz="0" w:space="0" w:color="auto"/>
        <w:bottom w:val="none" w:sz="0" w:space="0" w:color="auto"/>
        <w:right w:val="none" w:sz="0" w:space="0" w:color="auto"/>
      </w:divBdr>
    </w:div>
    <w:div w:id="297489780">
      <w:bodyDiv w:val="1"/>
      <w:marLeft w:val="0"/>
      <w:marRight w:val="0"/>
      <w:marTop w:val="0"/>
      <w:marBottom w:val="0"/>
      <w:divBdr>
        <w:top w:val="none" w:sz="0" w:space="0" w:color="auto"/>
        <w:left w:val="none" w:sz="0" w:space="0" w:color="auto"/>
        <w:bottom w:val="none" w:sz="0" w:space="0" w:color="auto"/>
        <w:right w:val="none" w:sz="0" w:space="0" w:color="auto"/>
      </w:divBdr>
      <w:divsChild>
        <w:div w:id="359933130">
          <w:marLeft w:val="432"/>
          <w:marRight w:val="0"/>
          <w:marTop w:val="58"/>
          <w:marBottom w:val="0"/>
          <w:divBdr>
            <w:top w:val="none" w:sz="0" w:space="0" w:color="auto"/>
            <w:left w:val="none" w:sz="0" w:space="0" w:color="auto"/>
            <w:bottom w:val="none" w:sz="0" w:space="0" w:color="auto"/>
            <w:right w:val="none" w:sz="0" w:space="0" w:color="auto"/>
          </w:divBdr>
        </w:div>
        <w:div w:id="815493573">
          <w:marLeft w:val="432"/>
          <w:marRight w:val="0"/>
          <w:marTop w:val="58"/>
          <w:marBottom w:val="0"/>
          <w:divBdr>
            <w:top w:val="none" w:sz="0" w:space="0" w:color="auto"/>
            <w:left w:val="none" w:sz="0" w:space="0" w:color="auto"/>
            <w:bottom w:val="none" w:sz="0" w:space="0" w:color="auto"/>
            <w:right w:val="none" w:sz="0" w:space="0" w:color="auto"/>
          </w:divBdr>
        </w:div>
        <w:div w:id="1498570818">
          <w:marLeft w:val="432"/>
          <w:marRight w:val="0"/>
          <w:marTop w:val="58"/>
          <w:marBottom w:val="0"/>
          <w:divBdr>
            <w:top w:val="none" w:sz="0" w:space="0" w:color="auto"/>
            <w:left w:val="none" w:sz="0" w:space="0" w:color="auto"/>
            <w:bottom w:val="none" w:sz="0" w:space="0" w:color="auto"/>
            <w:right w:val="none" w:sz="0" w:space="0" w:color="auto"/>
          </w:divBdr>
        </w:div>
        <w:div w:id="1889225660">
          <w:marLeft w:val="432"/>
          <w:marRight w:val="0"/>
          <w:marTop w:val="58"/>
          <w:marBottom w:val="0"/>
          <w:divBdr>
            <w:top w:val="none" w:sz="0" w:space="0" w:color="auto"/>
            <w:left w:val="none" w:sz="0" w:space="0" w:color="auto"/>
            <w:bottom w:val="none" w:sz="0" w:space="0" w:color="auto"/>
            <w:right w:val="none" w:sz="0" w:space="0" w:color="auto"/>
          </w:divBdr>
        </w:div>
        <w:div w:id="1927498233">
          <w:marLeft w:val="432"/>
          <w:marRight w:val="0"/>
          <w:marTop w:val="58"/>
          <w:marBottom w:val="0"/>
          <w:divBdr>
            <w:top w:val="none" w:sz="0" w:space="0" w:color="auto"/>
            <w:left w:val="none" w:sz="0" w:space="0" w:color="auto"/>
            <w:bottom w:val="none" w:sz="0" w:space="0" w:color="auto"/>
            <w:right w:val="none" w:sz="0" w:space="0" w:color="auto"/>
          </w:divBdr>
        </w:div>
      </w:divsChild>
    </w:div>
    <w:div w:id="328094094">
      <w:bodyDiv w:val="1"/>
      <w:marLeft w:val="0"/>
      <w:marRight w:val="0"/>
      <w:marTop w:val="0"/>
      <w:marBottom w:val="0"/>
      <w:divBdr>
        <w:top w:val="none" w:sz="0" w:space="0" w:color="auto"/>
        <w:left w:val="none" w:sz="0" w:space="0" w:color="auto"/>
        <w:bottom w:val="none" w:sz="0" w:space="0" w:color="auto"/>
        <w:right w:val="none" w:sz="0" w:space="0" w:color="auto"/>
      </w:divBdr>
      <w:divsChild>
        <w:div w:id="1181702234">
          <w:marLeft w:val="418"/>
          <w:marRight w:val="0"/>
          <w:marTop w:val="58"/>
          <w:marBottom w:val="0"/>
          <w:divBdr>
            <w:top w:val="none" w:sz="0" w:space="0" w:color="auto"/>
            <w:left w:val="none" w:sz="0" w:space="0" w:color="auto"/>
            <w:bottom w:val="none" w:sz="0" w:space="0" w:color="auto"/>
            <w:right w:val="none" w:sz="0" w:space="0" w:color="auto"/>
          </w:divBdr>
        </w:div>
      </w:divsChild>
    </w:div>
    <w:div w:id="345640656">
      <w:bodyDiv w:val="1"/>
      <w:marLeft w:val="0"/>
      <w:marRight w:val="0"/>
      <w:marTop w:val="0"/>
      <w:marBottom w:val="0"/>
      <w:divBdr>
        <w:top w:val="none" w:sz="0" w:space="0" w:color="auto"/>
        <w:left w:val="none" w:sz="0" w:space="0" w:color="auto"/>
        <w:bottom w:val="none" w:sz="0" w:space="0" w:color="auto"/>
        <w:right w:val="none" w:sz="0" w:space="0" w:color="auto"/>
      </w:divBdr>
      <w:divsChild>
        <w:div w:id="463931764">
          <w:marLeft w:val="432"/>
          <w:marRight w:val="0"/>
          <w:marTop w:val="58"/>
          <w:marBottom w:val="0"/>
          <w:divBdr>
            <w:top w:val="none" w:sz="0" w:space="0" w:color="auto"/>
            <w:left w:val="none" w:sz="0" w:space="0" w:color="auto"/>
            <w:bottom w:val="none" w:sz="0" w:space="0" w:color="auto"/>
            <w:right w:val="none" w:sz="0" w:space="0" w:color="auto"/>
          </w:divBdr>
        </w:div>
        <w:div w:id="735738843">
          <w:marLeft w:val="432"/>
          <w:marRight w:val="0"/>
          <w:marTop w:val="58"/>
          <w:marBottom w:val="0"/>
          <w:divBdr>
            <w:top w:val="none" w:sz="0" w:space="0" w:color="auto"/>
            <w:left w:val="none" w:sz="0" w:space="0" w:color="auto"/>
            <w:bottom w:val="none" w:sz="0" w:space="0" w:color="auto"/>
            <w:right w:val="none" w:sz="0" w:space="0" w:color="auto"/>
          </w:divBdr>
        </w:div>
        <w:div w:id="1301033582">
          <w:marLeft w:val="432"/>
          <w:marRight w:val="0"/>
          <w:marTop w:val="58"/>
          <w:marBottom w:val="0"/>
          <w:divBdr>
            <w:top w:val="none" w:sz="0" w:space="0" w:color="auto"/>
            <w:left w:val="none" w:sz="0" w:space="0" w:color="auto"/>
            <w:bottom w:val="none" w:sz="0" w:space="0" w:color="auto"/>
            <w:right w:val="none" w:sz="0" w:space="0" w:color="auto"/>
          </w:divBdr>
        </w:div>
        <w:div w:id="1648779535">
          <w:marLeft w:val="432"/>
          <w:marRight w:val="0"/>
          <w:marTop w:val="58"/>
          <w:marBottom w:val="0"/>
          <w:divBdr>
            <w:top w:val="none" w:sz="0" w:space="0" w:color="auto"/>
            <w:left w:val="none" w:sz="0" w:space="0" w:color="auto"/>
            <w:bottom w:val="none" w:sz="0" w:space="0" w:color="auto"/>
            <w:right w:val="none" w:sz="0" w:space="0" w:color="auto"/>
          </w:divBdr>
        </w:div>
      </w:divsChild>
    </w:div>
    <w:div w:id="366836034">
      <w:bodyDiv w:val="1"/>
      <w:marLeft w:val="0"/>
      <w:marRight w:val="0"/>
      <w:marTop w:val="0"/>
      <w:marBottom w:val="0"/>
      <w:divBdr>
        <w:top w:val="none" w:sz="0" w:space="0" w:color="auto"/>
        <w:left w:val="none" w:sz="0" w:space="0" w:color="auto"/>
        <w:bottom w:val="none" w:sz="0" w:space="0" w:color="auto"/>
        <w:right w:val="none" w:sz="0" w:space="0" w:color="auto"/>
      </w:divBdr>
      <w:divsChild>
        <w:div w:id="837843807">
          <w:marLeft w:val="418"/>
          <w:marRight w:val="0"/>
          <w:marTop w:val="58"/>
          <w:marBottom w:val="0"/>
          <w:divBdr>
            <w:top w:val="none" w:sz="0" w:space="0" w:color="auto"/>
            <w:left w:val="none" w:sz="0" w:space="0" w:color="auto"/>
            <w:bottom w:val="none" w:sz="0" w:space="0" w:color="auto"/>
            <w:right w:val="none" w:sz="0" w:space="0" w:color="auto"/>
          </w:divBdr>
        </w:div>
        <w:div w:id="965740362">
          <w:marLeft w:val="418"/>
          <w:marRight w:val="0"/>
          <w:marTop w:val="58"/>
          <w:marBottom w:val="0"/>
          <w:divBdr>
            <w:top w:val="none" w:sz="0" w:space="0" w:color="auto"/>
            <w:left w:val="none" w:sz="0" w:space="0" w:color="auto"/>
            <w:bottom w:val="none" w:sz="0" w:space="0" w:color="auto"/>
            <w:right w:val="none" w:sz="0" w:space="0" w:color="auto"/>
          </w:divBdr>
        </w:div>
        <w:div w:id="996422628">
          <w:marLeft w:val="418"/>
          <w:marRight w:val="0"/>
          <w:marTop w:val="58"/>
          <w:marBottom w:val="0"/>
          <w:divBdr>
            <w:top w:val="none" w:sz="0" w:space="0" w:color="auto"/>
            <w:left w:val="none" w:sz="0" w:space="0" w:color="auto"/>
            <w:bottom w:val="none" w:sz="0" w:space="0" w:color="auto"/>
            <w:right w:val="none" w:sz="0" w:space="0" w:color="auto"/>
          </w:divBdr>
        </w:div>
      </w:divsChild>
    </w:div>
    <w:div w:id="368604420">
      <w:bodyDiv w:val="1"/>
      <w:marLeft w:val="0"/>
      <w:marRight w:val="0"/>
      <w:marTop w:val="0"/>
      <w:marBottom w:val="0"/>
      <w:divBdr>
        <w:top w:val="none" w:sz="0" w:space="0" w:color="auto"/>
        <w:left w:val="none" w:sz="0" w:space="0" w:color="auto"/>
        <w:bottom w:val="none" w:sz="0" w:space="0" w:color="auto"/>
        <w:right w:val="none" w:sz="0" w:space="0" w:color="auto"/>
      </w:divBdr>
    </w:div>
    <w:div w:id="382873272">
      <w:bodyDiv w:val="1"/>
      <w:marLeft w:val="0"/>
      <w:marRight w:val="0"/>
      <w:marTop w:val="0"/>
      <w:marBottom w:val="0"/>
      <w:divBdr>
        <w:top w:val="none" w:sz="0" w:space="0" w:color="auto"/>
        <w:left w:val="none" w:sz="0" w:space="0" w:color="auto"/>
        <w:bottom w:val="none" w:sz="0" w:space="0" w:color="auto"/>
        <w:right w:val="none" w:sz="0" w:space="0" w:color="auto"/>
      </w:divBdr>
    </w:div>
    <w:div w:id="387387199">
      <w:bodyDiv w:val="1"/>
      <w:marLeft w:val="0"/>
      <w:marRight w:val="0"/>
      <w:marTop w:val="0"/>
      <w:marBottom w:val="0"/>
      <w:divBdr>
        <w:top w:val="none" w:sz="0" w:space="0" w:color="auto"/>
        <w:left w:val="none" w:sz="0" w:space="0" w:color="auto"/>
        <w:bottom w:val="none" w:sz="0" w:space="0" w:color="auto"/>
        <w:right w:val="none" w:sz="0" w:space="0" w:color="auto"/>
      </w:divBdr>
    </w:div>
    <w:div w:id="427583560">
      <w:bodyDiv w:val="1"/>
      <w:marLeft w:val="0"/>
      <w:marRight w:val="0"/>
      <w:marTop w:val="0"/>
      <w:marBottom w:val="0"/>
      <w:divBdr>
        <w:top w:val="none" w:sz="0" w:space="0" w:color="auto"/>
        <w:left w:val="none" w:sz="0" w:space="0" w:color="auto"/>
        <w:bottom w:val="none" w:sz="0" w:space="0" w:color="auto"/>
        <w:right w:val="none" w:sz="0" w:space="0" w:color="auto"/>
      </w:divBdr>
    </w:div>
    <w:div w:id="450591571">
      <w:bodyDiv w:val="1"/>
      <w:marLeft w:val="0"/>
      <w:marRight w:val="0"/>
      <w:marTop w:val="0"/>
      <w:marBottom w:val="0"/>
      <w:divBdr>
        <w:top w:val="none" w:sz="0" w:space="0" w:color="auto"/>
        <w:left w:val="none" w:sz="0" w:space="0" w:color="auto"/>
        <w:bottom w:val="none" w:sz="0" w:space="0" w:color="auto"/>
        <w:right w:val="none" w:sz="0" w:space="0" w:color="auto"/>
      </w:divBdr>
    </w:div>
    <w:div w:id="472987724">
      <w:bodyDiv w:val="1"/>
      <w:marLeft w:val="0"/>
      <w:marRight w:val="0"/>
      <w:marTop w:val="0"/>
      <w:marBottom w:val="0"/>
      <w:divBdr>
        <w:top w:val="none" w:sz="0" w:space="0" w:color="auto"/>
        <w:left w:val="none" w:sz="0" w:space="0" w:color="auto"/>
        <w:bottom w:val="none" w:sz="0" w:space="0" w:color="auto"/>
        <w:right w:val="none" w:sz="0" w:space="0" w:color="auto"/>
      </w:divBdr>
    </w:div>
    <w:div w:id="530383679">
      <w:bodyDiv w:val="1"/>
      <w:marLeft w:val="0"/>
      <w:marRight w:val="0"/>
      <w:marTop w:val="0"/>
      <w:marBottom w:val="0"/>
      <w:divBdr>
        <w:top w:val="none" w:sz="0" w:space="0" w:color="auto"/>
        <w:left w:val="none" w:sz="0" w:space="0" w:color="auto"/>
        <w:bottom w:val="none" w:sz="0" w:space="0" w:color="auto"/>
        <w:right w:val="none" w:sz="0" w:space="0" w:color="auto"/>
      </w:divBdr>
      <w:divsChild>
        <w:div w:id="619604077">
          <w:marLeft w:val="418"/>
          <w:marRight w:val="0"/>
          <w:marTop w:val="58"/>
          <w:marBottom w:val="0"/>
          <w:divBdr>
            <w:top w:val="none" w:sz="0" w:space="0" w:color="auto"/>
            <w:left w:val="none" w:sz="0" w:space="0" w:color="auto"/>
            <w:bottom w:val="none" w:sz="0" w:space="0" w:color="auto"/>
            <w:right w:val="none" w:sz="0" w:space="0" w:color="auto"/>
          </w:divBdr>
        </w:div>
        <w:div w:id="1060862607">
          <w:marLeft w:val="418"/>
          <w:marRight w:val="0"/>
          <w:marTop w:val="58"/>
          <w:marBottom w:val="0"/>
          <w:divBdr>
            <w:top w:val="none" w:sz="0" w:space="0" w:color="auto"/>
            <w:left w:val="none" w:sz="0" w:space="0" w:color="auto"/>
            <w:bottom w:val="none" w:sz="0" w:space="0" w:color="auto"/>
            <w:right w:val="none" w:sz="0" w:space="0" w:color="auto"/>
          </w:divBdr>
        </w:div>
        <w:div w:id="1573158752">
          <w:marLeft w:val="418"/>
          <w:marRight w:val="0"/>
          <w:marTop w:val="58"/>
          <w:marBottom w:val="0"/>
          <w:divBdr>
            <w:top w:val="none" w:sz="0" w:space="0" w:color="auto"/>
            <w:left w:val="none" w:sz="0" w:space="0" w:color="auto"/>
            <w:bottom w:val="none" w:sz="0" w:space="0" w:color="auto"/>
            <w:right w:val="none" w:sz="0" w:space="0" w:color="auto"/>
          </w:divBdr>
        </w:div>
        <w:div w:id="2020766539">
          <w:marLeft w:val="418"/>
          <w:marRight w:val="0"/>
          <w:marTop w:val="58"/>
          <w:marBottom w:val="0"/>
          <w:divBdr>
            <w:top w:val="none" w:sz="0" w:space="0" w:color="auto"/>
            <w:left w:val="none" w:sz="0" w:space="0" w:color="auto"/>
            <w:bottom w:val="none" w:sz="0" w:space="0" w:color="auto"/>
            <w:right w:val="none" w:sz="0" w:space="0" w:color="auto"/>
          </w:divBdr>
        </w:div>
      </w:divsChild>
    </w:div>
    <w:div w:id="531695403">
      <w:bodyDiv w:val="1"/>
      <w:marLeft w:val="0"/>
      <w:marRight w:val="0"/>
      <w:marTop w:val="0"/>
      <w:marBottom w:val="0"/>
      <w:divBdr>
        <w:top w:val="none" w:sz="0" w:space="0" w:color="auto"/>
        <w:left w:val="none" w:sz="0" w:space="0" w:color="auto"/>
        <w:bottom w:val="none" w:sz="0" w:space="0" w:color="auto"/>
        <w:right w:val="none" w:sz="0" w:space="0" w:color="auto"/>
      </w:divBdr>
    </w:div>
    <w:div w:id="540441930">
      <w:bodyDiv w:val="1"/>
      <w:marLeft w:val="0"/>
      <w:marRight w:val="0"/>
      <w:marTop w:val="0"/>
      <w:marBottom w:val="0"/>
      <w:divBdr>
        <w:top w:val="none" w:sz="0" w:space="0" w:color="auto"/>
        <w:left w:val="none" w:sz="0" w:space="0" w:color="auto"/>
        <w:bottom w:val="none" w:sz="0" w:space="0" w:color="auto"/>
        <w:right w:val="none" w:sz="0" w:space="0" w:color="auto"/>
      </w:divBdr>
      <w:divsChild>
        <w:div w:id="1881168710">
          <w:marLeft w:val="418"/>
          <w:marRight w:val="0"/>
          <w:marTop w:val="58"/>
          <w:marBottom w:val="0"/>
          <w:divBdr>
            <w:top w:val="none" w:sz="0" w:space="0" w:color="auto"/>
            <w:left w:val="none" w:sz="0" w:space="0" w:color="auto"/>
            <w:bottom w:val="none" w:sz="0" w:space="0" w:color="auto"/>
            <w:right w:val="none" w:sz="0" w:space="0" w:color="auto"/>
          </w:divBdr>
        </w:div>
      </w:divsChild>
    </w:div>
    <w:div w:id="590436634">
      <w:bodyDiv w:val="1"/>
      <w:marLeft w:val="0"/>
      <w:marRight w:val="0"/>
      <w:marTop w:val="0"/>
      <w:marBottom w:val="0"/>
      <w:divBdr>
        <w:top w:val="none" w:sz="0" w:space="0" w:color="auto"/>
        <w:left w:val="none" w:sz="0" w:space="0" w:color="auto"/>
        <w:bottom w:val="none" w:sz="0" w:space="0" w:color="auto"/>
        <w:right w:val="none" w:sz="0" w:space="0" w:color="auto"/>
      </w:divBdr>
      <w:divsChild>
        <w:div w:id="281693178">
          <w:marLeft w:val="432"/>
          <w:marRight w:val="0"/>
          <w:marTop w:val="58"/>
          <w:marBottom w:val="0"/>
          <w:divBdr>
            <w:top w:val="none" w:sz="0" w:space="0" w:color="auto"/>
            <w:left w:val="none" w:sz="0" w:space="0" w:color="auto"/>
            <w:bottom w:val="none" w:sz="0" w:space="0" w:color="auto"/>
            <w:right w:val="none" w:sz="0" w:space="0" w:color="auto"/>
          </w:divBdr>
        </w:div>
        <w:div w:id="319384952">
          <w:marLeft w:val="432"/>
          <w:marRight w:val="0"/>
          <w:marTop w:val="58"/>
          <w:marBottom w:val="0"/>
          <w:divBdr>
            <w:top w:val="none" w:sz="0" w:space="0" w:color="auto"/>
            <w:left w:val="none" w:sz="0" w:space="0" w:color="auto"/>
            <w:bottom w:val="none" w:sz="0" w:space="0" w:color="auto"/>
            <w:right w:val="none" w:sz="0" w:space="0" w:color="auto"/>
          </w:divBdr>
        </w:div>
        <w:div w:id="592477209">
          <w:marLeft w:val="432"/>
          <w:marRight w:val="0"/>
          <w:marTop w:val="58"/>
          <w:marBottom w:val="0"/>
          <w:divBdr>
            <w:top w:val="none" w:sz="0" w:space="0" w:color="auto"/>
            <w:left w:val="none" w:sz="0" w:space="0" w:color="auto"/>
            <w:bottom w:val="none" w:sz="0" w:space="0" w:color="auto"/>
            <w:right w:val="none" w:sz="0" w:space="0" w:color="auto"/>
          </w:divBdr>
        </w:div>
        <w:div w:id="618336558">
          <w:marLeft w:val="432"/>
          <w:marRight w:val="0"/>
          <w:marTop w:val="58"/>
          <w:marBottom w:val="0"/>
          <w:divBdr>
            <w:top w:val="none" w:sz="0" w:space="0" w:color="auto"/>
            <w:left w:val="none" w:sz="0" w:space="0" w:color="auto"/>
            <w:bottom w:val="none" w:sz="0" w:space="0" w:color="auto"/>
            <w:right w:val="none" w:sz="0" w:space="0" w:color="auto"/>
          </w:divBdr>
        </w:div>
        <w:div w:id="739055942">
          <w:marLeft w:val="432"/>
          <w:marRight w:val="0"/>
          <w:marTop w:val="58"/>
          <w:marBottom w:val="0"/>
          <w:divBdr>
            <w:top w:val="none" w:sz="0" w:space="0" w:color="auto"/>
            <w:left w:val="none" w:sz="0" w:space="0" w:color="auto"/>
            <w:bottom w:val="none" w:sz="0" w:space="0" w:color="auto"/>
            <w:right w:val="none" w:sz="0" w:space="0" w:color="auto"/>
          </w:divBdr>
        </w:div>
        <w:div w:id="1218471147">
          <w:marLeft w:val="432"/>
          <w:marRight w:val="0"/>
          <w:marTop w:val="58"/>
          <w:marBottom w:val="0"/>
          <w:divBdr>
            <w:top w:val="none" w:sz="0" w:space="0" w:color="auto"/>
            <w:left w:val="none" w:sz="0" w:space="0" w:color="auto"/>
            <w:bottom w:val="none" w:sz="0" w:space="0" w:color="auto"/>
            <w:right w:val="none" w:sz="0" w:space="0" w:color="auto"/>
          </w:divBdr>
        </w:div>
        <w:div w:id="1250702205">
          <w:marLeft w:val="432"/>
          <w:marRight w:val="0"/>
          <w:marTop w:val="58"/>
          <w:marBottom w:val="0"/>
          <w:divBdr>
            <w:top w:val="none" w:sz="0" w:space="0" w:color="auto"/>
            <w:left w:val="none" w:sz="0" w:space="0" w:color="auto"/>
            <w:bottom w:val="none" w:sz="0" w:space="0" w:color="auto"/>
            <w:right w:val="none" w:sz="0" w:space="0" w:color="auto"/>
          </w:divBdr>
        </w:div>
        <w:div w:id="1269463389">
          <w:marLeft w:val="432"/>
          <w:marRight w:val="0"/>
          <w:marTop w:val="58"/>
          <w:marBottom w:val="0"/>
          <w:divBdr>
            <w:top w:val="none" w:sz="0" w:space="0" w:color="auto"/>
            <w:left w:val="none" w:sz="0" w:space="0" w:color="auto"/>
            <w:bottom w:val="none" w:sz="0" w:space="0" w:color="auto"/>
            <w:right w:val="none" w:sz="0" w:space="0" w:color="auto"/>
          </w:divBdr>
        </w:div>
        <w:div w:id="1567254523">
          <w:marLeft w:val="432"/>
          <w:marRight w:val="0"/>
          <w:marTop w:val="58"/>
          <w:marBottom w:val="0"/>
          <w:divBdr>
            <w:top w:val="none" w:sz="0" w:space="0" w:color="auto"/>
            <w:left w:val="none" w:sz="0" w:space="0" w:color="auto"/>
            <w:bottom w:val="none" w:sz="0" w:space="0" w:color="auto"/>
            <w:right w:val="none" w:sz="0" w:space="0" w:color="auto"/>
          </w:divBdr>
        </w:div>
        <w:div w:id="1777675249">
          <w:marLeft w:val="432"/>
          <w:marRight w:val="0"/>
          <w:marTop w:val="58"/>
          <w:marBottom w:val="0"/>
          <w:divBdr>
            <w:top w:val="none" w:sz="0" w:space="0" w:color="auto"/>
            <w:left w:val="none" w:sz="0" w:space="0" w:color="auto"/>
            <w:bottom w:val="none" w:sz="0" w:space="0" w:color="auto"/>
            <w:right w:val="none" w:sz="0" w:space="0" w:color="auto"/>
          </w:divBdr>
        </w:div>
      </w:divsChild>
    </w:div>
    <w:div w:id="607354699">
      <w:bodyDiv w:val="1"/>
      <w:marLeft w:val="0"/>
      <w:marRight w:val="0"/>
      <w:marTop w:val="0"/>
      <w:marBottom w:val="0"/>
      <w:divBdr>
        <w:top w:val="none" w:sz="0" w:space="0" w:color="auto"/>
        <w:left w:val="none" w:sz="0" w:space="0" w:color="auto"/>
        <w:bottom w:val="none" w:sz="0" w:space="0" w:color="auto"/>
        <w:right w:val="none" w:sz="0" w:space="0" w:color="auto"/>
      </w:divBdr>
      <w:divsChild>
        <w:div w:id="1964387892">
          <w:marLeft w:val="418"/>
          <w:marRight w:val="0"/>
          <w:marTop w:val="58"/>
          <w:marBottom w:val="0"/>
          <w:divBdr>
            <w:top w:val="none" w:sz="0" w:space="0" w:color="auto"/>
            <w:left w:val="none" w:sz="0" w:space="0" w:color="auto"/>
            <w:bottom w:val="none" w:sz="0" w:space="0" w:color="auto"/>
            <w:right w:val="none" w:sz="0" w:space="0" w:color="auto"/>
          </w:divBdr>
        </w:div>
      </w:divsChild>
    </w:div>
    <w:div w:id="624655975">
      <w:bodyDiv w:val="1"/>
      <w:marLeft w:val="0"/>
      <w:marRight w:val="0"/>
      <w:marTop w:val="0"/>
      <w:marBottom w:val="0"/>
      <w:divBdr>
        <w:top w:val="none" w:sz="0" w:space="0" w:color="auto"/>
        <w:left w:val="none" w:sz="0" w:space="0" w:color="auto"/>
        <w:bottom w:val="none" w:sz="0" w:space="0" w:color="auto"/>
        <w:right w:val="none" w:sz="0" w:space="0" w:color="auto"/>
      </w:divBdr>
    </w:div>
    <w:div w:id="635188066">
      <w:bodyDiv w:val="1"/>
      <w:marLeft w:val="0"/>
      <w:marRight w:val="0"/>
      <w:marTop w:val="0"/>
      <w:marBottom w:val="0"/>
      <w:divBdr>
        <w:top w:val="none" w:sz="0" w:space="0" w:color="auto"/>
        <w:left w:val="none" w:sz="0" w:space="0" w:color="auto"/>
        <w:bottom w:val="none" w:sz="0" w:space="0" w:color="auto"/>
        <w:right w:val="none" w:sz="0" w:space="0" w:color="auto"/>
      </w:divBdr>
    </w:div>
    <w:div w:id="668599437">
      <w:bodyDiv w:val="1"/>
      <w:marLeft w:val="0"/>
      <w:marRight w:val="0"/>
      <w:marTop w:val="0"/>
      <w:marBottom w:val="0"/>
      <w:divBdr>
        <w:top w:val="none" w:sz="0" w:space="0" w:color="auto"/>
        <w:left w:val="none" w:sz="0" w:space="0" w:color="auto"/>
        <w:bottom w:val="none" w:sz="0" w:space="0" w:color="auto"/>
        <w:right w:val="none" w:sz="0" w:space="0" w:color="auto"/>
      </w:divBdr>
    </w:div>
    <w:div w:id="696392133">
      <w:bodyDiv w:val="1"/>
      <w:marLeft w:val="0"/>
      <w:marRight w:val="0"/>
      <w:marTop w:val="0"/>
      <w:marBottom w:val="0"/>
      <w:divBdr>
        <w:top w:val="none" w:sz="0" w:space="0" w:color="auto"/>
        <w:left w:val="none" w:sz="0" w:space="0" w:color="auto"/>
        <w:bottom w:val="none" w:sz="0" w:space="0" w:color="auto"/>
        <w:right w:val="none" w:sz="0" w:space="0" w:color="auto"/>
      </w:divBdr>
      <w:divsChild>
        <w:div w:id="657995617">
          <w:marLeft w:val="418"/>
          <w:marRight w:val="0"/>
          <w:marTop w:val="58"/>
          <w:marBottom w:val="0"/>
          <w:divBdr>
            <w:top w:val="none" w:sz="0" w:space="0" w:color="auto"/>
            <w:left w:val="none" w:sz="0" w:space="0" w:color="auto"/>
            <w:bottom w:val="none" w:sz="0" w:space="0" w:color="auto"/>
            <w:right w:val="none" w:sz="0" w:space="0" w:color="auto"/>
          </w:divBdr>
        </w:div>
        <w:div w:id="786776570">
          <w:marLeft w:val="418"/>
          <w:marRight w:val="0"/>
          <w:marTop w:val="58"/>
          <w:marBottom w:val="0"/>
          <w:divBdr>
            <w:top w:val="none" w:sz="0" w:space="0" w:color="auto"/>
            <w:left w:val="none" w:sz="0" w:space="0" w:color="auto"/>
            <w:bottom w:val="none" w:sz="0" w:space="0" w:color="auto"/>
            <w:right w:val="none" w:sz="0" w:space="0" w:color="auto"/>
          </w:divBdr>
        </w:div>
        <w:div w:id="840244928">
          <w:marLeft w:val="418"/>
          <w:marRight w:val="0"/>
          <w:marTop w:val="58"/>
          <w:marBottom w:val="0"/>
          <w:divBdr>
            <w:top w:val="none" w:sz="0" w:space="0" w:color="auto"/>
            <w:left w:val="none" w:sz="0" w:space="0" w:color="auto"/>
            <w:bottom w:val="none" w:sz="0" w:space="0" w:color="auto"/>
            <w:right w:val="none" w:sz="0" w:space="0" w:color="auto"/>
          </w:divBdr>
        </w:div>
        <w:div w:id="867371857">
          <w:marLeft w:val="418"/>
          <w:marRight w:val="0"/>
          <w:marTop w:val="58"/>
          <w:marBottom w:val="0"/>
          <w:divBdr>
            <w:top w:val="none" w:sz="0" w:space="0" w:color="auto"/>
            <w:left w:val="none" w:sz="0" w:space="0" w:color="auto"/>
            <w:bottom w:val="none" w:sz="0" w:space="0" w:color="auto"/>
            <w:right w:val="none" w:sz="0" w:space="0" w:color="auto"/>
          </w:divBdr>
        </w:div>
        <w:div w:id="1824739862">
          <w:marLeft w:val="418"/>
          <w:marRight w:val="0"/>
          <w:marTop w:val="58"/>
          <w:marBottom w:val="0"/>
          <w:divBdr>
            <w:top w:val="none" w:sz="0" w:space="0" w:color="auto"/>
            <w:left w:val="none" w:sz="0" w:space="0" w:color="auto"/>
            <w:bottom w:val="none" w:sz="0" w:space="0" w:color="auto"/>
            <w:right w:val="none" w:sz="0" w:space="0" w:color="auto"/>
          </w:divBdr>
        </w:div>
      </w:divsChild>
    </w:div>
    <w:div w:id="708607772">
      <w:bodyDiv w:val="1"/>
      <w:marLeft w:val="0"/>
      <w:marRight w:val="0"/>
      <w:marTop w:val="0"/>
      <w:marBottom w:val="0"/>
      <w:divBdr>
        <w:top w:val="none" w:sz="0" w:space="0" w:color="auto"/>
        <w:left w:val="none" w:sz="0" w:space="0" w:color="auto"/>
        <w:bottom w:val="none" w:sz="0" w:space="0" w:color="auto"/>
        <w:right w:val="none" w:sz="0" w:space="0" w:color="auto"/>
      </w:divBdr>
      <w:divsChild>
        <w:div w:id="158234010">
          <w:marLeft w:val="432"/>
          <w:marRight w:val="0"/>
          <w:marTop w:val="58"/>
          <w:marBottom w:val="0"/>
          <w:divBdr>
            <w:top w:val="none" w:sz="0" w:space="0" w:color="auto"/>
            <w:left w:val="none" w:sz="0" w:space="0" w:color="auto"/>
            <w:bottom w:val="none" w:sz="0" w:space="0" w:color="auto"/>
            <w:right w:val="none" w:sz="0" w:space="0" w:color="auto"/>
          </w:divBdr>
        </w:div>
        <w:div w:id="163012301">
          <w:marLeft w:val="432"/>
          <w:marRight w:val="0"/>
          <w:marTop w:val="58"/>
          <w:marBottom w:val="0"/>
          <w:divBdr>
            <w:top w:val="none" w:sz="0" w:space="0" w:color="auto"/>
            <w:left w:val="none" w:sz="0" w:space="0" w:color="auto"/>
            <w:bottom w:val="none" w:sz="0" w:space="0" w:color="auto"/>
            <w:right w:val="none" w:sz="0" w:space="0" w:color="auto"/>
          </w:divBdr>
        </w:div>
        <w:div w:id="377974924">
          <w:marLeft w:val="432"/>
          <w:marRight w:val="0"/>
          <w:marTop w:val="58"/>
          <w:marBottom w:val="0"/>
          <w:divBdr>
            <w:top w:val="none" w:sz="0" w:space="0" w:color="auto"/>
            <w:left w:val="none" w:sz="0" w:space="0" w:color="auto"/>
            <w:bottom w:val="none" w:sz="0" w:space="0" w:color="auto"/>
            <w:right w:val="none" w:sz="0" w:space="0" w:color="auto"/>
          </w:divBdr>
        </w:div>
        <w:div w:id="859078424">
          <w:marLeft w:val="432"/>
          <w:marRight w:val="0"/>
          <w:marTop w:val="58"/>
          <w:marBottom w:val="0"/>
          <w:divBdr>
            <w:top w:val="none" w:sz="0" w:space="0" w:color="auto"/>
            <w:left w:val="none" w:sz="0" w:space="0" w:color="auto"/>
            <w:bottom w:val="none" w:sz="0" w:space="0" w:color="auto"/>
            <w:right w:val="none" w:sz="0" w:space="0" w:color="auto"/>
          </w:divBdr>
        </w:div>
        <w:div w:id="871307386">
          <w:marLeft w:val="432"/>
          <w:marRight w:val="0"/>
          <w:marTop w:val="58"/>
          <w:marBottom w:val="0"/>
          <w:divBdr>
            <w:top w:val="none" w:sz="0" w:space="0" w:color="auto"/>
            <w:left w:val="none" w:sz="0" w:space="0" w:color="auto"/>
            <w:bottom w:val="none" w:sz="0" w:space="0" w:color="auto"/>
            <w:right w:val="none" w:sz="0" w:space="0" w:color="auto"/>
          </w:divBdr>
        </w:div>
        <w:div w:id="1406302624">
          <w:marLeft w:val="432"/>
          <w:marRight w:val="0"/>
          <w:marTop w:val="58"/>
          <w:marBottom w:val="0"/>
          <w:divBdr>
            <w:top w:val="none" w:sz="0" w:space="0" w:color="auto"/>
            <w:left w:val="none" w:sz="0" w:space="0" w:color="auto"/>
            <w:bottom w:val="none" w:sz="0" w:space="0" w:color="auto"/>
            <w:right w:val="none" w:sz="0" w:space="0" w:color="auto"/>
          </w:divBdr>
        </w:div>
        <w:div w:id="1548445943">
          <w:marLeft w:val="432"/>
          <w:marRight w:val="0"/>
          <w:marTop w:val="58"/>
          <w:marBottom w:val="0"/>
          <w:divBdr>
            <w:top w:val="none" w:sz="0" w:space="0" w:color="auto"/>
            <w:left w:val="none" w:sz="0" w:space="0" w:color="auto"/>
            <w:bottom w:val="none" w:sz="0" w:space="0" w:color="auto"/>
            <w:right w:val="none" w:sz="0" w:space="0" w:color="auto"/>
          </w:divBdr>
        </w:div>
        <w:div w:id="1678341990">
          <w:marLeft w:val="432"/>
          <w:marRight w:val="0"/>
          <w:marTop w:val="58"/>
          <w:marBottom w:val="0"/>
          <w:divBdr>
            <w:top w:val="none" w:sz="0" w:space="0" w:color="auto"/>
            <w:left w:val="none" w:sz="0" w:space="0" w:color="auto"/>
            <w:bottom w:val="none" w:sz="0" w:space="0" w:color="auto"/>
            <w:right w:val="none" w:sz="0" w:space="0" w:color="auto"/>
          </w:divBdr>
        </w:div>
        <w:div w:id="1811556586">
          <w:marLeft w:val="432"/>
          <w:marRight w:val="0"/>
          <w:marTop w:val="58"/>
          <w:marBottom w:val="0"/>
          <w:divBdr>
            <w:top w:val="none" w:sz="0" w:space="0" w:color="auto"/>
            <w:left w:val="none" w:sz="0" w:space="0" w:color="auto"/>
            <w:bottom w:val="none" w:sz="0" w:space="0" w:color="auto"/>
            <w:right w:val="none" w:sz="0" w:space="0" w:color="auto"/>
          </w:divBdr>
        </w:div>
      </w:divsChild>
    </w:div>
    <w:div w:id="821508236">
      <w:bodyDiv w:val="1"/>
      <w:marLeft w:val="0"/>
      <w:marRight w:val="0"/>
      <w:marTop w:val="0"/>
      <w:marBottom w:val="0"/>
      <w:divBdr>
        <w:top w:val="none" w:sz="0" w:space="0" w:color="auto"/>
        <w:left w:val="none" w:sz="0" w:space="0" w:color="auto"/>
        <w:bottom w:val="none" w:sz="0" w:space="0" w:color="auto"/>
        <w:right w:val="none" w:sz="0" w:space="0" w:color="auto"/>
      </w:divBdr>
      <w:divsChild>
        <w:div w:id="1610236830">
          <w:marLeft w:val="418"/>
          <w:marRight w:val="0"/>
          <w:marTop w:val="58"/>
          <w:marBottom w:val="0"/>
          <w:divBdr>
            <w:top w:val="none" w:sz="0" w:space="0" w:color="auto"/>
            <w:left w:val="none" w:sz="0" w:space="0" w:color="auto"/>
            <w:bottom w:val="none" w:sz="0" w:space="0" w:color="auto"/>
            <w:right w:val="none" w:sz="0" w:space="0" w:color="auto"/>
          </w:divBdr>
        </w:div>
      </w:divsChild>
    </w:div>
    <w:div w:id="844898439">
      <w:bodyDiv w:val="1"/>
      <w:marLeft w:val="0"/>
      <w:marRight w:val="0"/>
      <w:marTop w:val="0"/>
      <w:marBottom w:val="0"/>
      <w:divBdr>
        <w:top w:val="none" w:sz="0" w:space="0" w:color="auto"/>
        <w:left w:val="none" w:sz="0" w:space="0" w:color="auto"/>
        <w:bottom w:val="none" w:sz="0" w:space="0" w:color="auto"/>
        <w:right w:val="none" w:sz="0" w:space="0" w:color="auto"/>
      </w:divBdr>
    </w:div>
    <w:div w:id="855654498">
      <w:bodyDiv w:val="1"/>
      <w:marLeft w:val="0"/>
      <w:marRight w:val="0"/>
      <w:marTop w:val="0"/>
      <w:marBottom w:val="0"/>
      <w:divBdr>
        <w:top w:val="none" w:sz="0" w:space="0" w:color="auto"/>
        <w:left w:val="none" w:sz="0" w:space="0" w:color="auto"/>
        <w:bottom w:val="none" w:sz="0" w:space="0" w:color="auto"/>
        <w:right w:val="none" w:sz="0" w:space="0" w:color="auto"/>
      </w:divBdr>
    </w:div>
    <w:div w:id="878399368">
      <w:bodyDiv w:val="1"/>
      <w:marLeft w:val="0"/>
      <w:marRight w:val="0"/>
      <w:marTop w:val="0"/>
      <w:marBottom w:val="0"/>
      <w:divBdr>
        <w:top w:val="none" w:sz="0" w:space="0" w:color="auto"/>
        <w:left w:val="none" w:sz="0" w:space="0" w:color="auto"/>
        <w:bottom w:val="none" w:sz="0" w:space="0" w:color="auto"/>
        <w:right w:val="none" w:sz="0" w:space="0" w:color="auto"/>
      </w:divBdr>
    </w:div>
    <w:div w:id="903217478">
      <w:bodyDiv w:val="1"/>
      <w:marLeft w:val="0"/>
      <w:marRight w:val="0"/>
      <w:marTop w:val="0"/>
      <w:marBottom w:val="0"/>
      <w:divBdr>
        <w:top w:val="none" w:sz="0" w:space="0" w:color="auto"/>
        <w:left w:val="none" w:sz="0" w:space="0" w:color="auto"/>
        <w:bottom w:val="none" w:sz="0" w:space="0" w:color="auto"/>
        <w:right w:val="none" w:sz="0" w:space="0" w:color="auto"/>
      </w:divBdr>
      <w:divsChild>
        <w:div w:id="405610853">
          <w:marLeft w:val="418"/>
          <w:marRight w:val="0"/>
          <w:marTop w:val="58"/>
          <w:marBottom w:val="0"/>
          <w:divBdr>
            <w:top w:val="none" w:sz="0" w:space="0" w:color="auto"/>
            <w:left w:val="none" w:sz="0" w:space="0" w:color="auto"/>
            <w:bottom w:val="none" w:sz="0" w:space="0" w:color="auto"/>
            <w:right w:val="none" w:sz="0" w:space="0" w:color="auto"/>
          </w:divBdr>
        </w:div>
        <w:div w:id="974990827">
          <w:marLeft w:val="418"/>
          <w:marRight w:val="0"/>
          <w:marTop w:val="58"/>
          <w:marBottom w:val="0"/>
          <w:divBdr>
            <w:top w:val="none" w:sz="0" w:space="0" w:color="auto"/>
            <w:left w:val="none" w:sz="0" w:space="0" w:color="auto"/>
            <w:bottom w:val="none" w:sz="0" w:space="0" w:color="auto"/>
            <w:right w:val="none" w:sz="0" w:space="0" w:color="auto"/>
          </w:divBdr>
        </w:div>
      </w:divsChild>
    </w:div>
    <w:div w:id="918447204">
      <w:bodyDiv w:val="1"/>
      <w:marLeft w:val="0"/>
      <w:marRight w:val="0"/>
      <w:marTop w:val="0"/>
      <w:marBottom w:val="0"/>
      <w:divBdr>
        <w:top w:val="none" w:sz="0" w:space="0" w:color="auto"/>
        <w:left w:val="none" w:sz="0" w:space="0" w:color="auto"/>
        <w:bottom w:val="none" w:sz="0" w:space="0" w:color="auto"/>
        <w:right w:val="none" w:sz="0" w:space="0" w:color="auto"/>
      </w:divBdr>
    </w:div>
    <w:div w:id="935015568">
      <w:bodyDiv w:val="1"/>
      <w:marLeft w:val="0"/>
      <w:marRight w:val="0"/>
      <w:marTop w:val="0"/>
      <w:marBottom w:val="0"/>
      <w:divBdr>
        <w:top w:val="none" w:sz="0" w:space="0" w:color="auto"/>
        <w:left w:val="none" w:sz="0" w:space="0" w:color="auto"/>
        <w:bottom w:val="none" w:sz="0" w:space="0" w:color="auto"/>
        <w:right w:val="none" w:sz="0" w:space="0" w:color="auto"/>
      </w:divBdr>
    </w:div>
    <w:div w:id="943658244">
      <w:bodyDiv w:val="1"/>
      <w:marLeft w:val="0"/>
      <w:marRight w:val="0"/>
      <w:marTop w:val="0"/>
      <w:marBottom w:val="0"/>
      <w:divBdr>
        <w:top w:val="none" w:sz="0" w:space="0" w:color="auto"/>
        <w:left w:val="none" w:sz="0" w:space="0" w:color="auto"/>
        <w:bottom w:val="none" w:sz="0" w:space="0" w:color="auto"/>
        <w:right w:val="none" w:sz="0" w:space="0" w:color="auto"/>
      </w:divBdr>
    </w:div>
    <w:div w:id="944968542">
      <w:bodyDiv w:val="1"/>
      <w:marLeft w:val="0"/>
      <w:marRight w:val="0"/>
      <w:marTop w:val="0"/>
      <w:marBottom w:val="0"/>
      <w:divBdr>
        <w:top w:val="none" w:sz="0" w:space="0" w:color="auto"/>
        <w:left w:val="none" w:sz="0" w:space="0" w:color="auto"/>
        <w:bottom w:val="none" w:sz="0" w:space="0" w:color="auto"/>
        <w:right w:val="none" w:sz="0" w:space="0" w:color="auto"/>
      </w:divBdr>
    </w:div>
    <w:div w:id="957756553">
      <w:bodyDiv w:val="1"/>
      <w:marLeft w:val="0"/>
      <w:marRight w:val="0"/>
      <w:marTop w:val="0"/>
      <w:marBottom w:val="0"/>
      <w:divBdr>
        <w:top w:val="none" w:sz="0" w:space="0" w:color="auto"/>
        <w:left w:val="none" w:sz="0" w:space="0" w:color="auto"/>
        <w:bottom w:val="none" w:sz="0" w:space="0" w:color="auto"/>
        <w:right w:val="none" w:sz="0" w:space="0" w:color="auto"/>
      </w:divBdr>
      <w:divsChild>
        <w:div w:id="1470711414">
          <w:marLeft w:val="418"/>
          <w:marRight w:val="0"/>
          <w:marTop w:val="58"/>
          <w:marBottom w:val="0"/>
          <w:divBdr>
            <w:top w:val="none" w:sz="0" w:space="0" w:color="auto"/>
            <w:left w:val="none" w:sz="0" w:space="0" w:color="auto"/>
            <w:bottom w:val="none" w:sz="0" w:space="0" w:color="auto"/>
            <w:right w:val="none" w:sz="0" w:space="0" w:color="auto"/>
          </w:divBdr>
        </w:div>
      </w:divsChild>
    </w:div>
    <w:div w:id="968440875">
      <w:bodyDiv w:val="1"/>
      <w:marLeft w:val="0"/>
      <w:marRight w:val="0"/>
      <w:marTop w:val="0"/>
      <w:marBottom w:val="0"/>
      <w:divBdr>
        <w:top w:val="none" w:sz="0" w:space="0" w:color="auto"/>
        <w:left w:val="none" w:sz="0" w:space="0" w:color="auto"/>
        <w:bottom w:val="none" w:sz="0" w:space="0" w:color="auto"/>
        <w:right w:val="none" w:sz="0" w:space="0" w:color="auto"/>
      </w:divBdr>
    </w:div>
    <w:div w:id="993876217">
      <w:bodyDiv w:val="1"/>
      <w:marLeft w:val="0"/>
      <w:marRight w:val="0"/>
      <w:marTop w:val="0"/>
      <w:marBottom w:val="0"/>
      <w:divBdr>
        <w:top w:val="none" w:sz="0" w:space="0" w:color="auto"/>
        <w:left w:val="none" w:sz="0" w:space="0" w:color="auto"/>
        <w:bottom w:val="none" w:sz="0" w:space="0" w:color="auto"/>
        <w:right w:val="none" w:sz="0" w:space="0" w:color="auto"/>
      </w:divBdr>
    </w:div>
    <w:div w:id="994913877">
      <w:bodyDiv w:val="1"/>
      <w:marLeft w:val="0"/>
      <w:marRight w:val="0"/>
      <w:marTop w:val="0"/>
      <w:marBottom w:val="0"/>
      <w:divBdr>
        <w:top w:val="none" w:sz="0" w:space="0" w:color="auto"/>
        <w:left w:val="none" w:sz="0" w:space="0" w:color="auto"/>
        <w:bottom w:val="none" w:sz="0" w:space="0" w:color="auto"/>
        <w:right w:val="none" w:sz="0" w:space="0" w:color="auto"/>
      </w:divBdr>
    </w:div>
    <w:div w:id="997920087">
      <w:bodyDiv w:val="1"/>
      <w:marLeft w:val="0"/>
      <w:marRight w:val="0"/>
      <w:marTop w:val="0"/>
      <w:marBottom w:val="0"/>
      <w:divBdr>
        <w:top w:val="none" w:sz="0" w:space="0" w:color="auto"/>
        <w:left w:val="none" w:sz="0" w:space="0" w:color="auto"/>
        <w:bottom w:val="none" w:sz="0" w:space="0" w:color="auto"/>
        <w:right w:val="none" w:sz="0" w:space="0" w:color="auto"/>
      </w:divBdr>
    </w:div>
    <w:div w:id="997998038">
      <w:bodyDiv w:val="1"/>
      <w:marLeft w:val="0"/>
      <w:marRight w:val="0"/>
      <w:marTop w:val="0"/>
      <w:marBottom w:val="0"/>
      <w:divBdr>
        <w:top w:val="none" w:sz="0" w:space="0" w:color="auto"/>
        <w:left w:val="none" w:sz="0" w:space="0" w:color="auto"/>
        <w:bottom w:val="none" w:sz="0" w:space="0" w:color="auto"/>
        <w:right w:val="none" w:sz="0" w:space="0" w:color="auto"/>
      </w:divBdr>
      <w:divsChild>
        <w:div w:id="176119452">
          <w:marLeft w:val="432"/>
          <w:marRight w:val="0"/>
          <w:marTop w:val="58"/>
          <w:marBottom w:val="0"/>
          <w:divBdr>
            <w:top w:val="none" w:sz="0" w:space="0" w:color="auto"/>
            <w:left w:val="none" w:sz="0" w:space="0" w:color="auto"/>
            <w:bottom w:val="none" w:sz="0" w:space="0" w:color="auto"/>
            <w:right w:val="none" w:sz="0" w:space="0" w:color="auto"/>
          </w:divBdr>
        </w:div>
        <w:div w:id="1081874921">
          <w:marLeft w:val="432"/>
          <w:marRight w:val="0"/>
          <w:marTop w:val="58"/>
          <w:marBottom w:val="0"/>
          <w:divBdr>
            <w:top w:val="none" w:sz="0" w:space="0" w:color="auto"/>
            <w:left w:val="none" w:sz="0" w:space="0" w:color="auto"/>
            <w:bottom w:val="none" w:sz="0" w:space="0" w:color="auto"/>
            <w:right w:val="none" w:sz="0" w:space="0" w:color="auto"/>
          </w:divBdr>
        </w:div>
        <w:div w:id="1509952771">
          <w:marLeft w:val="432"/>
          <w:marRight w:val="0"/>
          <w:marTop w:val="58"/>
          <w:marBottom w:val="0"/>
          <w:divBdr>
            <w:top w:val="none" w:sz="0" w:space="0" w:color="auto"/>
            <w:left w:val="none" w:sz="0" w:space="0" w:color="auto"/>
            <w:bottom w:val="none" w:sz="0" w:space="0" w:color="auto"/>
            <w:right w:val="none" w:sz="0" w:space="0" w:color="auto"/>
          </w:divBdr>
        </w:div>
      </w:divsChild>
    </w:div>
    <w:div w:id="1000430704">
      <w:bodyDiv w:val="1"/>
      <w:marLeft w:val="0"/>
      <w:marRight w:val="0"/>
      <w:marTop w:val="0"/>
      <w:marBottom w:val="0"/>
      <w:divBdr>
        <w:top w:val="none" w:sz="0" w:space="0" w:color="auto"/>
        <w:left w:val="none" w:sz="0" w:space="0" w:color="auto"/>
        <w:bottom w:val="none" w:sz="0" w:space="0" w:color="auto"/>
        <w:right w:val="none" w:sz="0" w:space="0" w:color="auto"/>
      </w:divBdr>
    </w:div>
    <w:div w:id="1024208214">
      <w:bodyDiv w:val="1"/>
      <w:marLeft w:val="0"/>
      <w:marRight w:val="0"/>
      <w:marTop w:val="0"/>
      <w:marBottom w:val="0"/>
      <w:divBdr>
        <w:top w:val="none" w:sz="0" w:space="0" w:color="auto"/>
        <w:left w:val="none" w:sz="0" w:space="0" w:color="auto"/>
        <w:bottom w:val="none" w:sz="0" w:space="0" w:color="auto"/>
        <w:right w:val="none" w:sz="0" w:space="0" w:color="auto"/>
      </w:divBdr>
    </w:div>
    <w:div w:id="1026759137">
      <w:bodyDiv w:val="1"/>
      <w:marLeft w:val="0"/>
      <w:marRight w:val="0"/>
      <w:marTop w:val="0"/>
      <w:marBottom w:val="0"/>
      <w:divBdr>
        <w:top w:val="none" w:sz="0" w:space="0" w:color="auto"/>
        <w:left w:val="none" w:sz="0" w:space="0" w:color="auto"/>
        <w:bottom w:val="none" w:sz="0" w:space="0" w:color="auto"/>
        <w:right w:val="none" w:sz="0" w:space="0" w:color="auto"/>
      </w:divBdr>
    </w:div>
    <w:div w:id="1029062786">
      <w:bodyDiv w:val="1"/>
      <w:marLeft w:val="0"/>
      <w:marRight w:val="0"/>
      <w:marTop w:val="0"/>
      <w:marBottom w:val="0"/>
      <w:divBdr>
        <w:top w:val="none" w:sz="0" w:space="0" w:color="auto"/>
        <w:left w:val="none" w:sz="0" w:space="0" w:color="auto"/>
        <w:bottom w:val="none" w:sz="0" w:space="0" w:color="auto"/>
        <w:right w:val="none" w:sz="0" w:space="0" w:color="auto"/>
      </w:divBdr>
      <w:divsChild>
        <w:div w:id="95173771">
          <w:marLeft w:val="418"/>
          <w:marRight w:val="0"/>
          <w:marTop w:val="58"/>
          <w:marBottom w:val="0"/>
          <w:divBdr>
            <w:top w:val="none" w:sz="0" w:space="0" w:color="auto"/>
            <w:left w:val="none" w:sz="0" w:space="0" w:color="auto"/>
            <w:bottom w:val="none" w:sz="0" w:space="0" w:color="auto"/>
            <w:right w:val="none" w:sz="0" w:space="0" w:color="auto"/>
          </w:divBdr>
        </w:div>
        <w:div w:id="1071536024">
          <w:marLeft w:val="418"/>
          <w:marRight w:val="0"/>
          <w:marTop w:val="58"/>
          <w:marBottom w:val="0"/>
          <w:divBdr>
            <w:top w:val="none" w:sz="0" w:space="0" w:color="auto"/>
            <w:left w:val="none" w:sz="0" w:space="0" w:color="auto"/>
            <w:bottom w:val="none" w:sz="0" w:space="0" w:color="auto"/>
            <w:right w:val="none" w:sz="0" w:space="0" w:color="auto"/>
          </w:divBdr>
        </w:div>
        <w:div w:id="1848592037">
          <w:marLeft w:val="418"/>
          <w:marRight w:val="0"/>
          <w:marTop w:val="58"/>
          <w:marBottom w:val="0"/>
          <w:divBdr>
            <w:top w:val="none" w:sz="0" w:space="0" w:color="auto"/>
            <w:left w:val="none" w:sz="0" w:space="0" w:color="auto"/>
            <w:bottom w:val="none" w:sz="0" w:space="0" w:color="auto"/>
            <w:right w:val="none" w:sz="0" w:space="0" w:color="auto"/>
          </w:divBdr>
        </w:div>
      </w:divsChild>
    </w:div>
    <w:div w:id="1046682056">
      <w:bodyDiv w:val="1"/>
      <w:marLeft w:val="0"/>
      <w:marRight w:val="0"/>
      <w:marTop w:val="0"/>
      <w:marBottom w:val="0"/>
      <w:divBdr>
        <w:top w:val="none" w:sz="0" w:space="0" w:color="auto"/>
        <w:left w:val="none" w:sz="0" w:space="0" w:color="auto"/>
        <w:bottom w:val="none" w:sz="0" w:space="0" w:color="auto"/>
        <w:right w:val="none" w:sz="0" w:space="0" w:color="auto"/>
      </w:divBdr>
      <w:divsChild>
        <w:div w:id="1320885178">
          <w:marLeft w:val="418"/>
          <w:marRight w:val="0"/>
          <w:marTop w:val="58"/>
          <w:marBottom w:val="0"/>
          <w:divBdr>
            <w:top w:val="none" w:sz="0" w:space="0" w:color="auto"/>
            <w:left w:val="none" w:sz="0" w:space="0" w:color="auto"/>
            <w:bottom w:val="none" w:sz="0" w:space="0" w:color="auto"/>
            <w:right w:val="none" w:sz="0" w:space="0" w:color="auto"/>
          </w:divBdr>
        </w:div>
      </w:divsChild>
    </w:div>
    <w:div w:id="1127120129">
      <w:bodyDiv w:val="1"/>
      <w:marLeft w:val="0"/>
      <w:marRight w:val="0"/>
      <w:marTop w:val="0"/>
      <w:marBottom w:val="0"/>
      <w:divBdr>
        <w:top w:val="none" w:sz="0" w:space="0" w:color="auto"/>
        <w:left w:val="none" w:sz="0" w:space="0" w:color="auto"/>
        <w:bottom w:val="none" w:sz="0" w:space="0" w:color="auto"/>
        <w:right w:val="none" w:sz="0" w:space="0" w:color="auto"/>
      </w:divBdr>
    </w:div>
    <w:div w:id="1160005966">
      <w:bodyDiv w:val="1"/>
      <w:marLeft w:val="0"/>
      <w:marRight w:val="0"/>
      <w:marTop w:val="0"/>
      <w:marBottom w:val="0"/>
      <w:divBdr>
        <w:top w:val="none" w:sz="0" w:space="0" w:color="auto"/>
        <w:left w:val="none" w:sz="0" w:space="0" w:color="auto"/>
        <w:bottom w:val="none" w:sz="0" w:space="0" w:color="auto"/>
        <w:right w:val="none" w:sz="0" w:space="0" w:color="auto"/>
      </w:divBdr>
    </w:div>
    <w:div w:id="1190606382">
      <w:bodyDiv w:val="1"/>
      <w:marLeft w:val="0"/>
      <w:marRight w:val="0"/>
      <w:marTop w:val="0"/>
      <w:marBottom w:val="0"/>
      <w:divBdr>
        <w:top w:val="none" w:sz="0" w:space="0" w:color="auto"/>
        <w:left w:val="none" w:sz="0" w:space="0" w:color="auto"/>
        <w:bottom w:val="none" w:sz="0" w:space="0" w:color="auto"/>
        <w:right w:val="none" w:sz="0" w:space="0" w:color="auto"/>
      </w:divBdr>
    </w:div>
    <w:div w:id="1205823405">
      <w:bodyDiv w:val="1"/>
      <w:marLeft w:val="0"/>
      <w:marRight w:val="0"/>
      <w:marTop w:val="0"/>
      <w:marBottom w:val="0"/>
      <w:divBdr>
        <w:top w:val="none" w:sz="0" w:space="0" w:color="auto"/>
        <w:left w:val="none" w:sz="0" w:space="0" w:color="auto"/>
        <w:bottom w:val="none" w:sz="0" w:space="0" w:color="auto"/>
        <w:right w:val="none" w:sz="0" w:space="0" w:color="auto"/>
      </w:divBdr>
    </w:div>
    <w:div w:id="1211651520">
      <w:bodyDiv w:val="1"/>
      <w:marLeft w:val="0"/>
      <w:marRight w:val="0"/>
      <w:marTop w:val="0"/>
      <w:marBottom w:val="0"/>
      <w:divBdr>
        <w:top w:val="none" w:sz="0" w:space="0" w:color="auto"/>
        <w:left w:val="none" w:sz="0" w:space="0" w:color="auto"/>
        <w:bottom w:val="none" w:sz="0" w:space="0" w:color="auto"/>
        <w:right w:val="none" w:sz="0" w:space="0" w:color="auto"/>
      </w:divBdr>
    </w:div>
    <w:div w:id="1212383038">
      <w:bodyDiv w:val="1"/>
      <w:marLeft w:val="0"/>
      <w:marRight w:val="0"/>
      <w:marTop w:val="0"/>
      <w:marBottom w:val="0"/>
      <w:divBdr>
        <w:top w:val="none" w:sz="0" w:space="0" w:color="auto"/>
        <w:left w:val="none" w:sz="0" w:space="0" w:color="auto"/>
        <w:bottom w:val="none" w:sz="0" w:space="0" w:color="auto"/>
        <w:right w:val="none" w:sz="0" w:space="0" w:color="auto"/>
      </w:divBdr>
    </w:div>
    <w:div w:id="1242371094">
      <w:bodyDiv w:val="1"/>
      <w:marLeft w:val="0"/>
      <w:marRight w:val="0"/>
      <w:marTop w:val="0"/>
      <w:marBottom w:val="0"/>
      <w:divBdr>
        <w:top w:val="none" w:sz="0" w:space="0" w:color="auto"/>
        <w:left w:val="none" w:sz="0" w:space="0" w:color="auto"/>
        <w:bottom w:val="none" w:sz="0" w:space="0" w:color="auto"/>
        <w:right w:val="none" w:sz="0" w:space="0" w:color="auto"/>
      </w:divBdr>
    </w:div>
    <w:div w:id="1252423468">
      <w:bodyDiv w:val="1"/>
      <w:marLeft w:val="0"/>
      <w:marRight w:val="0"/>
      <w:marTop w:val="0"/>
      <w:marBottom w:val="0"/>
      <w:divBdr>
        <w:top w:val="none" w:sz="0" w:space="0" w:color="auto"/>
        <w:left w:val="none" w:sz="0" w:space="0" w:color="auto"/>
        <w:bottom w:val="none" w:sz="0" w:space="0" w:color="auto"/>
        <w:right w:val="none" w:sz="0" w:space="0" w:color="auto"/>
      </w:divBdr>
    </w:div>
    <w:div w:id="1257441079">
      <w:bodyDiv w:val="1"/>
      <w:marLeft w:val="0"/>
      <w:marRight w:val="0"/>
      <w:marTop w:val="0"/>
      <w:marBottom w:val="0"/>
      <w:divBdr>
        <w:top w:val="none" w:sz="0" w:space="0" w:color="auto"/>
        <w:left w:val="none" w:sz="0" w:space="0" w:color="auto"/>
        <w:bottom w:val="none" w:sz="0" w:space="0" w:color="auto"/>
        <w:right w:val="none" w:sz="0" w:space="0" w:color="auto"/>
      </w:divBdr>
      <w:divsChild>
        <w:div w:id="805706140">
          <w:marLeft w:val="418"/>
          <w:marRight w:val="0"/>
          <w:marTop w:val="58"/>
          <w:marBottom w:val="0"/>
          <w:divBdr>
            <w:top w:val="none" w:sz="0" w:space="0" w:color="auto"/>
            <w:left w:val="none" w:sz="0" w:space="0" w:color="auto"/>
            <w:bottom w:val="none" w:sz="0" w:space="0" w:color="auto"/>
            <w:right w:val="none" w:sz="0" w:space="0" w:color="auto"/>
          </w:divBdr>
        </w:div>
        <w:div w:id="1175995749">
          <w:marLeft w:val="418"/>
          <w:marRight w:val="0"/>
          <w:marTop w:val="58"/>
          <w:marBottom w:val="0"/>
          <w:divBdr>
            <w:top w:val="none" w:sz="0" w:space="0" w:color="auto"/>
            <w:left w:val="none" w:sz="0" w:space="0" w:color="auto"/>
            <w:bottom w:val="none" w:sz="0" w:space="0" w:color="auto"/>
            <w:right w:val="none" w:sz="0" w:space="0" w:color="auto"/>
          </w:divBdr>
        </w:div>
        <w:div w:id="1992562739">
          <w:marLeft w:val="418"/>
          <w:marRight w:val="0"/>
          <w:marTop w:val="58"/>
          <w:marBottom w:val="0"/>
          <w:divBdr>
            <w:top w:val="none" w:sz="0" w:space="0" w:color="auto"/>
            <w:left w:val="none" w:sz="0" w:space="0" w:color="auto"/>
            <w:bottom w:val="none" w:sz="0" w:space="0" w:color="auto"/>
            <w:right w:val="none" w:sz="0" w:space="0" w:color="auto"/>
          </w:divBdr>
        </w:div>
        <w:div w:id="2070373758">
          <w:marLeft w:val="418"/>
          <w:marRight w:val="0"/>
          <w:marTop w:val="58"/>
          <w:marBottom w:val="0"/>
          <w:divBdr>
            <w:top w:val="none" w:sz="0" w:space="0" w:color="auto"/>
            <w:left w:val="none" w:sz="0" w:space="0" w:color="auto"/>
            <w:bottom w:val="none" w:sz="0" w:space="0" w:color="auto"/>
            <w:right w:val="none" w:sz="0" w:space="0" w:color="auto"/>
          </w:divBdr>
        </w:div>
      </w:divsChild>
    </w:div>
    <w:div w:id="1294754202">
      <w:bodyDiv w:val="1"/>
      <w:marLeft w:val="0"/>
      <w:marRight w:val="0"/>
      <w:marTop w:val="0"/>
      <w:marBottom w:val="0"/>
      <w:divBdr>
        <w:top w:val="none" w:sz="0" w:space="0" w:color="auto"/>
        <w:left w:val="none" w:sz="0" w:space="0" w:color="auto"/>
        <w:bottom w:val="none" w:sz="0" w:space="0" w:color="auto"/>
        <w:right w:val="none" w:sz="0" w:space="0" w:color="auto"/>
      </w:divBdr>
    </w:div>
    <w:div w:id="1310525215">
      <w:bodyDiv w:val="1"/>
      <w:marLeft w:val="0"/>
      <w:marRight w:val="0"/>
      <w:marTop w:val="0"/>
      <w:marBottom w:val="0"/>
      <w:divBdr>
        <w:top w:val="none" w:sz="0" w:space="0" w:color="auto"/>
        <w:left w:val="none" w:sz="0" w:space="0" w:color="auto"/>
        <w:bottom w:val="none" w:sz="0" w:space="0" w:color="auto"/>
        <w:right w:val="none" w:sz="0" w:space="0" w:color="auto"/>
      </w:divBdr>
    </w:div>
    <w:div w:id="1332291281">
      <w:bodyDiv w:val="1"/>
      <w:marLeft w:val="0"/>
      <w:marRight w:val="0"/>
      <w:marTop w:val="0"/>
      <w:marBottom w:val="0"/>
      <w:divBdr>
        <w:top w:val="none" w:sz="0" w:space="0" w:color="auto"/>
        <w:left w:val="none" w:sz="0" w:space="0" w:color="auto"/>
        <w:bottom w:val="none" w:sz="0" w:space="0" w:color="auto"/>
        <w:right w:val="none" w:sz="0" w:space="0" w:color="auto"/>
      </w:divBdr>
    </w:div>
    <w:div w:id="1343895979">
      <w:bodyDiv w:val="1"/>
      <w:marLeft w:val="0"/>
      <w:marRight w:val="0"/>
      <w:marTop w:val="0"/>
      <w:marBottom w:val="0"/>
      <w:divBdr>
        <w:top w:val="none" w:sz="0" w:space="0" w:color="auto"/>
        <w:left w:val="none" w:sz="0" w:space="0" w:color="auto"/>
        <w:bottom w:val="none" w:sz="0" w:space="0" w:color="auto"/>
        <w:right w:val="none" w:sz="0" w:space="0" w:color="auto"/>
      </w:divBdr>
      <w:divsChild>
        <w:div w:id="264770619">
          <w:marLeft w:val="418"/>
          <w:marRight w:val="0"/>
          <w:marTop w:val="58"/>
          <w:marBottom w:val="0"/>
          <w:divBdr>
            <w:top w:val="none" w:sz="0" w:space="0" w:color="auto"/>
            <w:left w:val="none" w:sz="0" w:space="0" w:color="auto"/>
            <w:bottom w:val="none" w:sz="0" w:space="0" w:color="auto"/>
            <w:right w:val="none" w:sz="0" w:space="0" w:color="auto"/>
          </w:divBdr>
        </w:div>
        <w:div w:id="912811437">
          <w:marLeft w:val="418"/>
          <w:marRight w:val="0"/>
          <w:marTop w:val="58"/>
          <w:marBottom w:val="0"/>
          <w:divBdr>
            <w:top w:val="none" w:sz="0" w:space="0" w:color="auto"/>
            <w:left w:val="none" w:sz="0" w:space="0" w:color="auto"/>
            <w:bottom w:val="none" w:sz="0" w:space="0" w:color="auto"/>
            <w:right w:val="none" w:sz="0" w:space="0" w:color="auto"/>
          </w:divBdr>
        </w:div>
      </w:divsChild>
    </w:div>
    <w:div w:id="1346663508">
      <w:bodyDiv w:val="1"/>
      <w:marLeft w:val="0"/>
      <w:marRight w:val="0"/>
      <w:marTop w:val="0"/>
      <w:marBottom w:val="0"/>
      <w:divBdr>
        <w:top w:val="none" w:sz="0" w:space="0" w:color="auto"/>
        <w:left w:val="none" w:sz="0" w:space="0" w:color="auto"/>
        <w:bottom w:val="none" w:sz="0" w:space="0" w:color="auto"/>
        <w:right w:val="none" w:sz="0" w:space="0" w:color="auto"/>
      </w:divBdr>
    </w:div>
    <w:div w:id="1348367820">
      <w:bodyDiv w:val="1"/>
      <w:marLeft w:val="0"/>
      <w:marRight w:val="0"/>
      <w:marTop w:val="0"/>
      <w:marBottom w:val="0"/>
      <w:divBdr>
        <w:top w:val="none" w:sz="0" w:space="0" w:color="auto"/>
        <w:left w:val="none" w:sz="0" w:space="0" w:color="auto"/>
        <w:bottom w:val="none" w:sz="0" w:space="0" w:color="auto"/>
        <w:right w:val="none" w:sz="0" w:space="0" w:color="auto"/>
      </w:divBdr>
      <w:divsChild>
        <w:div w:id="115805362">
          <w:marLeft w:val="418"/>
          <w:marRight w:val="0"/>
          <w:marTop w:val="58"/>
          <w:marBottom w:val="0"/>
          <w:divBdr>
            <w:top w:val="none" w:sz="0" w:space="0" w:color="auto"/>
            <w:left w:val="none" w:sz="0" w:space="0" w:color="auto"/>
            <w:bottom w:val="none" w:sz="0" w:space="0" w:color="auto"/>
            <w:right w:val="none" w:sz="0" w:space="0" w:color="auto"/>
          </w:divBdr>
        </w:div>
        <w:div w:id="144705652">
          <w:marLeft w:val="418"/>
          <w:marRight w:val="0"/>
          <w:marTop w:val="58"/>
          <w:marBottom w:val="0"/>
          <w:divBdr>
            <w:top w:val="none" w:sz="0" w:space="0" w:color="auto"/>
            <w:left w:val="none" w:sz="0" w:space="0" w:color="auto"/>
            <w:bottom w:val="none" w:sz="0" w:space="0" w:color="auto"/>
            <w:right w:val="none" w:sz="0" w:space="0" w:color="auto"/>
          </w:divBdr>
        </w:div>
        <w:div w:id="789592166">
          <w:marLeft w:val="1123"/>
          <w:marRight w:val="0"/>
          <w:marTop w:val="58"/>
          <w:marBottom w:val="0"/>
          <w:divBdr>
            <w:top w:val="none" w:sz="0" w:space="0" w:color="auto"/>
            <w:left w:val="none" w:sz="0" w:space="0" w:color="auto"/>
            <w:bottom w:val="none" w:sz="0" w:space="0" w:color="auto"/>
            <w:right w:val="none" w:sz="0" w:space="0" w:color="auto"/>
          </w:divBdr>
        </w:div>
        <w:div w:id="1064253323">
          <w:marLeft w:val="1123"/>
          <w:marRight w:val="0"/>
          <w:marTop w:val="58"/>
          <w:marBottom w:val="0"/>
          <w:divBdr>
            <w:top w:val="none" w:sz="0" w:space="0" w:color="auto"/>
            <w:left w:val="none" w:sz="0" w:space="0" w:color="auto"/>
            <w:bottom w:val="none" w:sz="0" w:space="0" w:color="auto"/>
            <w:right w:val="none" w:sz="0" w:space="0" w:color="auto"/>
          </w:divBdr>
        </w:div>
        <w:div w:id="1139763866">
          <w:marLeft w:val="418"/>
          <w:marRight w:val="0"/>
          <w:marTop w:val="58"/>
          <w:marBottom w:val="0"/>
          <w:divBdr>
            <w:top w:val="none" w:sz="0" w:space="0" w:color="auto"/>
            <w:left w:val="none" w:sz="0" w:space="0" w:color="auto"/>
            <w:bottom w:val="none" w:sz="0" w:space="0" w:color="auto"/>
            <w:right w:val="none" w:sz="0" w:space="0" w:color="auto"/>
          </w:divBdr>
        </w:div>
        <w:div w:id="1480197302">
          <w:marLeft w:val="1123"/>
          <w:marRight w:val="0"/>
          <w:marTop w:val="58"/>
          <w:marBottom w:val="0"/>
          <w:divBdr>
            <w:top w:val="none" w:sz="0" w:space="0" w:color="auto"/>
            <w:left w:val="none" w:sz="0" w:space="0" w:color="auto"/>
            <w:bottom w:val="none" w:sz="0" w:space="0" w:color="auto"/>
            <w:right w:val="none" w:sz="0" w:space="0" w:color="auto"/>
          </w:divBdr>
        </w:div>
      </w:divsChild>
    </w:div>
    <w:div w:id="1393308250">
      <w:bodyDiv w:val="1"/>
      <w:marLeft w:val="0"/>
      <w:marRight w:val="0"/>
      <w:marTop w:val="0"/>
      <w:marBottom w:val="0"/>
      <w:divBdr>
        <w:top w:val="none" w:sz="0" w:space="0" w:color="auto"/>
        <w:left w:val="none" w:sz="0" w:space="0" w:color="auto"/>
        <w:bottom w:val="none" w:sz="0" w:space="0" w:color="auto"/>
        <w:right w:val="none" w:sz="0" w:space="0" w:color="auto"/>
      </w:divBdr>
      <w:divsChild>
        <w:div w:id="913861358">
          <w:marLeft w:val="418"/>
          <w:marRight w:val="0"/>
          <w:marTop w:val="58"/>
          <w:marBottom w:val="0"/>
          <w:divBdr>
            <w:top w:val="none" w:sz="0" w:space="0" w:color="auto"/>
            <w:left w:val="none" w:sz="0" w:space="0" w:color="auto"/>
            <w:bottom w:val="none" w:sz="0" w:space="0" w:color="auto"/>
            <w:right w:val="none" w:sz="0" w:space="0" w:color="auto"/>
          </w:divBdr>
        </w:div>
      </w:divsChild>
    </w:div>
    <w:div w:id="1404454258">
      <w:bodyDiv w:val="1"/>
      <w:marLeft w:val="0"/>
      <w:marRight w:val="0"/>
      <w:marTop w:val="0"/>
      <w:marBottom w:val="0"/>
      <w:divBdr>
        <w:top w:val="none" w:sz="0" w:space="0" w:color="auto"/>
        <w:left w:val="none" w:sz="0" w:space="0" w:color="auto"/>
        <w:bottom w:val="none" w:sz="0" w:space="0" w:color="auto"/>
        <w:right w:val="none" w:sz="0" w:space="0" w:color="auto"/>
      </w:divBdr>
    </w:div>
    <w:div w:id="1466583312">
      <w:bodyDiv w:val="1"/>
      <w:marLeft w:val="0"/>
      <w:marRight w:val="0"/>
      <w:marTop w:val="0"/>
      <w:marBottom w:val="0"/>
      <w:divBdr>
        <w:top w:val="none" w:sz="0" w:space="0" w:color="auto"/>
        <w:left w:val="none" w:sz="0" w:space="0" w:color="auto"/>
        <w:bottom w:val="none" w:sz="0" w:space="0" w:color="auto"/>
        <w:right w:val="none" w:sz="0" w:space="0" w:color="auto"/>
      </w:divBdr>
    </w:div>
    <w:div w:id="1467814904">
      <w:bodyDiv w:val="1"/>
      <w:marLeft w:val="0"/>
      <w:marRight w:val="0"/>
      <w:marTop w:val="0"/>
      <w:marBottom w:val="0"/>
      <w:divBdr>
        <w:top w:val="none" w:sz="0" w:space="0" w:color="auto"/>
        <w:left w:val="none" w:sz="0" w:space="0" w:color="auto"/>
        <w:bottom w:val="none" w:sz="0" w:space="0" w:color="auto"/>
        <w:right w:val="none" w:sz="0" w:space="0" w:color="auto"/>
      </w:divBdr>
    </w:div>
    <w:div w:id="1474715009">
      <w:bodyDiv w:val="1"/>
      <w:marLeft w:val="0"/>
      <w:marRight w:val="0"/>
      <w:marTop w:val="0"/>
      <w:marBottom w:val="0"/>
      <w:divBdr>
        <w:top w:val="none" w:sz="0" w:space="0" w:color="auto"/>
        <w:left w:val="none" w:sz="0" w:space="0" w:color="auto"/>
        <w:bottom w:val="none" w:sz="0" w:space="0" w:color="auto"/>
        <w:right w:val="none" w:sz="0" w:space="0" w:color="auto"/>
      </w:divBdr>
    </w:div>
    <w:div w:id="1478647586">
      <w:bodyDiv w:val="1"/>
      <w:marLeft w:val="0"/>
      <w:marRight w:val="0"/>
      <w:marTop w:val="0"/>
      <w:marBottom w:val="0"/>
      <w:divBdr>
        <w:top w:val="none" w:sz="0" w:space="0" w:color="auto"/>
        <w:left w:val="none" w:sz="0" w:space="0" w:color="auto"/>
        <w:bottom w:val="none" w:sz="0" w:space="0" w:color="auto"/>
        <w:right w:val="none" w:sz="0" w:space="0" w:color="auto"/>
      </w:divBdr>
      <w:divsChild>
        <w:div w:id="358434066">
          <w:marLeft w:val="418"/>
          <w:marRight w:val="0"/>
          <w:marTop w:val="58"/>
          <w:marBottom w:val="0"/>
          <w:divBdr>
            <w:top w:val="none" w:sz="0" w:space="0" w:color="auto"/>
            <w:left w:val="none" w:sz="0" w:space="0" w:color="auto"/>
            <w:bottom w:val="none" w:sz="0" w:space="0" w:color="auto"/>
            <w:right w:val="none" w:sz="0" w:space="0" w:color="auto"/>
          </w:divBdr>
        </w:div>
        <w:div w:id="1627661895">
          <w:marLeft w:val="418"/>
          <w:marRight w:val="0"/>
          <w:marTop w:val="58"/>
          <w:marBottom w:val="0"/>
          <w:divBdr>
            <w:top w:val="none" w:sz="0" w:space="0" w:color="auto"/>
            <w:left w:val="none" w:sz="0" w:space="0" w:color="auto"/>
            <w:bottom w:val="none" w:sz="0" w:space="0" w:color="auto"/>
            <w:right w:val="none" w:sz="0" w:space="0" w:color="auto"/>
          </w:divBdr>
        </w:div>
      </w:divsChild>
    </w:div>
    <w:div w:id="1484659991">
      <w:bodyDiv w:val="1"/>
      <w:marLeft w:val="0"/>
      <w:marRight w:val="0"/>
      <w:marTop w:val="0"/>
      <w:marBottom w:val="0"/>
      <w:divBdr>
        <w:top w:val="none" w:sz="0" w:space="0" w:color="auto"/>
        <w:left w:val="none" w:sz="0" w:space="0" w:color="auto"/>
        <w:bottom w:val="none" w:sz="0" w:space="0" w:color="auto"/>
        <w:right w:val="none" w:sz="0" w:space="0" w:color="auto"/>
      </w:divBdr>
      <w:divsChild>
        <w:div w:id="1400207577">
          <w:marLeft w:val="432"/>
          <w:marRight w:val="0"/>
          <w:marTop w:val="58"/>
          <w:marBottom w:val="0"/>
          <w:divBdr>
            <w:top w:val="none" w:sz="0" w:space="0" w:color="auto"/>
            <w:left w:val="none" w:sz="0" w:space="0" w:color="auto"/>
            <w:bottom w:val="none" w:sz="0" w:space="0" w:color="auto"/>
            <w:right w:val="none" w:sz="0" w:space="0" w:color="auto"/>
          </w:divBdr>
        </w:div>
        <w:div w:id="1407655076">
          <w:marLeft w:val="432"/>
          <w:marRight w:val="0"/>
          <w:marTop w:val="58"/>
          <w:marBottom w:val="0"/>
          <w:divBdr>
            <w:top w:val="none" w:sz="0" w:space="0" w:color="auto"/>
            <w:left w:val="none" w:sz="0" w:space="0" w:color="auto"/>
            <w:bottom w:val="none" w:sz="0" w:space="0" w:color="auto"/>
            <w:right w:val="none" w:sz="0" w:space="0" w:color="auto"/>
          </w:divBdr>
        </w:div>
      </w:divsChild>
    </w:div>
    <w:div w:id="1500852817">
      <w:bodyDiv w:val="1"/>
      <w:marLeft w:val="0"/>
      <w:marRight w:val="0"/>
      <w:marTop w:val="0"/>
      <w:marBottom w:val="0"/>
      <w:divBdr>
        <w:top w:val="none" w:sz="0" w:space="0" w:color="auto"/>
        <w:left w:val="none" w:sz="0" w:space="0" w:color="auto"/>
        <w:bottom w:val="none" w:sz="0" w:space="0" w:color="auto"/>
        <w:right w:val="none" w:sz="0" w:space="0" w:color="auto"/>
      </w:divBdr>
    </w:div>
    <w:div w:id="1563441115">
      <w:bodyDiv w:val="1"/>
      <w:marLeft w:val="0"/>
      <w:marRight w:val="0"/>
      <w:marTop w:val="0"/>
      <w:marBottom w:val="0"/>
      <w:divBdr>
        <w:top w:val="none" w:sz="0" w:space="0" w:color="auto"/>
        <w:left w:val="none" w:sz="0" w:space="0" w:color="auto"/>
        <w:bottom w:val="none" w:sz="0" w:space="0" w:color="auto"/>
        <w:right w:val="none" w:sz="0" w:space="0" w:color="auto"/>
      </w:divBdr>
    </w:div>
    <w:div w:id="1607231684">
      <w:bodyDiv w:val="1"/>
      <w:marLeft w:val="0"/>
      <w:marRight w:val="0"/>
      <w:marTop w:val="0"/>
      <w:marBottom w:val="0"/>
      <w:divBdr>
        <w:top w:val="none" w:sz="0" w:space="0" w:color="auto"/>
        <w:left w:val="none" w:sz="0" w:space="0" w:color="auto"/>
        <w:bottom w:val="none" w:sz="0" w:space="0" w:color="auto"/>
        <w:right w:val="none" w:sz="0" w:space="0" w:color="auto"/>
      </w:divBdr>
      <w:divsChild>
        <w:div w:id="646324068">
          <w:marLeft w:val="418"/>
          <w:marRight w:val="0"/>
          <w:marTop w:val="58"/>
          <w:marBottom w:val="0"/>
          <w:divBdr>
            <w:top w:val="none" w:sz="0" w:space="0" w:color="auto"/>
            <w:left w:val="none" w:sz="0" w:space="0" w:color="auto"/>
            <w:bottom w:val="none" w:sz="0" w:space="0" w:color="auto"/>
            <w:right w:val="none" w:sz="0" w:space="0" w:color="auto"/>
          </w:divBdr>
        </w:div>
        <w:div w:id="1078939358">
          <w:marLeft w:val="418"/>
          <w:marRight w:val="0"/>
          <w:marTop w:val="58"/>
          <w:marBottom w:val="0"/>
          <w:divBdr>
            <w:top w:val="none" w:sz="0" w:space="0" w:color="auto"/>
            <w:left w:val="none" w:sz="0" w:space="0" w:color="auto"/>
            <w:bottom w:val="none" w:sz="0" w:space="0" w:color="auto"/>
            <w:right w:val="none" w:sz="0" w:space="0" w:color="auto"/>
          </w:divBdr>
        </w:div>
        <w:div w:id="1284187171">
          <w:marLeft w:val="418"/>
          <w:marRight w:val="0"/>
          <w:marTop w:val="58"/>
          <w:marBottom w:val="0"/>
          <w:divBdr>
            <w:top w:val="none" w:sz="0" w:space="0" w:color="auto"/>
            <w:left w:val="none" w:sz="0" w:space="0" w:color="auto"/>
            <w:bottom w:val="none" w:sz="0" w:space="0" w:color="auto"/>
            <w:right w:val="none" w:sz="0" w:space="0" w:color="auto"/>
          </w:divBdr>
        </w:div>
      </w:divsChild>
    </w:div>
    <w:div w:id="1618559198">
      <w:bodyDiv w:val="1"/>
      <w:marLeft w:val="0"/>
      <w:marRight w:val="0"/>
      <w:marTop w:val="0"/>
      <w:marBottom w:val="0"/>
      <w:divBdr>
        <w:top w:val="none" w:sz="0" w:space="0" w:color="auto"/>
        <w:left w:val="none" w:sz="0" w:space="0" w:color="auto"/>
        <w:bottom w:val="none" w:sz="0" w:space="0" w:color="auto"/>
        <w:right w:val="none" w:sz="0" w:space="0" w:color="auto"/>
      </w:divBdr>
    </w:div>
    <w:div w:id="1627198138">
      <w:bodyDiv w:val="1"/>
      <w:marLeft w:val="0"/>
      <w:marRight w:val="0"/>
      <w:marTop w:val="0"/>
      <w:marBottom w:val="0"/>
      <w:divBdr>
        <w:top w:val="none" w:sz="0" w:space="0" w:color="auto"/>
        <w:left w:val="none" w:sz="0" w:space="0" w:color="auto"/>
        <w:bottom w:val="none" w:sz="0" w:space="0" w:color="auto"/>
        <w:right w:val="none" w:sz="0" w:space="0" w:color="auto"/>
      </w:divBdr>
    </w:div>
    <w:div w:id="1638334839">
      <w:bodyDiv w:val="1"/>
      <w:marLeft w:val="0"/>
      <w:marRight w:val="0"/>
      <w:marTop w:val="0"/>
      <w:marBottom w:val="0"/>
      <w:divBdr>
        <w:top w:val="none" w:sz="0" w:space="0" w:color="auto"/>
        <w:left w:val="none" w:sz="0" w:space="0" w:color="auto"/>
        <w:bottom w:val="none" w:sz="0" w:space="0" w:color="auto"/>
        <w:right w:val="none" w:sz="0" w:space="0" w:color="auto"/>
      </w:divBdr>
    </w:div>
    <w:div w:id="1662851067">
      <w:bodyDiv w:val="1"/>
      <w:marLeft w:val="0"/>
      <w:marRight w:val="0"/>
      <w:marTop w:val="0"/>
      <w:marBottom w:val="0"/>
      <w:divBdr>
        <w:top w:val="none" w:sz="0" w:space="0" w:color="auto"/>
        <w:left w:val="none" w:sz="0" w:space="0" w:color="auto"/>
        <w:bottom w:val="none" w:sz="0" w:space="0" w:color="auto"/>
        <w:right w:val="none" w:sz="0" w:space="0" w:color="auto"/>
      </w:divBdr>
    </w:div>
    <w:div w:id="1689023490">
      <w:bodyDiv w:val="1"/>
      <w:marLeft w:val="0"/>
      <w:marRight w:val="0"/>
      <w:marTop w:val="0"/>
      <w:marBottom w:val="0"/>
      <w:divBdr>
        <w:top w:val="none" w:sz="0" w:space="0" w:color="auto"/>
        <w:left w:val="none" w:sz="0" w:space="0" w:color="auto"/>
        <w:bottom w:val="none" w:sz="0" w:space="0" w:color="auto"/>
        <w:right w:val="none" w:sz="0" w:space="0" w:color="auto"/>
      </w:divBdr>
    </w:div>
    <w:div w:id="1748647134">
      <w:bodyDiv w:val="1"/>
      <w:marLeft w:val="0"/>
      <w:marRight w:val="0"/>
      <w:marTop w:val="0"/>
      <w:marBottom w:val="0"/>
      <w:divBdr>
        <w:top w:val="none" w:sz="0" w:space="0" w:color="auto"/>
        <w:left w:val="none" w:sz="0" w:space="0" w:color="auto"/>
        <w:bottom w:val="none" w:sz="0" w:space="0" w:color="auto"/>
        <w:right w:val="none" w:sz="0" w:space="0" w:color="auto"/>
      </w:divBdr>
    </w:div>
    <w:div w:id="1755081391">
      <w:bodyDiv w:val="1"/>
      <w:marLeft w:val="0"/>
      <w:marRight w:val="0"/>
      <w:marTop w:val="0"/>
      <w:marBottom w:val="0"/>
      <w:divBdr>
        <w:top w:val="none" w:sz="0" w:space="0" w:color="auto"/>
        <w:left w:val="none" w:sz="0" w:space="0" w:color="auto"/>
        <w:bottom w:val="none" w:sz="0" w:space="0" w:color="auto"/>
        <w:right w:val="none" w:sz="0" w:space="0" w:color="auto"/>
      </w:divBdr>
    </w:div>
    <w:div w:id="1760904241">
      <w:bodyDiv w:val="1"/>
      <w:marLeft w:val="0"/>
      <w:marRight w:val="0"/>
      <w:marTop w:val="0"/>
      <w:marBottom w:val="0"/>
      <w:divBdr>
        <w:top w:val="none" w:sz="0" w:space="0" w:color="auto"/>
        <w:left w:val="none" w:sz="0" w:space="0" w:color="auto"/>
        <w:bottom w:val="none" w:sz="0" w:space="0" w:color="auto"/>
        <w:right w:val="none" w:sz="0" w:space="0" w:color="auto"/>
      </w:divBdr>
      <w:divsChild>
        <w:div w:id="1242370482">
          <w:marLeft w:val="418"/>
          <w:marRight w:val="0"/>
          <w:marTop w:val="58"/>
          <w:marBottom w:val="0"/>
          <w:divBdr>
            <w:top w:val="none" w:sz="0" w:space="0" w:color="auto"/>
            <w:left w:val="none" w:sz="0" w:space="0" w:color="auto"/>
            <w:bottom w:val="none" w:sz="0" w:space="0" w:color="auto"/>
            <w:right w:val="none" w:sz="0" w:space="0" w:color="auto"/>
          </w:divBdr>
        </w:div>
      </w:divsChild>
    </w:div>
    <w:div w:id="1791900997">
      <w:bodyDiv w:val="1"/>
      <w:marLeft w:val="0"/>
      <w:marRight w:val="0"/>
      <w:marTop w:val="0"/>
      <w:marBottom w:val="0"/>
      <w:divBdr>
        <w:top w:val="none" w:sz="0" w:space="0" w:color="auto"/>
        <w:left w:val="none" w:sz="0" w:space="0" w:color="auto"/>
        <w:bottom w:val="none" w:sz="0" w:space="0" w:color="auto"/>
        <w:right w:val="none" w:sz="0" w:space="0" w:color="auto"/>
      </w:divBdr>
    </w:div>
    <w:div w:id="1814758893">
      <w:bodyDiv w:val="1"/>
      <w:marLeft w:val="0"/>
      <w:marRight w:val="0"/>
      <w:marTop w:val="0"/>
      <w:marBottom w:val="0"/>
      <w:divBdr>
        <w:top w:val="none" w:sz="0" w:space="0" w:color="auto"/>
        <w:left w:val="none" w:sz="0" w:space="0" w:color="auto"/>
        <w:bottom w:val="none" w:sz="0" w:space="0" w:color="auto"/>
        <w:right w:val="none" w:sz="0" w:space="0" w:color="auto"/>
      </w:divBdr>
    </w:div>
    <w:div w:id="1850100481">
      <w:bodyDiv w:val="1"/>
      <w:marLeft w:val="0"/>
      <w:marRight w:val="0"/>
      <w:marTop w:val="0"/>
      <w:marBottom w:val="0"/>
      <w:divBdr>
        <w:top w:val="none" w:sz="0" w:space="0" w:color="auto"/>
        <w:left w:val="none" w:sz="0" w:space="0" w:color="auto"/>
        <w:bottom w:val="none" w:sz="0" w:space="0" w:color="auto"/>
        <w:right w:val="none" w:sz="0" w:space="0" w:color="auto"/>
      </w:divBdr>
      <w:divsChild>
        <w:div w:id="992415404">
          <w:marLeft w:val="432"/>
          <w:marRight w:val="0"/>
          <w:marTop w:val="58"/>
          <w:marBottom w:val="0"/>
          <w:divBdr>
            <w:top w:val="none" w:sz="0" w:space="0" w:color="auto"/>
            <w:left w:val="none" w:sz="0" w:space="0" w:color="auto"/>
            <w:bottom w:val="none" w:sz="0" w:space="0" w:color="auto"/>
            <w:right w:val="none" w:sz="0" w:space="0" w:color="auto"/>
          </w:divBdr>
        </w:div>
        <w:div w:id="1487941196">
          <w:marLeft w:val="432"/>
          <w:marRight w:val="0"/>
          <w:marTop w:val="58"/>
          <w:marBottom w:val="0"/>
          <w:divBdr>
            <w:top w:val="none" w:sz="0" w:space="0" w:color="auto"/>
            <w:left w:val="none" w:sz="0" w:space="0" w:color="auto"/>
            <w:bottom w:val="none" w:sz="0" w:space="0" w:color="auto"/>
            <w:right w:val="none" w:sz="0" w:space="0" w:color="auto"/>
          </w:divBdr>
        </w:div>
        <w:div w:id="1854832386">
          <w:marLeft w:val="432"/>
          <w:marRight w:val="0"/>
          <w:marTop w:val="58"/>
          <w:marBottom w:val="0"/>
          <w:divBdr>
            <w:top w:val="none" w:sz="0" w:space="0" w:color="auto"/>
            <w:left w:val="none" w:sz="0" w:space="0" w:color="auto"/>
            <w:bottom w:val="none" w:sz="0" w:space="0" w:color="auto"/>
            <w:right w:val="none" w:sz="0" w:space="0" w:color="auto"/>
          </w:divBdr>
        </w:div>
      </w:divsChild>
    </w:div>
    <w:div w:id="1853447418">
      <w:bodyDiv w:val="1"/>
      <w:marLeft w:val="0"/>
      <w:marRight w:val="0"/>
      <w:marTop w:val="0"/>
      <w:marBottom w:val="0"/>
      <w:divBdr>
        <w:top w:val="none" w:sz="0" w:space="0" w:color="auto"/>
        <w:left w:val="none" w:sz="0" w:space="0" w:color="auto"/>
        <w:bottom w:val="none" w:sz="0" w:space="0" w:color="auto"/>
        <w:right w:val="none" w:sz="0" w:space="0" w:color="auto"/>
      </w:divBdr>
      <w:divsChild>
        <w:div w:id="11416713">
          <w:marLeft w:val="576"/>
          <w:marRight w:val="0"/>
          <w:marTop w:val="48"/>
          <w:marBottom w:val="0"/>
          <w:divBdr>
            <w:top w:val="none" w:sz="0" w:space="0" w:color="auto"/>
            <w:left w:val="none" w:sz="0" w:space="0" w:color="auto"/>
            <w:bottom w:val="none" w:sz="0" w:space="0" w:color="auto"/>
            <w:right w:val="none" w:sz="0" w:space="0" w:color="auto"/>
          </w:divBdr>
        </w:div>
        <w:div w:id="222179628">
          <w:marLeft w:val="288"/>
          <w:marRight w:val="0"/>
          <w:marTop w:val="48"/>
          <w:marBottom w:val="0"/>
          <w:divBdr>
            <w:top w:val="none" w:sz="0" w:space="0" w:color="auto"/>
            <w:left w:val="none" w:sz="0" w:space="0" w:color="auto"/>
            <w:bottom w:val="none" w:sz="0" w:space="0" w:color="auto"/>
            <w:right w:val="none" w:sz="0" w:space="0" w:color="auto"/>
          </w:divBdr>
        </w:div>
        <w:div w:id="402678909">
          <w:marLeft w:val="576"/>
          <w:marRight w:val="0"/>
          <w:marTop w:val="48"/>
          <w:marBottom w:val="0"/>
          <w:divBdr>
            <w:top w:val="none" w:sz="0" w:space="0" w:color="auto"/>
            <w:left w:val="none" w:sz="0" w:space="0" w:color="auto"/>
            <w:bottom w:val="none" w:sz="0" w:space="0" w:color="auto"/>
            <w:right w:val="none" w:sz="0" w:space="0" w:color="auto"/>
          </w:divBdr>
        </w:div>
        <w:div w:id="451094200">
          <w:marLeft w:val="850"/>
          <w:marRight w:val="0"/>
          <w:marTop w:val="48"/>
          <w:marBottom w:val="0"/>
          <w:divBdr>
            <w:top w:val="none" w:sz="0" w:space="0" w:color="auto"/>
            <w:left w:val="none" w:sz="0" w:space="0" w:color="auto"/>
            <w:bottom w:val="none" w:sz="0" w:space="0" w:color="auto"/>
            <w:right w:val="none" w:sz="0" w:space="0" w:color="auto"/>
          </w:divBdr>
        </w:div>
        <w:div w:id="458501403">
          <w:marLeft w:val="576"/>
          <w:marRight w:val="0"/>
          <w:marTop w:val="48"/>
          <w:marBottom w:val="0"/>
          <w:divBdr>
            <w:top w:val="none" w:sz="0" w:space="0" w:color="auto"/>
            <w:left w:val="none" w:sz="0" w:space="0" w:color="auto"/>
            <w:bottom w:val="none" w:sz="0" w:space="0" w:color="auto"/>
            <w:right w:val="none" w:sz="0" w:space="0" w:color="auto"/>
          </w:divBdr>
        </w:div>
        <w:div w:id="636183305">
          <w:marLeft w:val="288"/>
          <w:marRight w:val="0"/>
          <w:marTop w:val="48"/>
          <w:marBottom w:val="0"/>
          <w:divBdr>
            <w:top w:val="none" w:sz="0" w:space="0" w:color="auto"/>
            <w:left w:val="none" w:sz="0" w:space="0" w:color="auto"/>
            <w:bottom w:val="none" w:sz="0" w:space="0" w:color="auto"/>
            <w:right w:val="none" w:sz="0" w:space="0" w:color="auto"/>
          </w:divBdr>
        </w:div>
        <w:div w:id="730882494">
          <w:marLeft w:val="576"/>
          <w:marRight w:val="0"/>
          <w:marTop w:val="48"/>
          <w:marBottom w:val="0"/>
          <w:divBdr>
            <w:top w:val="none" w:sz="0" w:space="0" w:color="auto"/>
            <w:left w:val="none" w:sz="0" w:space="0" w:color="auto"/>
            <w:bottom w:val="none" w:sz="0" w:space="0" w:color="auto"/>
            <w:right w:val="none" w:sz="0" w:space="0" w:color="auto"/>
          </w:divBdr>
        </w:div>
        <w:div w:id="751392728">
          <w:marLeft w:val="576"/>
          <w:marRight w:val="0"/>
          <w:marTop w:val="48"/>
          <w:marBottom w:val="0"/>
          <w:divBdr>
            <w:top w:val="none" w:sz="0" w:space="0" w:color="auto"/>
            <w:left w:val="none" w:sz="0" w:space="0" w:color="auto"/>
            <w:bottom w:val="none" w:sz="0" w:space="0" w:color="auto"/>
            <w:right w:val="none" w:sz="0" w:space="0" w:color="auto"/>
          </w:divBdr>
        </w:div>
        <w:div w:id="890385514">
          <w:marLeft w:val="576"/>
          <w:marRight w:val="0"/>
          <w:marTop w:val="48"/>
          <w:marBottom w:val="0"/>
          <w:divBdr>
            <w:top w:val="none" w:sz="0" w:space="0" w:color="auto"/>
            <w:left w:val="none" w:sz="0" w:space="0" w:color="auto"/>
            <w:bottom w:val="none" w:sz="0" w:space="0" w:color="auto"/>
            <w:right w:val="none" w:sz="0" w:space="0" w:color="auto"/>
          </w:divBdr>
        </w:div>
        <w:div w:id="1007367749">
          <w:marLeft w:val="576"/>
          <w:marRight w:val="0"/>
          <w:marTop w:val="48"/>
          <w:marBottom w:val="0"/>
          <w:divBdr>
            <w:top w:val="none" w:sz="0" w:space="0" w:color="auto"/>
            <w:left w:val="none" w:sz="0" w:space="0" w:color="auto"/>
            <w:bottom w:val="none" w:sz="0" w:space="0" w:color="auto"/>
            <w:right w:val="none" w:sz="0" w:space="0" w:color="auto"/>
          </w:divBdr>
        </w:div>
        <w:div w:id="1046836124">
          <w:marLeft w:val="576"/>
          <w:marRight w:val="0"/>
          <w:marTop w:val="48"/>
          <w:marBottom w:val="0"/>
          <w:divBdr>
            <w:top w:val="none" w:sz="0" w:space="0" w:color="auto"/>
            <w:left w:val="none" w:sz="0" w:space="0" w:color="auto"/>
            <w:bottom w:val="none" w:sz="0" w:space="0" w:color="auto"/>
            <w:right w:val="none" w:sz="0" w:space="0" w:color="auto"/>
          </w:divBdr>
        </w:div>
        <w:div w:id="1251427762">
          <w:marLeft w:val="288"/>
          <w:marRight w:val="0"/>
          <w:marTop w:val="48"/>
          <w:marBottom w:val="0"/>
          <w:divBdr>
            <w:top w:val="none" w:sz="0" w:space="0" w:color="auto"/>
            <w:left w:val="none" w:sz="0" w:space="0" w:color="auto"/>
            <w:bottom w:val="none" w:sz="0" w:space="0" w:color="auto"/>
            <w:right w:val="none" w:sz="0" w:space="0" w:color="auto"/>
          </w:divBdr>
        </w:div>
        <w:div w:id="1435830864">
          <w:marLeft w:val="576"/>
          <w:marRight w:val="0"/>
          <w:marTop w:val="48"/>
          <w:marBottom w:val="0"/>
          <w:divBdr>
            <w:top w:val="none" w:sz="0" w:space="0" w:color="auto"/>
            <w:left w:val="none" w:sz="0" w:space="0" w:color="auto"/>
            <w:bottom w:val="none" w:sz="0" w:space="0" w:color="auto"/>
            <w:right w:val="none" w:sz="0" w:space="0" w:color="auto"/>
          </w:divBdr>
        </w:div>
        <w:div w:id="1487934434">
          <w:marLeft w:val="288"/>
          <w:marRight w:val="0"/>
          <w:marTop w:val="48"/>
          <w:marBottom w:val="0"/>
          <w:divBdr>
            <w:top w:val="none" w:sz="0" w:space="0" w:color="auto"/>
            <w:left w:val="none" w:sz="0" w:space="0" w:color="auto"/>
            <w:bottom w:val="none" w:sz="0" w:space="0" w:color="auto"/>
            <w:right w:val="none" w:sz="0" w:space="0" w:color="auto"/>
          </w:divBdr>
        </w:div>
        <w:div w:id="1640838215">
          <w:marLeft w:val="576"/>
          <w:marRight w:val="0"/>
          <w:marTop w:val="48"/>
          <w:marBottom w:val="0"/>
          <w:divBdr>
            <w:top w:val="none" w:sz="0" w:space="0" w:color="auto"/>
            <w:left w:val="none" w:sz="0" w:space="0" w:color="auto"/>
            <w:bottom w:val="none" w:sz="0" w:space="0" w:color="auto"/>
            <w:right w:val="none" w:sz="0" w:space="0" w:color="auto"/>
          </w:divBdr>
        </w:div>
        <w:div w:id="1781488933">
          <w:marLeft w:val="576"/>
          <w:marRight w:val="0"/>
          <w:marTop w:val="48"/>
          <w:marBottom w:val="0"/>
          <w:divBdr>
            <w:top w:val="none" w:sz="0" w:space="0" w:color="auto"/>
            <w:left w:val="none" w:sz="0" w:space="0" w:color="auto"/>
            <w:bottom w:val="none" w:sz="0" w:space="0" w:color="auto"/>
            <w:right w:val="none" w:sz="0" w:space="0" w:color="auto"/>
          </w:divBdr>
        </w:div>
        <w:div w:id="1983385319">
          <w:marLeft w:val="288"/>
          <w:marRight w:val="0"/>
          <w:marTop w:val="48"/>
          <w:marBottom w:val="0"/>
          <w:divBdr>
            <w:top w:val="none" w:sz="0" w:space="0" w:color="auto"/>
            <w:left w:val="none" w:sz="0" w:space="0" w:color="auto"/>
            <w:bottom w:val="none" w:sz="0" w:space="0" w:color="auto"/>
            <w:right w:val="none" w:sz="0" w:space="0" w:color="auto"/>
          </w:divBdr>
        </w:div>
        <w:div w:id="2076582187">
          <w:marLeft w:val="288"/>
          <w:marRight w:val="0"/>
          <w:marTop w:val="48"/>
          <w:marBottom w:val="0"/>
          <w:divBdr>
            <w:top w:val="none" w:sz="0" w:space="0" w:color="auto"/>
            <w:left w:val="none" w:sz="0" w:space="0" w:color="auto"/>
            <w:bottom w:val="none" w:sz="0" w:space="0" w:color="auto"/>
            <w:right w:val="none" w:sz="0" w:space="0" w:color="auto"/>
          </w:divBdr>
        </w:div>
        <w:div w:id="2108962911">
          <w:marLeft w:val="576"/>
          <w:marRight w:val="0"/>
          <w:marTop w:val="48"/>
          <w:marBottom w:val="0"/>
          <w:divBdr>
            <w:top w:val="none" w:sz="0" w:space="0" w:color="auto"/>
            <w:left w:val="none" w:sz="0" w:space="0" w:color="auto"/>
            <w:bottom w:val="none" w:sz="0" w:space="0" w:color="auto"/>
            <w:right w:val="none" w:sz="0" w:space="0" w:color="auto"/>
          </w:divBdr>
        </w:div>
        <w:div w:id="2115245709">
          <w:marLeft w:val="576"/>
          <w:marRight w:val="0"/>
          <w:marTop w:val="48"/>
          <w:marBottom w:val="0"/>
          <w:divBdr>
            <w:top w:val="none" w:sz="0" w:space="0" w:color="auto"/>
            <w:left w:val="none" w:sz="0" w:space="0" w:color="auto"/>
            <w:bottom w:val="none" w:sz="0" w:space="0" w:color="auto"/>
            <w:right w:val="none" w:sz="0" w:space="0" w:color="auto"/>
          </w:divBdr>
        </w:div>
        <w:div w:id="2147164694">
          <w:marLeft w:val="576"/>
          <w:marRight w:val="0"/>
          <w:marTop w:val="48"/>
          <w:marBottom w:val="0"/>
          <w:divBdr>
            <w:top w:val="none" w:sz="0" w:space="0" w:color="auto"/>
            <w:left w:val="none" w:sz="0" w:space="0" w:color="auto"/>
            <w:bottom w:val="none" w:sz="0" w:space="0" w:color="auto"/>
            <w:right w:val="none" w:sz="0" w:space="0" w:color="auto"/>
          </w:divBdr>
        </w:div>
      </w:divsChild>
    </w:div>
    <w:div w:id="1858233452">
      <w:bodyDiv w:val="1"/>
      <w:marLeft w:val="0"/>
      <w:marRight w:val="0"/>
      <w:marTop w:val="0"/>
      <w:marBottom w:val="0"/>
      <w:divBdr>
        <w:top w:val="none" w:sz="0" w:space="0" w:color="auto"/>
        <w:left w:val="none" w:sz="0" w:space="0" w:color="auto"/>
        <w:bottom w:val="none" w:sz="0" w:space="0" w:color="auto"/>
        <w:right w:val="none" w:sz="0" w:space="0" w:color="auto"/>
      </w:divBdr>
    </w:div>
    <w:div w:id="1877815052">
      <w:bodyDiv w:val="1"/>
      <w:marLeft w:val="0"/>
      <w:marRight w:val="0"/>
      <w:marTop w:val="0"/>
      <w:marBottom w:val="0"/>
      <w:divBdr>
        <w:top w:val="none" w:sz="0" w:space="0" w:color="auto"/>
        <w:left w:val="none" w:sz="0" w:space="0" w:color="auto"/>
        <w:bottom w:val="none" w:sz="0" w:space="0" w:color="auto"/>
        <w:right w:val="none" w:sz="0" w:space="0" w:color="auto"/>
      </w:divBdr>
    </w:div>
    <w:div w:id="1885825105">
      <w:bodyDiv w:val="1"/>
      <w:marLeft w:val="0"/>
      <w:marRight w:val="0"/>
      <w:marTop w:val="0"/>
      <w:marBottom w:val="0"/>
      <w:divBdr>
        <w:top w:val="none" w:sz="0" w:space="0" w:color="auto"/>
        <w:left w:val="none" w:sz="0" w:space="0" w:color="auto"/>
        <w:bottom w:val="none" w:sz="0" w:space="0" w:color="auto"/>
        <w:right w:val="none" w:sz="0" w:space="0" w:color="auto"/>
      </w:divBdr>
      <w:divsChild>
        <w:div w:id="88089288">
          <w:marLeft w:val="418"/>
          <w:marRight w:val="0"/>
          <w:marTop w:val="58"/>
          <w:marBottom w:val="0"/>
          <w:divBdr>
            <w:top w:val="none" w:sz="0" w:space="0" w:color="auto"/>
            <w:left w:val="none" w:sz="0" w:space="0" w:color="auto"/>
            <w:bottom w:val="none" w:sz="0" w:space="0" w:color="auto"/>
            <w:right w:val="none" w:sz="0" w:space="0" w:color="auto"/>
          </w:divBdr>
        </w:div>
        <w:div w:id="953949480">
          <w:marLeft w:val="418"/>
          <w:marRight w:val="0"/>
          <w:marTop w:val="58"/>
          <w:marBottom w:val="0"/>
          <w:divBdr>
            <w:top w:val="none" w:sz="0" w:space="0" w:color="auto"/>
            <w:left w:val="none" w:sz="0" w:space="0" w:color="auto"/>
            <w:bottom w:val="none" w:sz="0" w:space="0" w:color="auto"/>
            <w:right w:val="none" w:sz="0" w:space="0" w:color="auto"/>
          </w:divBdr>
        </w:div>
      </w:divsChild>
    </w:div>
    <w:div w:id="1894072806">
      <w:bodyDiv w:val="1"/>
      <w:marLeft w:val="0"/>
      <w:marRight w:val="0"/>
      <w:marTop w:val="0"/>
      <w:marBottom w:val="0"/>
      <w:divBdr>
        <w:top w:val="none" w:sz="0" w:space="0" w:color="auto"/>
        <w:left w:val="none" w:sz="0" w:space="0" w:color="auto"/>
        <w:bottom w:val="none" w:sz="0" w:space="0" w:color="auto"/>
        <w:right w:val="none" w:sz="0" w:space="0" w:color="auto"/>
      </w:divBdr>
    </w:div>
    <w:div w:id="1942640100">
      <w:bodyDiv w:val="1"/>
      <w:marLeft w:val="0"/>
      <w:marRight w:val="0"/>
      <w:marTop w:val="0"/>
      <w:marBottom w:val="0"/>
      <w:divBdr>
        <w:top w:val="none" w:sz="0" w:space="0" w:color="auto"/>
        <w:left w:val="none" w:sz="0" w:space="0" w:color="auto"/>
        <w:bottom w:val="none" w:sz="0" w:space="0" w:color="auto"/>
        <w:right w:val="none" w:sz="0" w:space="0" w:color="auto"/>
      </w:divBdr>
    </w:div>
    <w:div w:id="1943873635">
      <w:bodyDiv w:val="1"/>
      <w:marLeft w:val="0"/>
      <w:marRight w:val="0"/>
      <w:marTop w:val="0"/>
      <w:marBottom w:val="0"/>
      <w:divBdr>
        <w:top w:val="none" w:sz="0" w:space="0" w:color="auto"/>
        <w:left w:val="none" w:sz="0" w:space="0" w:color="auto"/>
        <w:bottom w:val="none" w:sz="0" w:space="0" w:color="auto"/>
        <w:right w:val="none" w:sz="0" w:space="0" w:color="auto"/>
      </w:divBdr>
    </w:div>
    <w:div w:id="1944191676">
      <w:bodyDiv w:val="1"/>
      <w:marLeft w:val="0"/>
      <w:marRight w:val="0"/>
      <w:marTop w:val="0"/>
      <w:marBottom w:val="0"/>
      <w:divBdr>
        <w:top w:val="none" w:sz="0" w:space="0" w:color="auto"/>
        <w:left w:val="none" w:sz="0" w:space="0" w:color="auto"/>
        <w:bottom w:val="none" w:sz="0" w:space="0" w:color="auto"/>
        <w:right w:val="none" w:sz="0" w:space="0" w:color="auto"/>
      </w:divBdr>
      <w:divsChild>
        <w:div w:id="134950326">
          <w:marLeft w:val="576"/>
          <w:marRight w:val="0"/>
          <w:marTop w:val="48"/>
          <w:marBottom w:val="0"/>
          <w:divBdr>
            <w:top w:val="none" w:sz="0" w:space="0" w:color="auto"/>
            <w:left w:val="none" w:sz="0" w:space="0" w:color="auto"/>
            <w:bottom w:val="none" w:sz="0" w:space="0" w:color="auto"/>
            <w:right w:val="none" w:sz="0" w:space="0" w:color="auto"/>
          </w:divBdr>
        </w:div>
        <w:div w:id="194389829">
          <w:marLeft w:val="576"/>
          <w:marRight w:val="0"/>
          <w:marTop w:val="48"/>
          <w:marBottom w:val="0"/>
          <w:divBdr>
            <w:top w:val="none" w:sz="0" w:space="0" w:color="auto"/>
            <w:left w:val="none" w:sz="0" w:space="0" w:color="auto"/>
            <w:bottom w:val="none" w:sz="0" w:space="0" w:color="auto"/>
            <w:right w:val="none" w:sz="0" w:space="0" w:color="auto"/>
          </w:divBdr>
        </w:div>
        <w:div w:id="244338364">
          <w:marLeft w:val="576"/>
          <w:marRight w:val="0"/>
          <w:marTop w:val="48"/>
          <w:marBottom w:val="0"/>
          <w:divBdr>
            <w:top w:val="none" w:sz="0" w:space="0" w:color="auto"/>
            <w:left w:val="none" w:sz="0" w:space="0" w:color="auto"/>
            <w:bottom w:val="none" w:sz="0" w:space="0" w:color="auto"/>
            <w:right w:val="none" w:sz="0" w:space="0" w:color="auto"/>
          </w:divBdr>
        </w:div>
        <w:div w:id="319426772">
          <w:marLeft w:val="850"/>
          <w:marRight w:val="0"/>
          <w:marTop w:val="48"/>
          <w:marBottom w:val="0"/>
          <w:divBdr>
            <w:top w:val="none" w:sz="0" w:space="0" w:color="auto"/>
            <w:left w:val="none" w:sz="0" w:space="0" w:color="auto"/>
            <w:bottom w:val="none" w:sz="0" w:space="0" w:color="auto"/>
            <w:right w:val="none" w:sz="0" w:space="0" w:color="auto"/>
          </w:divBdr>
        </w:div>
        <w:div w:id="403839258">
          <w:marLeft w:val="288"/>
          <w:marRight w:val="0"/>
          <w:marTop w:val="48"/>
          <w:marBottom w:val="0"/>
          <w:divBdr>
            <w:top w:val="none" w:sz="0" w:space="0" w:color="auto"/>
            <w:left w:val="none" w:sz="0" w:space="0" w:color="auto"/>
            <w:bottom w:val="none" w:sz="0" w:space="0" w:color="auto"/>
            <w:right w:val="none" w:sz="0" w:space="0" w:color="auto"/>
          </w:divBdr>
        </w:div>
        <w:div w:id="463620356">
          <w:marLeft w:val="288"/>
          <w:marRight w:val="0"/>
          <w:marTop w:val="48"/>
          <w:marBottom w:val="0"/>
          <w:divBdr>
            <w:top w:val="none" w:sz="0" w:space="0" w:color="auto"/>
            <w:left w:val="none" w:sz="0" w:space="0" w:color="auto"/>
            <w:bottom w:val="none" w:sz="0" w:space="0" w:color="auto"/>
            <w:right w:val="none" w:sz="0" w:space="0" w:color="auto"/>
          </w:divBdr>
        </w:div>
        <w:div w:id="529532500">
          <w:marLeft w:val="576"/>
          <w:marRight w:val="0"/>
          <w:marTop w:val="48"/>
          <w:marBottom w:val="0"/>
          <w:divBdr>
            <w:top w:val="none" w:sz="0" w:space="0" w:color="auto"/>
            <w:left w:val="none" w:sz="0" w:space="0" w:color="auto"/>
            <w:bottom w:val="none" w:sz="0" w:space="0" w:color="auto"/>
            <w:right w:val="none" w:sz="0" w:space="0" w:color="auto"/>
          </w:divBdr>
        </w:div>
        <w:div w:id="555703716">
          <w:marLeft w:val="288"/>
          <w:marRight w:val="0"/>
          <w:marTop w:val="48"/>
          <w:marBottom w:val="0"/>
          <w:divBdr>
            <w:top w:val="none" w:sz="0" w:space="0" w:color="auto"/>
            <w:left w:val="none" w:sz="0" w:space="0" w:color="auto"/>
            <w:bottom w:val="none" w:sz="0" w:space="0" w:color="auto"/>
            <w:right w:val="none" w:sz="0" w:space="0" w:color="auto"/>
          </w:divBdr>
        </w:div>
        <w:div w:id="682391140">
          <w:marLeft w:val="576"/>
          <w:marRight w:val="0"/>
          <w:marTop w:val="48"/>
          <w:marBottom w:val="0"/>
          <w:divBdr>
            <w:top w:val="none" w:sz="0" w:space="0" w:color="auto"/>
            <w:left w:val="none" w:sz="0" w:space="0" w:color="auto"/>
            <w:bottom w:val="none" w:sz="0" w:space="0" w:color="auto"/>
            <w:right w:val="none" w:sz="0" w:space="0" w:color="auto"/>
          </w:divBdr>
        </w:div>
        <w:div w:id="722288182">
          <w:marLeft w:val="576"/>
          <w:marRight w:val="0"/>
          <w:marTop w:val="48"/>
          <w:marBottom w:val="0"/>
          <w:divBdr>
            <w:top w:val="none" w:sz="0" w:space="0" w:color="auto"/>
            <w:left w:val="none" w:sz="0" w:space="0" w:color="auto"/>
            <w:bottom w:val="none" w:sz="0" w:space="0" w:color="auto"/>
            <w:right w:val="none" w:sz="0" w:space="0" w:color="auto"/>
          </w:divBdr>
        </w:div>
        <w:div w:id="729309177">
          <w:marLeft w:val="576"/>
          <w:marRight w:val="0"/>
          <w:marTop w:val="48"/>
          <w:marBottom w:val="0"/>
          <w:divBdr>
            <w:top w:val="none" w:sz="0" w:space="0" w:color="auto"/>
            <w:left w:val="none" w:sz="0" w:space="0" w:color="auto"/>
            <w:bottom w:val="none" w:sz="0" w:space="0" w:color="auto"/>
            <w:right w:val="none" w:sz="0" w:space="0" w:color="auto"/>
          </w:divBdr>
        </w:div>
        <w:div w:id="986209371">
          <w:marLeft w:val="576"/>
          <w:marRight w:val="0"/>
          <w:marTop w:val="48"/>
          <w:marBottom w:val="0"/>
          <w:divBdr>
            <w:top w:val="none" w:sz="0" w:space="0" w:color="auto"/>
            <w:left w:val="none" w:sz="0" w:space="0" w:color="auto"/>
            <w:bottom w:val="none" w:sz="0" w:space="0" w:color="auto"/>
            <w:right w:val="none" w:sz="0" w:space="0" w:color="auto"/>
          </w:divBdr>
        </w:div>
        <w:div w:id="1048534889">
          <w:marLeft w:val="288"/>
          <w:marRight w:val="0"/>
          <w:marTop w:val="48"/>
          <w:marBottom w:val="0"/>
          <w:divBdr>
            <w:top w:val="none" w:sz="0" w:space="0" w:color="auto"/>
            <w:left w:val="none" w:sz="0" w:space="0" w:color="auto"/>
            <w:bottom w:val="none" w:sz="0" w:space="0" w:color="auto"/>
            <w:right w:val="none" w:sz="0" w:space="0" w:color="auto"/>
          </w:divBdr>
        </w:div>
        <w:div w:id="1229150356">
          <w:marLeft w:val="576"/>
          <w:marRight w:val="0"/>
          <w:marTop w:val="48"/>
          <w:marBottom w:val="0"/>
          <w:divBdr>
            <w:top w:val="none" w:sz="0" w:space="0" w:color="auto"/>
            <w:left w:val="none" w:sz="0" w:space="0" w:color="auto"/>
            <w:bottom w:val="none" w:sz="0" w:space="0" w:color="auto"/>
            <w:right w:val="none" w:sz="0" w:space="0" w:color="auto"/>
          </w:divBdr>
        </w:div>
        <w:div w:id="1330131619">
          <w:marLeft w:val="576"/>
          <w:marRight w:val="0"/>
          <w:marTop w:val="48"/>
          <w:marBottom w:val="0"/>
          <w:divBdr>
            <w:top w:val="none" w:sz="0" w:space="0" w:color="auto"/>
            <w:left w:val="none" w:sz="0" w:space="0" w:color="auto"/>
            <w:bottom w:val="none" w:sz="0" w:space="0" w:color="auto"/>
            <w:right w:val="none" w:sz="0" w:space="0" w:color="auto"/>
          </w:divBdr>
        </w:div>
        <w:div w:id="1387333914">
          <w:marLeft w:val="576"/>
          <w:marRight w:val="0"/>
          <w:marTop w:val="48"/>
          <w:marBottom w:val="0"/>
          <w:divBdr>
            <w:top w:val="none" w:sz="0" w:space="0" w:color="auto"/>
            <w:left w:val="none" w:sz="0" w:space="0" w:color="auto"/>
            <w:bottom w:val="none" w:sz="0" w:space="0" w:color="auto"/>
            <w:right w:val="none" w:sz="0" w:space="0" w:color="auto"/>
          </w:divBdr>
        </w:div>
        <w:div w:id="1499230094">
          <w:marLeft w:val="576"/>
          <w:marRight w:val="0"/>
          <w:marTop w:val="48"/>
          <w:marBottom w:val="0"/>
          <w:divBdr>
            <w:top w:val="none" w:sz="0" w:space="0" w:color="auto"/>
            <w:left w:val="none" w:sz="0" w:space="0" w:color="auto"/>
            <w:bottom w:val="none" w:sz="0" w:space="0" w:color="auto"/>
            <w:right w:val="none" w:sz="0" w:space="0" w:color="auto"/>
          </w:divBdr>
        </w:div>
        <w:div w:id="1515192490">
          <w:marLeft w:val="288"/>
          <w:marRight w:val="0"/>
          <w:marTop w:val="48"/>
          <w:marBottom w:val="0"/>
          <w:divBdr>
            <w:top w:val="none" w:sz="0" w:space="0" w:color="auto"/>
            <w:left w:val="none" w:sz="0" w:space="0" w:color="auto"/>
            <w:bottom w:val="none" w:sz="0" w:space="0" w:color="auto"/>
            <w:right w:val="none" w:sz="0" w:space="0" w:color="auto"/>
          </w:divBdr>
        </w:div>
        <w:div w:id="1610427417">
          <w:marLeft w:val="288"/>
          <w:marRight w:val="0"/>
          <w:marTop w:val="48"/>
          <w:marBottom w:val="0"/>
          <w:divBdr>
            <w:top w:val="none" w:sz="0" w:space="0" w:color="auto"/>
            <w:left w:val="none" w:sz="0" w:space="0" w:color="auto"/>
            <w:bottom w:val="none" w:sz="0" w:space="0" w:color="auto"/>
            <w:right w:val="none" w:sz="0" w:space="0" w:color="auto"/>
          </w:divBdr>
        </w:div>
        <w:div w:id="1802570862">
          <w:marLeft w:val="576"/>
          <w:marRight w:val="0"/>
          <w:marTop w:val="48"/>
          <w:marBottom w:val="0"/>
          <w:divBdr>
            <w:top w:val="none" w:sz="0" w:space="0" w:color="auto"/>
            <w:left w:val="none" w:sz="0" w:space="0" w:color="auto"/>
            <w:bottom w:val="none" w:sz="0" w:space="0" w:color="auto"/>
            <w:right w:val="none" w:sz="0" w:space="0" w:color="auto"/>
          </w:divBdr>
        </w:div>
        <w:div w:id="1877355895">
          <w:marLeft w:val="576"/>
          <w:marRight w:val="0"/>
          <w:marTop w:val="48"/>
          <w:marBottom w:val="0"/>
          <w:divBdr>
            <w:top w:val="none" w:sz="0" w:space="0" w:color="auto"/>
            <w:left w:val="none" w:sz="0" w:space="0" w:color="auto"/>
            <w:bottom w:val="none" w:sz="0" w:space="0" w:color="auto"/>
            <w:right w:val="none" w:sz="0" w:space="0" w:color="auto"/>
          </w:divBdr>
        </w:div>
      </w:divsChild>
    </w:div>
    <w:div w:id="2009744026">
      <w:bodyDiv w:val="1"/>
      <w:marLeft w:val="0"/>
      <w:marRight w:val="0"/>
      <w:marTop w:val="0"/>
      <w:marBottom w:val="0"/>
      <w:divBdr>
        <w:top w:val="none" w:sz="0" w:space="0" w:color="auto"/>
        <w:left w:val="none" w:sz="0" w:space="0" w:color="auto"/>
        <w:bottom w:val="none" w:sz="0" w:space="0" w:color="auto"/>
        <w:right w:val="none" w:sz="0" w:space="0" w:color="auto"/>
      </w:divBdr>
    </w:div>
    <w:div w:id="2049446093">
      <w:bodyDiv w:val="1"/>
      <w:marLeft w:val="0"/>
      <w:marRight w:val="0"/>
      <w:marTop w:val="0"/>
      <w:marBottom w:val="0"/>
      <w:divBdr>
        <w:top w:val="none" w:sz="0" w:space="0" w:color="auto"/>
        <w:left w:val="none" w:sz="0" w:space="0" w:color="auto"/>
        <w:bottom w:val="none" w:sz="0" w:space="0" w:color="auto"/>
        <w:right w:val="none" w:sz="0" w:space="0" w:color="auto"/>
      </w:divBdr>
      <w:divsChild>
        <w:div w:id="929387741">
          <w:marLeft w:val="418"/>
          <w:marRight w:val="0"/>
          <w:marTop w:val="58"/>
          <w:marBottom w:val="0"/>
          <w:divBdr>
            <w:top w:val="none" w:sz="0" w:space="0" w:color="auto"/>
            <w:left w:val="none" w:sz="0" w:space="0" w:color="auto"/>
            <w:bottom w:val="none" w:sz="0" w:space="0" w:color="auto"/>
            <w:right w:val="none" w:sz="0" w:space="0" w:color="auto"/>
          </w:divBdr>
        </w:div>
        <w:div w:id="1263107134">
          <w:marLeft w:val="418"/>
          <w:marRight w:val="0"/>
          <w:marTop w:val="58"/>
          <w:marBottom w:val="0"/>
          <w:divBdr>
            <w:top w:val="none" w:sz="0" w:space="0" w:color="auto"/>
            <w:left w:val="none" w:sz="0" w:space="0" w:color="auto"/>
            <w:bottom w:val="none" w:sz="0" w:space="0" w:color="auto"/>
            <w:right w:val="none" w:sz="0" w:space="0" w:color="auto"/>
          </w:divBdr>
        </w:div>
      </w:divsChild>
    </w:div>
    <w:div w:id="2056463779">
      <w:bodyDiv w:val="1"/>
      <w:marLeft w:val="0"/>
      <w:marRight w:val="0"/>
      <w:marTop w:val="0"/>
      <w:marBottom w:val="0"/>
      <w:divBdr>
        <w:top w:val="none" w:sz="0" w:space="0" w:color="auto"/>
        <w:left w:val="none" w:sz="0" w:space="0" w:color="auto"/>
        <w:bottom w:val="none" w:sz="0" w:space="0" w:color="auto"/>
        <w:right w:val="none" w:sz="0" w:space="0" w:color="auto"/>
      </w:divBdr>
    </w:div>
    <w:div w:id="2064058595">
      <w:bodyDiv w:val="1"/>
      <w:marLeft w:val="0"/>
      <w:marRight w:val="0"/>
      <w:marTop w:val="0"/>
      <w:marBottom w:val="0"/>
      <w:divBdr>
        <w:top w:val="none" w:sz="0" w:space="0" w:color="auto"/>
        <w:left w:val="none" w:sz="0" w:space="0" w:color="auto"/>
        <w:bottom w:val="none" w:sz="0" w:space="0" w:color="auto"/>
        <w:right w:val="none" w:sz="0" w:space="0" w:color="auto"/>
      </w:divBdr>
      <w:divsChild>
        <w:div w:id="1137606505">
          <w:marLeft w:val="418"/>
          <w:marRight w:val="0"/>
          <w:marTop w:val="58"/>
          <w:marBottom w:val="0"/>
          <w:divBdr>
            <w:top w:val="none" w:sz="0" w:space="0" w:color="auto"/>
            <w:left w:val="none" w:sz="0" w:space="0" w:color="auto"/>
            <w:bottom w:val="none" w:sz="0" w:space="0" w:color="auto"/>
            <w:right w:val="none" w:sz="0" w:space="0" w:color="auto"/>
          </w:divBdr>
        </w:div>
      </w:divsChild>
    </w:div>
    <w:div w:id="213845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6a69bcf4-53cf-403b-9048-936b1531f1ad">
      <Value>346</Value>
      <Value>1</Value>
    </TaxCatchAll>
    <Aktionswert xmlns="6a69bcf4-53cf-403b-9048-936b1531f1ad" xsi:nil="true"/>
    <_dlc_DocId xmlns="6a69bcf4-53cf-403b-9048-936b1531f1ad">G01315675-000148</_dlc_DocId>
    <_dlc_DocIdUrl xmlns="6a69bcf4-53cf-403b-9048-936b1531f1ad">
      <Url>https://gdok.finma.ch/container/1446/_layouts/15/DocIdRedir.aspx?ID=G01315675-000148</Url>
      <Description>G01315675-000148</Description>
    </_dlc_DocIdUrl>
    <FinmaPasswordProtected xmlns="6a69bcf4-53cf-403b-9048-936b1531f1ad">false</FinmaPasswordProtected>
    <f6ac7f7711e24d149a1ab98f6cfad432 xmlns="6a69bcf4-53cf-403b-9048-936b1531f1ad">
      <Terms xmlns="http://schemas.microsoft.com/office/infopath/2007/PartnerControls">
        <TermInfo xmlns="http://schemas.microsoft.com/office/infopath/2007/PartnerControls">
          <TermName xmlns="http://schemas.microsoft.com/office/infopath/2007/PartnerControls">Aktiv</TermName>
          <TermId xmlns="http://schemas.microsoft.com/office/infopath/2007/PartnerControls">7439e81f-a110-4e88-a7af-acf8d4806223</TermId>
        </TermInfo>
      </Terms>
    </f6ac7f7711e24d149a1ab98f6cfad432>
    <FinmaValidationDate xmlns="6a69bcf4-53cf-403b-9048-936b1531f1ad">2025-02-26T12:55:13+00:00</FinmaValidationDate>
    <FinmaDocumentDate xmlns="6a69bcf4-53cf-403b-9048-936b1531f1ad">2019-10-21T09:47:30+00:00</FinmaDocumentDate>
    <FinmaValidationResult xmlns="6a69bcf4-53cf-403b-9048-936b1531f1ad" xsi:nil="true"/>
    <FinmaObjectName xmlns="6a69bcf4-53cf-403b-9048-936b1531f1ad">Eidgenössische Finanzmarktaufsicht FINMA (F00164912)</FinmaObjectName>
    <h5452bf913d342ef967d06fb0970c0a5 xmlns="6a69bcf4-53cf-403b-9048-936b1531f1ad">
      <Terms xmlns="http://schemas.microsoft.com/office/infopath/2007/PartnerControls"/>
    </h5452bf913d342ef967d06fb0970c0a5>
    <g1c9cab47ab34847b4ac830bba5063b0 xmlns="6a69bcf4-53cf-403b-9048-936b1531f1ad">
      <Terms xmlns="http://schemas.microsoft.com/office/infopath/2007/PartnerControls"/>
    </g1c9cab47ab34847b4ac830bba5063b0>
    <FinmaCaseDescription xmlns="6a69bcf4-53cf-403b-9048-936b1531f1ad">Prüfpunkte (G01315675)</FinmaCaseDescription>
    <FinmaCaseID xmlns="6a69bcf4-53cf-403b-9048-936b1531f1ad">G01315675</FinmaCaseID>
    <n1f5c6536ac648a38ad663cdf8bd44e6 xmlns="6a69bcf4-53cf-403b-9048-936b1531f1ad">
      <Terms xmlns="http://schemas.microsoft.com/office/infopath/2007/PartnerControls">
        <TermInfo xmlns="http://schemas.microsoft.com/office/infopath/2007/PartnerControls">
          <TermName xmlns="http://schemas.microsoft.com/office/infopath/2007/PartnerControls">A0000680326</TermName>
          <TermId xmlns="http://schemas.microsoft.com/office/infopath/2007/PartnerControls">bd842f95-28fc-4ce3-ad28-e201d0163a22</TermId>
        </TermInfo>
      </Terms>
    </n1f5c6536ac648a38ad663cdf8bd44e6>
    <FinmaObjectId xmlns="6a69bcf4-53cf-403b-9048-936b1531f1ad">F00164912</FinmaObjectId>
    <FinmaSender xmlns="6a69bcf4-53cf-403b-9048-936b1531f1ad" xsi:nil="true"/>
    <FinmaReceiver xmlns="6a69bcf4-53cf-403b-9048-936b1531f1ad" xsi:nil="true"/>
    <FinmaAttachments xmlns="6a69bcf4-53cf-403b-9048-936b1531f1ad" xsi:nil="true"/>
    <FinmaSentOn xmlns="6a69bcf4-53cf-403b-9048-936b1531f1ad" xsi:nil="true"/>
    <FinmaReceivedAt xmlns="6a69bcf4-53cf-403b-9048-936b1531f1ad" xsi:nil="true"/>
  </documentManagement>
</p:properties>
</file>

<file path=customXml/item5.xml><?xml version="1.0" encoding="utf-8"?>
<ct:contentTypeSchema xmlns:ct="http://schemas.microsoft.com/office/2006/metadata/contentType" xmlns:ma="http://schemas.microsoft.com/office/2006/metadata/properties/metaAttributes" ct:_="" ma:_="" ma:contentTypeName="GDok E-Mail" ma:contentTypeID="0x0101003A499141982C43AFAF241BDE541C18D500F60EC74299FE40CCAA778BCF3A8D7F9A00C94BFAE2EA3774498DC89DE999B5FBE3" ma:contentTypeVersion="9" ma:contentTypeDescription="Create a new document." ma:contentTypeScope="" ma:versionID="03f6f4d70c5015c2f5cea7aa47636538">
  <xsd:schema xmlns:xsd="http://www.w3.org/2001/XMLSchema" xmlns:xs="http://www.w3.org/2001/XMLSchema" xmlns:p="http://schemas.microsoft.com/office/2006/metadata/properties" xmlns:ns2="6a69bcf4-53cf-403b-9048-936b1531f1ad" targetNamespace="http://schemas.microsoft.com/office/2006/metadata/properties" ma:root="true" ma:fieldsID="712856079af475254f19fbcd3a63b166" ns2:_="">
    <xsd:import namespace="6a69bcf4-53cf-403b-9048-936b1531f1ad"/>
    <xsd:element name="properties">
      <xsd:complexType>
        <xsd:sequence>
          <xsd:element name="documentManagement">
            <xsd:complexType>
              <xsd:all>
                <xsd:element ref="ns2:_dlc_DocId" minOccurs="0"/>
                <xsd:element ref="ns2:_dlc_DocIdUrl" minOccurs="0"/>
                <xsd:element ref="ns2:_dlc_DocIdPersistId" minOccurs="0"/>
                <xsd:element ref="ns2:FinmaDocumentDate" minOccurs="0"/>
                <xsd:element ref="ns2:FinmaCaseDescription" minOccurs="0"/>
                <xsd:element ref="ns2:f6ac7f7711e24d149a1ab98f6cfad432" minOccurs="0"/>
                <xsd:element ref="ns2:TaxCatchAll" minOccurs="0"/>
                <xsd:element ref="ns2:TaxCatchAllLabel" minOccurs="0"/>
                <xsd:element ref="ns2:FinmaCaseID" minOccurs="0"/>
                <xsd:element ref="ns2:g1c9cab47ab34847b4ac830bba5063b0" minOccurs="0"/>
                <xsd:element ref="ns2:h5452bf913d342ef967d06fb0970c0a5" minOccurs="0"/>
                <xsd:element ref="ns2:n1f5c6536ac648a38ad663cdf8bd44e6" minOccurs="0"/>
                <xsd:element ref="ns2:FinmaPasswordProtected" minOccurs="0"/>
                <xsd:element ref="ns2:FinmaValidationDate" minOccurs="0"/>
                <xsd:element ref="ns2:FinmaValidationResult" minOccurs="0"/>
                <xsd:element ref="ns2:FinmaObjectId" minOccurs="0"/>
                <xsd:element ref="ns2:FinmaObjectName" minOccurs="0"/>
                <xsd:element ref="ns2:Aktionswert" minOccurs="0"/>
                <xsd:element ref="ns2:FinmaSender" minOccurs="0"/>
                <xsd:element ref="ns2:FinmaReceiver" minOccurs="0"/>
                <xsd:element ref="ns2:FinmaSentOn" minOccurs="0"/>
                <xsd:element ref="ns2:FinmaReceivedAt" minOccurs="0"/>
                <xsd:element ref="ns2:FinmaAttach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9bcf4-53cf-403b-9048-936b1531f1a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inmaDocumentDate" ma:index="11" nillable="true" ma:displayName="Dokument Datum" ma:format="DateOnly" ma:internalName="FinmaDocumentDate">
      <xsd:simpleType>
        <xsd:restriction base="dms:DateTime"/>
      </xsd:simpleType>
    </xsd:element>
    <xsd:element name="FinmaCaseDescription" ma:index="12" nillable="true" ma:displayName="Geschäfts Bezeichnung" ma:default="Prüfpunkte (G01315675)" ma:internalName="FinmaCaseDescription">
      <xsd:simpleType>
        <xsd:restriction base="dms:Text">
          <xsd:maxLength value="255"/>
        </xsd:restriction>
      </xsd:simpleType>
    </xsd:element>
    <xsd:element name="f6ac7f7711e24d149a1ab98f6cfad432" ma:index="13" nillable="true" ma:taxonomy="true" ma:internalName="f6ac7f7711e24d149a1ab98f6cfad432" ma:taxonomyFieldName="FinmaCaseStatus" ma:displayName="Geschäfts Status" ma:default="1;#Aktiv|7439e81f-a110-4e88-a7af-acf8d4806223" ma:fieldId="{f6ac7f77-11e2-4d14-9a1a-b98f6cfad432}" ma:sspId="1614e331-078d-4830-aac2-889f77d1de05" ma:termSetId="fbd22871-fe11-4cfd-b99d-0f5fc7eae3ca"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1d897c7-6512-47f2-a160-da422b0663e8}" ma:internalName="TaxCatchAll" ma:showField="CatchAllData" ma:web="6a69bcf4-53cf-403b-9048-936b1531f1ad">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1d897c7-6512-47f2-a160-da422b0663e8}" ma:internalName="TaxCatchAllLabel" ma:readOnly="true" ma:showField="CatchAllDataLabel" ma:web="6a69bcf4-53cf-403b-9048-936b1531f1ad">
      <xsd:complexType>
        <xsd:complexContent>
          <xsd:extension base="dms:MultiChoiceLookup">
            <xsd:sequence>
              <xsd:element name="Value" type="dms:Lookup" maxOccurs="unbounded" minOccurs="0" nillable="true"/>
            </xsd:sequence>
          </xsd:extension>
        </xsd:complexContent>
      </xsd:complexType>
    </xsd:element>
    <xsd:element name="FinmaCaseID" ma:index="17" nillable="true" ma:displayName="Geschäfts ID" ma:default="G01315675" ma:internalName="FinmaCaseID">
      <xsd:simpleType>
        <xsd:restriction base="dms:Text">
          <xsd:maxLength value="255"/>
        </xsd:restriction>
      </xsd:simpleType>
    </xsd:element>
    <xsd:element name="g1c9cab47ab34847b4ac830bba5063b0" ma:index="18" nillable="true" ma:taxonomy="true" ma:internalName="g1c9cab47ab34847b4ac830bba5063b0" ma:taxonomyFieldName="FinmaCatchphrases" ma:displayName="Schlagwort" ma:fieldId="{01c9cab4-7ab3-4847-b4ac-830bba5063b0}" ma:taxonomyMulti="true" ma:sspId="1614e331-078d-4830-aac2-889f77d1de05" ma:termSetId="35ed469d-bfb4-4e58-83fd-01918edae149" ma:anchorId="00000000-0000-0000-0000-000000000000" ma:open="false" ma:isKeyword="false">
      <xsd:complexType>
        <xsd:sequence>
          <xsd:element ref="pc:Terms" minOccurs="0" maxOccurs="1"/>
        </xsd:sequence>
      </xsd:complexType>
    </xsd:element>
    <xsd:element name="h5452bf913d342ef967d06fb0970c0a5" ma:index="20" nillable="true" ma:taxonomy="true" ma:internalName="h5452bf913d342ef967d06fb0970c0a5" ma:taxonomyFieldName="FinmaCategory" ma:displayName="Kategorie" ma:fieldId="{15452bf9-13d3-42ef-967d-06fb0970c0a5}" ma:sspId="1614e331-078d-4830-aac2-889f77d1de05" ma:termSetId="76a2fa96-3e9b-4d62-901d-d1895154867f" ma:anchorId="de8e377e-5092-4bcb-9739-6ef0d154a6b9" ma:open="false" ma:isKeyword="false">
      <xsd:complexType>
        <xsd:sequence>
          <xsd:element ref="pc:Terms" minOccurs="0" maxOccurs="1"/>
        </xsd:sequence>
      </xsd:complexType>
    </xsd:element>
    <xsd:element name="n1f5c6536ac648a38ad663cdf8bd44e6" ma:index="22" nillable="true" ma:taxonomy="true" ma:internalName="n1f5c6536ac648a38ad663cdf8bd44e6" ma:taxonomyFieldName="FinmaCrmEntityIDs" ma:displayName="CRM Verknüpfung IDs" ma:fieldId="{71f5c653-6ac6-48a3-8ad6-63cdf8bd44e6}" ma:taxonomyMulti="true" ma:sspId="1614e331-078d-4830-aac2-889f77d1de05" ma:termSetId="82dd8aca-48d0-4b35-8214-4412d12ff6a5" ma:anchorId="014b0467-8825-4d4f-8a01-d04ca28bebe8" ma:open="false" ma:isKeyword="false">
      <xsd:complexType>
        <xsd:sequence>
          <xsd:element ref="pc:Terms" minOccurs="0" maxOccurs="1"/>
        </xsd:sequence>
      </xsd:complexType>
    </xsd:element>
    <xsd:element name="FinmaPasswordProtected" ma:index="24" nillable="true" ma:displayName="Passwortgeschützt" ma:internalName="FinmaPasswordProtected">
      <xsd:simpleType>
        <xsd:restriction base="dms:Boolean"/>
      </xsd:simpleType>
    </xsd:element>
    <xsd:element name="FinmaValidationDate" ma:index="25" nillable="true" ma:displayName="Prüfzeitpunkt" ma:format="DateTime" ma:internalName="FinmaValidationDate">
      <xsd:simpleType>
        <xsd:restriction base="dms:DateTime"/>
      </xsd:simpleType>
    </xsd:element>
    <xsd:element name="FinmaValidationResult" ma:index="27" nillable="true" ma:displayName="ValidationResults" ma:internalName="FinmaValidationResult">
      <xsd:simpleType>
        <xsd:restriction base="dms:Note">
          <xsd:maxLength value="255"/>
        </xsd:restriction>
      </xsd:simpleType>
    </xsd:element>
    <xsd:element name="FinmaObjectId" ma:index="28" nillable="true" ma:displayName="Finma Objekt ID" ma:default="F00164912" ma:internalName="FinmaObjectId">
      <xsd:simpleType>
        <xsd:restriction base="dms:Text">
          <xsd:maxLength value="255"/>
        </xsd:restriction>
      </xsd:simpleType>
    </xsd:element>
    <xsd:element name="FinmaObjectName" ma:index="29" nillable="true" ma:displayName="Finma Objekt Bezeichnung" ma:default="Eidgenössische Finanzmarktaufsicht FINMA (F00164912)" ma:internalName="FinmaObjectName">
      <xsd:simpleType>
        <xsd:restriction base="dms:Text">
          <xsd:maxLength value="255"/>
        </xsd:restriction>
      </xsd:simpleType>
    </xsd:element>
    <xsd:element name="Aktionswert" ma:index="30" nillable="true" ma:displayName="Aktionswert" ma:hidden="true" ma:internalName="Aktionswert" ma:readOnly="false">
      <xsd:simpleType>
        <xsd:restriction base="dms:Text">
          <xsd:maxLength value="255"/>
        </xsd:restriction>
      </xsd:simpleType>
    </xsd:element>
    <xsd:element name="FinmaSender" ma:index="31" nillable="true" ma:displayName="Von" ma:internalName="FinmaSender">
      <xsd:simpleType>
        <xsd:restriction base="dms:Text">
          <xsd:maxLength value="255"/>
        </xsd:restriction>
      </xsd:simpleType>
    </xsd:element>
    <xsd:element name="FinmaReceiver" ma:index="32" nillable="true" ma:displayName="An" ma:internalName="FinmaReceiver">
      <xsd:simpleType>
        <xsd:restriction base="dms:Note">
          <xsd:maxLength value="255"/>
        </xsd:restriction>
      </xsd:simpleType>
    </xsd:element>
    <xsd:element name="FinmaSentOn" ma:index="33" nillable="true" ma:displayName="Gesendet am" ma:format="DateTime" ma:internalName="FinmaSentOn">
      <xsd:simpleType>
        <xsd:restriction base="dms:DateTime"/>
      </xsd:simpleType>
    </xsd:element>
    <xsd:element name="FinmaReceivedAt" ma:index="34" nillable="true" ma:displayName="Empfangen am" ma:format="DateTime" ma:internalName="FinmaReceivedAt">
      <xsd:simpleType>
        <xsd:restriction base="dms:DateTime"/>
      </xsd:simpleType>
    </xsd:element>
    <xsd:element name="FinmaAttachments" ma:index="35" nillable="true" ma:displayName="Anlagen" ma:internalName="FinmaAttachments">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SchlagwortTaxHTField0 xmlns="c9f238dd-bb73-4aef-a7a5-d644ad823e52">
      <Terms xmlns="http://schemas.microsoft.com/office/infopath/2007/PartnerControls"/>
    </SchlagwortTaxHTField0>
    <OrdnungspositionTaxHTField0 xmlns="c9f238dd-bb73-4aef-a7a5-d644ad823e52">
      <Terms xmlns="http://schemas.microsoft.com/office/infopath/2007/PartnerControls">
        <TermInfo xmlns="http://schemas.microsoft.com/office/infopath/2007/PartnerControls">
          <TermName xmlns="http://schemas.microsoft.com/office/infopath/2007/PartnerControls">4-08.2 Reguläre Aufsicht Prüfgesellschaften</TermName>
          <TermId xmlns="http://schemas.microsoft.com/office/infopath/2007/PartnerControls">4f723ced-3eba-459c-9f44-95a555be23bd</TermId>
        </TermInfo>
      </Terms>
    </OrdnungspositionTaxHTField0>
    <Dossier_x0020_TypTaxHTField0 xmlns="0852ad06-0b79-4ac2-ba2c-9e6338abf1e3" xsi:nil="true"/>
    <Aktenzeichen xmlns="f80ca865-a4d0-4d85-9717-7e174089f5ca">4-07.2 - X01008802</Aktenzeichen>
    <KategorieTaxHTField0 xmlns="4b61ff4c-819f-4bb4-bda2-3e42e3286df1">
      <Terms xmlns="http://schemas.microsoft.com/office/infopath/2007/PartnerControls"/>
    </KategorieTaxHTField0>
    <TaxCatchAll xmlns="8831efb8-a49c-4741-9d0c-801556045a66">
      <Value>18</Value>
    </TaxCatchAll>
    <Aktionswert xmlns="25d1071a-ec21-4a6c-bdfc-6048f7e932c7" xsi:nil="true"/>
    <Dossier_x0020_Titel xmlns="f80ca865-a4d0-4d85-9717-7e174089f5ca">1008802</Dossier_x0020_Titel>
    <Aktionsname xmlns="25d1071a-ec21-4a6c-bdfc-6048f7e932c7" xsi:nil="true"/>
    <Dossier_x0020_Bezeichnung xmlns="f5b609b2-dd9a-4243-952c-03534fafb9e0">Verantwortliche Koordination Prüfwesen (G01009336)</Dossier_x0020_Bezeichnung>
    <Er_x00f6_ffnungsdatum xmlns="f80ca865-a4d0-4d85-9717-7e174089f5ca">2013-05-03T16:08:13+00:00</Er_x00f6_ffnungsdatum>
    <Dossier_x0020_Status xmlns="d333f292-fabc-46c2-add1-4fcc2c228574">aktiv</Dossier_x0020_Status>
    <Dossier_x0020_ID xmlns="d333f292-fabc-46c2-add1-4fcc2c228574">1008802</Dossier_x0020_ID>
    <_dlc_DocId xmlns="f80ca865-a4d0-4d85-9717-7e174089f5ca">b164912-0048044</_dlc_DocId>
    <_dlc_DocIdUrl xmlns="f80ca865-a4d0-4d85-9717-7e174089f5ca">
      <Url>http://dms.finma.ch/containers/164912/_layouts/DocIdRedir.aspx?ID=b164912-0048044</Url>
      <Description>b164912-0048044</Description>
    </_dlc_DocIdUrl>
    <Dokumentendatum xmlns="25d1071a-ec21-4a6c-bdfc-6048f7e932c7">2017-04-12T10:46:18+00:00</Dokumentendatum>
    <igekoVersion xmlns="25d1071a-ec21-4a6c-bdfc-6048f7e932c7" xsi:nil="true"/>
    <igekoDokNr xmlns="25d1071a-ec21-4a6c-bdfc-6048f7e932c7" xsi:nil="true"/>
    <igekoDossierNr xmlns="25d1071a-ec21-4a6c-bdfc-6048f7e932c7" xsi:nil="true"/>
  </documentManagement>
</p:properties>
</file>

<file path=customXml/itemProps1.xml><?xml version="1.0" encoding="utf-8"?>
<ds:datastoreItem xmlns:ds="http://schemas.openxmlformats.org/officeDocument/2006/customXml" ds:itemID="{4CDF8798-3669-4961-9CCA-9FD6E84649E9}">
  <ds:schemaRefs>
    <ds:schemaRef ds:uri="http://schemas.microsoft.com/sharepoint/v3/contenttype/forms"/>
  </ds:schemaRefs>
</ds:datastoreItem>
</file>

<file path=customXml/itemProps2.xml><?xml version="1.0" encoding="utf-8"?>
<ds:datastoreItem xmlns:ds="http://schemas.openxmlformats.org/officeDocument/2006/customXml" ds:itemID="{A920B2B2-31F2-4733-A812-5F338207091B}">
  <ds:schemaRefs>
    <ds:schemaRef ds:uri="http://schemas.openxmlformats.org/officeDocument/2006/bibliography"/>
  </ds:schemaRefs>
</ds:datastoreItem>
</file>

<file path=customXml/itemProps3.xml><?xml version="1.0" encoding="utf-8"?>
<ds:datastoreItem xmlns:ds="http://schemas.openxmlformats.org/officeDocument/2006/customXml" ds:itemID="{31049E2D-B463-4804-A97B-AA569C9D0769}">
  <ds:schemaRefs>
    <ds:schemaRef ds:uri="http://schemas.microsoft.com/sharepoint/events"/>
  </ds:schemaRefs>
</ds:datastoreItem>
</file>

<file path=customXml/itemProps4.xml><?xml version="1.0" encoding="utf-8"?>
<ds:datastoreItem xmlns:ds="http://schemas.openxmlformats.org/officeDocument/2006/customXml" ds:itemID="{DE9F1C2D-3A5A-49ED-9B1E-7BAFC32284A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a69bcf4-53cf-403b-9048-936b1531f1ad"/>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1D68FB02-32A5-42B4-B02E-9FF94E6E5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9bcf4-53cf-403b-9048-936b1531f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5D42797-BAE5-453D-AE25-E34A907D175D}">
  <ds:schemaRefs>
    <ds:schemaRef ds:uri="http://schemas.microsoft.com/office/2006/metadata/properties"/>
    <ds:schemaRef ds:uri="http://schemas.microsoft.com/office/infopath/2007/PartnerControls"/>
    <ds:schemaRef ds:uri="c9f238dd-bb73-4aef-a7a5-d644ad823e52"/>
    <ds:schemaRef ds:uri="0852ad06-0b79-4ac2-ba2c-9e6338abf1e3"/>
    <ds:schemaRef ds:uri="f80ca865-a4d0-4d85-9717-7e174089f5ca"/>
    <ds:schemaRef ds:uri="4b61ff4c-819f-4bb4-bda2-3e42e3286df1"/>
    <ds:schemaRef ds:uri="8831efb8-a49c-4741-9d0c-801556045a66"/>
    <ds:schemaRef ds:uri="25d1071a-ec21-4a6c-bdfc-6048f7e932c7"/>
    <ds:schemaRef ds:uri="f5b609b2-dd9a-4243-952c-03534fafb9e0"/>
    <ds:schemaRef ds:uri="d333f292-fabc-46c2-add1-4fcc2c228574"/>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9</ap:Pages>
  <ap:Words>2056</ap:Words>
  <ap:Characters>12960</ap:Characters>
  <ap:DocSecurity>0</ap:DocSecurity>
  <ap:Lines>108</ap:Lines>
  <ap:Paragraphs>29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14987</ap:CharactersWithSpaces>
  <ap:SharedDoc>false</ap:SharedDoc>
  <ap:HyperlinksChanged>false</ap:HyperlinksChanged>
  <ap:AppVersion>16.0000</ap:AppVersion>
  <ap:Company/>
  <ap:Manager/>
  <ap:HyperlinkBas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dcterms:created xsi:type="dcterms:W3CDTF">2025-02-25T11:07:00.0000000Z</dcterms:created>
  <dcterms:modified xsi:type="dcterms:W3CDTF">2025-03-24T13:52:00.0000000Z</dcterms:modified>
  <dc:subject/>
  <category/>
  <keywords/>
  <dc:description/>
  <contentType/>
  <contentStatus/>
  <version/>
  <revision/>
  <dc:language/>
  <dc:identifier/>
</coreProperties>
</file>

<file path=docProps/custom.xml><?xml version="1.0" encoding="utf-8"?>
<op:Properties xmlns:vt="http://schemas.openxmlformats.org/officeDocument/2006/docPropsVTypes" xmlns:op="http://schemas.openxmlformats.org/officeDocument/2006/custom-properties">
  <op:property fmtid="{D5CDD505-2E9C-101B-9397-08002B2CF9AE}" pid="3" name="Ordnungsposition">
    <vt:lpwstr>18</vt:lpwstr>
  </op:property>
  <op:property fmtid="{D5CDD505-2E9C-101B-9397-08002B2CF9AE}" pid="4" name="Schlagwort">
    <vt:lpwstr/>
  </op:property>
  <op:property fmtid="{D5CDD505-2E9C-101B-9397-08002B2CF9AE}" pid="5" name="_dlc_DocIdItemGuid">
    <vt:lpwstr>496b6023-afd7-4ba0-9460-8e692cf8a461</vt:lpwstr>
  </op:property>
  <op:property fmtid="{D5CDD505-2E9C-101B-9397-08002B2CF9AE}" pid="6" name="Schlagwort KategorieTaxHTField0">
    <vt:lpwstr/>
  </op:property>
  <op:property fmtid="{D5CDD505-2E9C-101B-9397-08002B2CF9AE}" pid="7" name="FinmaReceiver">
    <vt:lpwstr/>
  </op:property>
  <op:property fmtid="{D5CDD505-2E9C-101B-9397-08002B2CF9AE}" pid="8" name="FinmaSender">
    <vt:lpwstr/>
  </op:property>
  <op:property fmtid="{D5CDD505-2E9C-101B-9397-08002B2CF9AE}" pid="9" name="FinmaCrmEntityIDs">
    <vt:lpwstr>346;#A0000680326|bd842f95-28fc-4ce3-ad28-e201d0163a22</vt:lpwstr>
  </op:property>
  <op:property fmtid="{D5CDD505-2E9C-101B-9397-08002B2CF9AE}" pid="10" name="Schlagwort Kategorie">
    <vt:lpwstr/>
  </op:property>
  <op:property fmtid="{D5CDD505-2E9C-101B-9397-08002B2CF9AE}" pid="11" name="FinmaCatchphrases">
    <vt:lpwstr/>
  </op:property>
  <op:property fmtid="{D5CDD505-2E9C-101B-9397-08002B2CF9AE}" pid="12" name="FinmaCaseStatus">
    <vt:lpwstr>1;#Aktiv|7439e81f-a110-4e88-a7af-acf8d4806223</vt:lpwstr>
  </op:property>
  <op:property fmtid="{D5CDD505-2E9C-101B-9397-08002B2CF9AE}" pid="13" name="FinmaCategory">
    <vt:lpwstr/>
  </op:property>
  <op:property fmtid="{D5CDD505-2E9C-101B-9397-08002B2CF9AE}" pid="14" name="Dossier Typ">
    <vt:lpwstr/>
  </op:property>
  <op:property fmtid="{D5CDD505-2E9C-101B-9397-08002B2CF9AE}" pid="15" name="Kategorie">
    <vt:lpwstr/>
  </op:property>
  <op:property fmtid="{D5CDD505-2E9C-101B-9397-08002B2CF9AE}" pid="16" name="_NewReviewCycle">
    <vt:lpwstr/>
  </op:property>
  <op:property fmtid="{D5CDD505-2E9C-101B-9397-08002B2CF9AE}" pid="17" name="Schlagwort_SPPSTextValue">
    <vt:lpwstr/>
  </op:property>
  <op:property fmtid="{D5CDD505-2E9C-101B-9397-08002B2CF9AE}" pid="18" name="Kategorie_SPPSTextValue">
    <vt:lpwstr/>
  </op:property>
</op:Properties>
</file>