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90D7" w14:textId="6D9D2561" w:rsidR="001B763E" w:rsidRPr="00E82754" w:rsidRDefault="0073176F">
      <w:pPr>
        <w:rPr>
          <w:rFonts w:cs="Arial"/>
          <w:b/>
          <w:sz w:val="28"/>
          <w:szCs w:val="28"/>
          <w:lang w:val="de-CH"/>
        </w:rPr>
      </w:pPr>
      <w:r w:rsidRPr="00E82754">
        <w:rPr>
          <w:b/>
          <w:sz w:val="28"/>
          <w:szCs w:val="28"/>
          <w:lang w:val="de-CH"/>
        </w:rPr>
        <w:t>Prüfp</w:t>
      </w:r>
      <w:r w:rsidR="00BF6E00">
        <w:rPr>
          <w:b/>
          <w:sz w:val="28"/>
          <w:szCs w:val="28"/>
          <w:lang w:val="de-CH"/>
        </w:rPr>
        <w:t>unkte zu den zentralen Funktionen zur Risikokontrolle und -minderung</w:t>
      </w:r>
    </w:p>
    <w:p w14:paraId="50FE4B2A" w14:textId="77777777" w:rsidR="00DB7CF3" w:rsidRPr="00B90D29" w:rsidRDefault="00DB7CF3">
      <w:pPr>
        <w:rPr>
          <w:rFonts w:cs="Arial"/>
          <w:b/>
          <w:lang w:val="de-CH"/>
        </w:rPr>
      </w:pPr>
    </w:p>
    <w:p w14:paraId="469679E7" w14:textId="77777777" w:rsidR="00D247FF" w:rsidRPr="00B90D29" w:rsidRDefault="005D00E1">
      <w:pPr>
        <w:rPr>
          <w:rFonts w:cs="Arial"/>
          <w:b/>
          <w:lang w:val="de-CH"/>
        </w:rPr>
      </w:pPr>
      <w:r w:rsidRPr="00B90D29">
        <w:rPr>
          <w:b/>
          <w:lang w:val="de-CH"/>
        </w:rPr>
        <w:t>Übersicht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54"/>
        <w:gridCol w:w="11515"/>
      </w:tblGrid>
      <w:tr w:rsidR="001B763E" w:rsidRPr="00B90D29" w14:paraId="21AAE318" w14:textId="77777777" w:rsidTr="00EA067E">
        <w:tc>
          <w:tcPr>
            <w:tcW w:w="2694" w:type="dxa"/>
            <w:shd w:val="pct10" w:color="auto" w:fill="auto"/>
          </w:tcPr>
          <w:p w14:paraId="15CF5F1F" w14:textId="78C82353" w:rsidR="001B763E" w:rsidRPr="00B90D29" w:rsidRDefault="001B763E" w:rsidP="00352874">
            <w:pPr>
              <w:tabs>
                <w:tab w:val="left" w:pos="1418"/>
              </w:tabs>
              <w:rPr>
                <w:rFonts w:cs="Arial"/>
                <w:b/>
                <w:szCs w:val="18"/>
                <w:lang w:val="de-CH"/>
              </w:rPr>
            </w:pPr>
            <w:r w:rsidRPr="00B90D29">
              <w:rPr>
                <w:b/>
                <w:lang w:val="de-CH"/>
              </w:rPr>
              <w:t>Prüf</w:t>
            </w:r>
            <w:r w:rsidR="00EE1E3E">
              <w:rPr>
                <w:b/>
                <w:lang w:val="de-CH"/>
              </w:rPr>
              <w:t>feld</w:t>
            </w:r>
            <w:r w:rsidR="002C4788">
              <w:rPr>
                <w:b/>
                <w:lang w:val="de-CH"/>
              </w:rPr>
              <w:t>er</w:t>
            </w:r>
            <w:r w:rsidRPr="00B90D29">
              <w:rPr>
                <w:b/>
                <w:lang w:val="de-CH"/>
              </w:rPr>
              <w:t>:</w:t>
            </w:r>
          </w:p>
        </w:tc>
        <w:tc>
          <w:tcPr>
            <w:tcW w:w="11701" w:type="dxa"/>
            <w:shd w:val="pct10" w:color="auto" w:fill="auto"/>
          </w:tcPr>
          <w:p w14:paraId="4F80F7AF" w14:textId="310025DB" w:rsidR="001B763E" w:rsidRPr="00B90D29" w:rsidRDefault="006213D9" w:rsidP="00863E60">
            <w:pPr>
              <w:tabs>
                <w:tab w:val="left" w:pos="1859"/>
              </w:tabs>
              <w:rPr>
                <w:rFonts w:cs="Arial"/>
                <w:b/>
                <w:szCs w:val="18"/>
                <w:lang w:val="de-CH"/>
              </w:rPr>
            </w:pPr>
            <w:r w:rsidRPr="00B90D29">
              <w:rPr>
                <w:b/>
                <w:lang w:val="de-CH"/>
              </w:rPr>
              <w:t>Zentrale Funktionen zur Risikokontrolle und Risikominderung (Risikokontroll</w:t>
            </w:r>
            <w:r w:rsidR="005F03A2">
              <w:rPr>
                <w:b/>
                <w:lang w:val="de-CH"/>
              </w:rPr>
              <w:t>funktion</w:t>
            </w:r>
            <w:r w:rsidR="009D47C4">
              <w:rPr>
                <w:b/>
                <w:lang w:val="de-CH"/>
              </w:rPr>
              <w:t>, Compliance-Funktion)</w:t>
            </w:r>
          </w:p>
        </w:tc>
      </w:tr>
      <w:tr w:rsidR="009F7E12" w:rsidRPr="00B90D29" w14:paraId="176A8BA3" w14:textId="77777777" w:rsidTr="00EA067E">
        <w:tc>
          <w:tcPr>
            <w:tcW w:w="2694" w:type="dxa"/>
            <w:shd w:val="pct10" w:color="auto" w:fill="auto"/>
          </w:tcPr>
          <w:p w14:paraId="33D6E67D" w14:textId="77777777" w:rsidR="009F7E12" w:rsidRPr="00B90D29" w:rsidRDefault="009F7E12" w:rsidP="00352874">
            <w:pPr>
              <w:tabs>
                <w:tab w:val="left" w:pos="1418"/>
              </w:tabs>
              <w:rPr>
                <w:rFonts w:cs="Arial"/>
                <w:b/>
                <w:szCs w:val="18"/>
                <w:lang w:val="de-CH"/>
              </w:rPr>
            </w:pPr>
            <w:r w:rsidRPr="00B90D29">
              <w:rPr>
                <w:b/>
                <w:lang w:val="de-CH"/>
              </w:rPr>
              <w:t>Prüftiefe:</w:t>
            </w:r>
          </w:p>
        </w:tc>
        <w:tc>
          <w:tcPr>
            <w:tcW w:w="11701" w:type="dxa"/>
            <w:shd w:val="pct10" w:color="auto" w:fill="auto"/>
          </w:tcPr>
          <w:p w14:paraId="565509EC" w14:textId="3830093F" w:rsidR="009F7E12" w:rsidRPr="00B90D29" w:rsidRDefault="00424650" w:rsidP="006C2A6A">
            <w:pPr>
              <w:tabs>
                <w:tab w:val="left" w:pos="1859"/>
              </w:tabs>
              <w:rPr>
                <w:rFonts w:cs="Arial"/>
                <w:szCs w:val="18"/>
                <w:lang w:val="de-CH"/>
              </w:rPr>
            </w:pPr>
            <w:r w:rsidRPr="00B90D29">
              <w:rPr>
                <w:highlight w:val="yellow"/>
                <w:lang w:val="de-CH"/>
              </w:rPr>
              <w:t>[Prüfung / Kritische Beurteilung]</w:t>
            </w:r>
            <w:r w:rsidR="009A6740" w:rsidRPr="009A6740">
              <w:rPr>
                <w:rStyle w:val="Appelnotedebasdep"/>
                <w:lang w:val="de-CH"/>
              </w:rPr>
              <w:footnoteReference w:id="2"/>
            </w:r>
          </w:p>
        </w:tc>
      </w:tr>
      <w:tr w:rsidR="00F37CB4" w:rsidRPr="00B90D29" w14:paraId="733116B0" w14:textId="77777777" w:rsidTr="00F37CB4">
        <w:tc>
          <w:tcPr>
            <w:tcW w:w="2694" w:type="dxa"/>
          </w:tcPr>
          <w:p w14:paraId="6D7BAB14" w14:textId="77777777" w:rsidR="00F37CB4" w:rsidRPr="0063713C" w:rsidRDefault="00F37CB4" w:rsidP="00352874">
            <w:pPr>
              <w:tabs>
                <w:tab w:val="left" w:pos="1418"/>
              </w:tabs>
              <w:rPr>
                <w:rFonts w:cs="Arial"/>
                <w:b/>
                <w:szCs w:val="20"/>
                <w:lang w:val="de-CH"/>
              </w:rPr>
            </w:pPr>
            <w:r w:rsidRPr="0063713C">
              <w:rPr>
                <w:b/>
                <w:lang w:val="de-CH"/>
              </w:rPr>
              <w:t>Vorschriften:</w:t>
            </w:r>
          </w:p>
          <w:p w14:paraId="3C5F0751" w14:textId="77777777" w:rsidR="008F1FC1" w:rsidRPr="0063713C" w:rsidRDefault="008F1FC1" w:rsidP="00352874">
            <w:pPr>
              <w:tabs>
                <w:tab w:val="left" w:pos="1418"/>
              </w:tabs>
              <w:rPr>
                <w:rFonts w:cs="Arial"/>
                <w:szCs w:val="20"/>
                <w:lang w:val="de-CH"/>
              </w:rPr>
            </w:pPr>
            <w:r w:rsidRPr="0063713C">
              <w:rPr>
                <w:lang w:val="de-CH"/>
              </w:rPr>
              <w:t>(Liste ist nicht abschliessend)</w:t>
            </w:r>
          </w:p>
        </w:tc>
        <w:tc>
          <w:tcPr>
            <w:tcW w:w="11701" w:type="dxa"/>
          </w:tcPr>
          <w:p w14:paraId="536611C8" w14:textId="624EFE50" w:rsidR="006A167C" w:rsidRDefault="006A167C" w:rsidP="006A167C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 xml:space="preserve">Art. 3 Abs. 2 Bst. a Bankengesetz </w:t>
            </w:r>
            <w:r w:rsidR="00667B92">
              <w:rPr>
                <w:lang w:val="de-CH"/>
              </w:rPr>
              <w:t>v</w:t>
            </w:r>
            <w:proofErr w:type="spellStart"/>
            <w:r w:rsidR="00667B92" w:rsidRPr="00C31389">
              <w:t>om</w:t>
            </w:r>
            <w:proofErr w:type="spellEnd"/>
            <w:r w:rsidR="00667B92" w:rsidRPr="00C31389">
              <w:t xml:space="preserve"> 8. November 1934 </w:t>
            </w:r>
            <w:r w:rsidR="00667B92">
              <w:t>(BankG; SR </w:t>
            </w:r>
            <w:r w:rsidR="00667B92" w:rsidRPr="007A370C">
              <w:rPr>
                <w:i/>
                <w:iCs/>
              </w:rPr>
              <w:t>952.0</w:t>
            </w:r>
            <w:r w:rsidR="00667B92">
              <w:t>)</w:t>
            </w:r>
            <w:r w:rsidR="00667B92" w:rsidDel="00667B92">
              <w:rPr>
                <w:lang w:val="de-CH"/>
              </w:rPr>
              <w:t xml:space="preserve"> </w:t>
            </w:r>
          </w:p>
          <w:p w14:paraId="5845AB6C" w14:textId="30671285" w:rsidR="006A167C" w:rsidRDefault="006A167C" w:rsidP="006A167C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>Art. 12</w:t>
            </w:r>
            <w:r w:rsidR="005F03A2">
              <w:rPr>
                <w:lang w:val="de-CH"/>
              </w:rPr>
              <w:t xml:space="preserve"> Abs. 2</w:t>
            </w:r>
            <w:r w:rsidR="00667B92">
              <w:rPr>
                <w:lang w:val="de-CH"/>
              </w:rPr>
              <w:t>–</w:t>
            </w:r>
            <w:r w:rsidR="005F03A2">
              <w:rPr>
                <w:lang w:val="de-CH"/>
              </w:rPr>
              <w:t>4</w:t>
            </w:r>
            <w:r w:rsidR="00667B92">
              <w:t xml:space="preserve"> Verordnung </w:t>
            </w:r>
            <w:r w:rsidR="00667B92" w:rsidRPr="007A2C23">
              <w:t>vom 30. April 2014</w:t>
            </w:r>
            <w:r w:rsidR="00667B92">
              <w:t xml:space="preserve"> über die Banken und Sparkassen (BankV; SR </w:t>
            </w:r>
            <w:r w:rsidR="00667B92" w:rsidRPr="00FE4DED">
              <w:rPr>
                <w:i/>
                <w:iCs/>
              </w:rPr>
              <w:t>95</w:t>
            </w:r>
            <w:r w:rsidR="00667B92">
              <w:rPr>
                <w:i/>
                <w:iCs/>
              </w:rPr>
              <w:t>2.02</w:t>
            </w:r>
            <w:r w:rsidR="00667B92">
              <w:t>)</w:t>
            </w:r>
          </w:p>
          <w:p w14:paraId="5965C6C1" w14:textId="77777777" w:rsidR="00667B92" w:rsidRDefault="00667B92" w:rsidP="006A167C">
            <w:pPr>
              <w:tabs>
                <w:tab w:val="left" w:pos="1859"/>
              </w:tabs>
            </w:pPr>
            <w:r>
              <w:rPr>
                <w:lang w:val="de-CH"/>
              </w:rPr>
              <w:t xml:space="preserve">Art. 9 </w:t>
            </w:r>
            <w:r>
              <w:t xml:space="preserve">Bundesgesetz </w:t>
            </w:r>
            <w:r w:rsidRPr="00710705">
              <w:t>vom 15. Juni 2018</w:t>
            </w:r>
            <w:r>
              <w:t xml:space="preserve"> über die Finanzinstitute (FINIG; SR </w:t>
            </w:r>
            <w:r w:rsidRPr="0019326D">
              <w:rPr>
                <w:i/>
                <w:iCs/>
              </w:rPr>
              <w:t>95</w:t>
            </w:r>
            <w:r>
              <w:rPr>
                <w:i/>
                <w:iCs/>
              </w:rPr>
              <w:t>4</w:t>
            </w:r>
            <w:r w:rsidRPr="0019326D">
              <w:rPr>
                <w:i/>
                <w:iCs/>
              </w:rPr>
              <w:t>.1</w:t>
            </w:r>
            <w:r>
              <w:t>)</w:t>
            </w:r>
          </w:p>
          <w:p w14:paraId="03CE2CF3" w14:textId="563C8FBE" w:rsidR="006A167C" w:rsidRDefault="006A167C" w:rsidP="006A167C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 xml:space="preserve">Art. 12 </w:t>
            </w:r>
            <w:r w:rsidR="005F03A2">
              <w:rPr>
                <w:lang w:val="de-CH"/>
              </w:rPr>
              <w:t xml:space="preserve">Abs. 4, Art. 68 </w:t>
            </w:r>
            <w:r>
              <w:rPr>
                <w:lang w:val="de-CH"/>
              </w:rPr>
              <w:t xml:space="preserve">und </w:t>
            </w:r>
            <w:r w:rsidR="005F03A2">
              <w:rPr>
                <w:lang w:val="de-CH"/>
              </w:rPr>
              <w:t>73</w:t>
            </w:r>
            <w:r>
              <w:rPr>
                <w:lang w:val="de-CH"/>
              </w:rPr>
              <w:t xml:space="preserve"> </w:t>
            </w:r>
            <w:r w:rsidR="00667B92">
              <w:t xml:space="preserve">Verordnung </w:t>
            </w:r>
            <w:r w:rsidR="00667B92" w:rsidRPr="00710705">
              <w:t xml:space="preserve">vom 6. November 2019 </w:t>
            </w:r>
            <w:r w:rsidR="00667B92">
              <w:t>über die Finanzinstitute (FINIV; SR </w:t>
            </w:r>
            <w:r w:rsidR="00667B92" w:rsidRPr="0019326D">
              <w:rPr>
                <w:i/>
                <w:iCs/>
              </w:rPr>
              <w:t>95</w:t>
            </w:r>
            <w:r w:rsidR="00667B92">
              <w:rPr>
                <w:i/>
                <w:iCs/>
              </w:rPr>
              <w:t>4</w:t>
            </w:r>
            <w:r w:rsidR="00667B92" w:rsidRPr="0019326D">
              <w:rPr>
                <w:i/>
                <w:iCs/>
              </w:rPr>
              <w:t>.</w:t>
            </w:r>
            <w:r w:rsidR="00667B92">
              <w:rPr>
                <w:i/>
                <w:iCs/>
              </w:rPr>
              <w:t>1</w:t>
            </w:r>
            <w:r w:rsidR="00667B92" w:rsidRPr="0019326D">
              <w:rPr>
                <w:i/>
                <w:iCs/>
              </w:rPr>
              <w:t>1</w:t>
            </w:r>
            <w:r w:rsidR="00667B92">
              <w:t>)</w:t>
            </w:r>
          </w:p>
          <w:p w14:paraId="00B32222" w14:textId="567F1DE3" w:rsidR="006B7471" w:rsidRPr="00B90D29" w:rsidRDefault="005F03A2" w:rsidP="006A167C">
            <w:pPr>
              <w:tabs>
                <w:tab w:val="left" w:pos="1859"/>
              </w:tabs>
              <w:rPr>
                <w:rFonts w:cs="Arial"/>
                <w:szCs w:val="20"/>
                <w:lang w:val="de-CH"/>
              </w:rPr>
            </w:pPr>
            <w:r>
              <w:rPr>
                <w:lang w:val="de-CH"/>
              </w:rPr>
              <w:t xml:space="preserve">Rz 62–81 </w:t>
            </w:r>
            <w:r w:rsidR="004754C5" w:rsidRPr="0063713C">
              <w:rPr>
                <w:lang w:val="de-CH"/>
              </w:rPr>
              <w:t>FINMA-Rundschreiben 2017/1 „</w:t>
            </w:r>
            <w:r w:rsidR="004754C5" w:rsidRPr="00E25526">
              <w:rPr>
                <w:i/>
                <w:iCs/>
                <w:lang w:val="de-CH"/>
              </w:rPr>
              <w:t>Corporate Governance</w:t>
            </w:r>
            <w:r w:rsidR="004754C5" w:rsidRPr="0063713C">
              <w:rPr>
                <w:lang w:val="de-CH"/>
              </w:rPr>
              <w:t xml:space="preserve"> – Banken“</w:t>
            </w:r>
            <w:r w:rsidR="0061158A" w:rsidRPr="0063713C">
              <w:rPr>
                <w:lang w:val="de-CH"/>
              </w:rPr>
              <w:t xml:space="preserve"> </w:t>
            </w:r>
          </w:p>
        </w:tc>
      </w:tr>
      <w:tr w:rsidR="00F37CB4" w:rsidRPr="00B90D29" w14:paraId="7B5A8B17" w14:textId="77777777" w:rsidTr="0041269F">
        <w:trPr>
          <w:trHeight w:val="2160"/>
        </w:trPr>
        <w:tc>
          <w:tcPr>
            <w:tcW w:w="2694" w:type="dxa"/>
          </w:tcPr>
          <w:p w14:paraId="3D4061D0" w14:textId="77777777" w:rsidR="00F37CB4" w:rsidRPr="00B90D29" w:rsidRDefault="00F37CB4" w:rsidP="00B54948">
            <w:pPr>
              <w:tabs>
                <w:tab w:val="left" w:pos="1418"/>
              </w:tabs>
              <w:spacing w:before="120" w:after="120"/>
              <w:rPr>
                <w:rFonts w:cs="Arial"/>
                <w:b/>
                <w:szCs w:val="20"/>
                <w:lang w:val="de-CH"/>
              </w:rPr>
            </w:pPr>
            <w:proofErr w:type="spellStart"/>
            <w:r w:rsidRPr="00B90D29">
              <w:rPr>
                <w:b/>
                <w:lang w:val="de-CH"/>
              </w:rPr>
              <w:t>Sign</w:t>
            </w:r>
            <w:proofErr w:type="spellEnd"/>
            <w:r w:rsidRPr="00B90D29">
              <w:rPr>
                <w:b/>
                <w:lang w:val="de-CH"/>
              </w:rPr>
              <w:t>-offs:</w:t>
            </w:r>
          </w:p>
        </w:tc>
        <w:tc>
          <w:tcPr>
            <w:tcW w:w="11701" w:type="dxa"/>
          </w:tcPr>
          <w:p w14:paraId="69F541F3" w14:textId="77777777" w:rsidR="00F37CB4" w:rsidRPr="00B90D29" w:rsidRDefault="00F37CB4" w:rsidP="0041269F">
            <w:pPr>
              <w:tabs>
                <w:tab w:val="left" w:pos="1859"/>
              </w:tabs>
              <w:spacing w:before="120"/>
              <w:rPr>
                <w:rFonts w:cs="Arial"/>
                <w:sz w:val="2"/>
                <w:szCs w:val="2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3623"/>
              <w:gridCol w:w="3483"/>
              <w:gridCol w:w="2198"/>
            </w:tblGrid>
            <w:tr w:rsidR="009F7E12" w:rsidRPr="00B90D29" w14:paraId="2A83BD2F" w14:textId="77777777" w:rsidTr="00DB7CF3">
              <w:tc>
                <w:tcPr>
                  <w:tcW w:w="2013" w:type="dxa"/>
                  <w:shd w:val="clear" w:color="auto" w:fill="D9D9D9" w:themeFill="background1" w:themeFillShade="D9"/>
                </w:tcPr>
                <w:p w14:paraId="00EFFBDF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proofErr w:type="spellStart"/>
                  <w:r w:rsidRPr="00B90D29">
                    <w:rPr>
                      <w:b/>
                      <w:sz w:val="18"/>
                      <w:lang w:val="de-CH"/>
                    </w:rPr>
                    <w:t>Sign</w:t>
                  </w:r>
                  <w:proofErr w:type="spellEnd"/>
                  <w:r w:rsidRPr="00B90D29">
                    <w:rPr>
                      <w:b/>
                      <w:sz w:val="18"/>
                      <w:lang w:val="de-CH"/>
                    </w:rPr>
                    <w:t>-offs: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119E3F67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b/>
                      <w:sz w:val="18"/>
                      <w:lang w:val="de-CH"/>
                    </w:rPr>
                    <w:t>Name: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7EF31E65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b/>
                      <w:sz w:val="18"/>
                      <w:lang w:val="de-CH"/>
                    </w:rPr>
                    <w:t>Funktion: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4FE1F513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b/>
                      <w:sz w:val="18"/>
                      <w:lang w:val="de-CH"/>
                    </w:rPr>
                    <w:t>Datum:</w:t>
                  </w:r>
                </w:p>
              </w:tc>
            </w:tr>
            <w:tr w:rsidR="009F7E12" w:rsidRPr="00B90D29" w14:paraId="7CC1D21C" w14:textId="77777777" w:rsidTr="00537739">
              <w:tc>
                <w:tcPr>
                  <w:tcW w:w="2013" w:type="dxa"/>
                </w:tcPr>
                <w:p w14:paraId="1AFD8167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sz w:val="18"/>
                      <w:lang w:val="de-CH"/>
                    </w:rPr>
                    <w:t xml:space="preserve">Prüfer: </w:t>
                  </w:r>
                </w:p>
              </w:tc>
              <w:tc>
                <w:tcPr>
                  <w:tcW w:w="3685" w:type="dxa"/>
                </w:tcPr>
                <w:p w14:paraId="0A5A1148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3C55A7DC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[Assistent / Senior / Manager / Senior Manager / Partner]</w:t>
                  </w:r>
                </w:p>
              </w:tc>
              <w:tc>
                <w:tcPr>
                  <w:tcW w:w="2228" w:type="dxa"/>
                </w:tcPr>
                <w:p w14:paraId="3D157F4F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[TT MMMM JJJJ]</w:t>
                  </w:r>
                </w:p>
              </w:tc>
            </w:tr>
            <w:tr w:rsidR="009F7E12" w:rsidRPr="00B90D29" w14:paraId="29A77CBF" w14:textId="77777777" w:rsidTr="00537739">
              <w:tc>
                <w:tcPr>
                  <w:tcW w:w="2013" w:type="dxa"/>
                </w:tcPr>
                <w:p w14:paraId="32A68943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B90D29">
                    <w:rPr>
                      <w:sz w:val="18"/>
                      <w:lang w:val="de-CH"/>
                    </w:rPr>
                    <w:t>Reviewer:</w:t>
                  </w:r>
                </w:p>
              </w:tc>
              <w:tc>
                <w:tcPr>
                  <w:tcW w:w="3685" w:type="dxa"/>
                </w:tcPr>
                <w:p w14:paraId="39ECAA61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47511950" w14:textId="53524EB8" w:rsidR="009F7E12" w:rsidRPr="00B90D29" w:rsidRDefault="009F7E12" w:rsidP="00424650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[S</w:t>
                  </w:r>
                  <w:r w:rsidR="00064FCD">
                    <w:rPr>
                      <w:sz w:val="18"/>
                      <w:highlight w:val="yellow"/>
                      <w:lang w:val="de-CH"/>
                    </w:rPr>
                    <w:t>enior</w:t>
                  </w:r>
                  <w:r w:rsidRPr="00B90D29">
                    <w:rPr>
                      <w:sz w:val="18"/>
                      <w:highlight w:val="yellow"/>
                      <w:lang w:val="de-CH"/>
                    </w:rPr>
                    <w:t xml:space="preserve"> / Manager / Senior Manager </w:t>
                  </w:r>
                  <w:r w:rsidRPr="00B90D29"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  <w:br/>
                  </w:r>
                  <w:r w:rsidRPr="00B90D29">
                    <w:rPr>
                      <w:sz w:val="18"/>
                      <w:highlight w:val="yellow"/>
                      <w:lang w:val="de-CH"/>
                    </w:rPr>
                    <w:t>/ Partner]</w:t>
                  </w:r>
                </w:p>
              </w:tc>
              <w:tc>
                <w:tcPr>
                  <w:tcW w:w="2228" w:type="dxa"/>
                </w:tcPr>
                <w:p w14:paraId="0D44F63F" w14:textId="77777777" w:rsidR="009F7E12" w:rsidRPr="00B90D29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B90D29">
                    <w:rPr>
                      <w:sz w:val="18"/>
                      <w:highlight w:val="yellow"/>
                      <w:lang w:val="de-CH"/>
                    </w:rPr>
                    <w:t>[TT MMMM JJJJ]</w:t>
                  </w:r>
                </w:p>
              </w:tc>
            </w:tr>
          </w:tbl>
          <w:p w14:paraId="19696529" w14:textId="77777777" w:rsidR="00F37CB4" w:rsidRPr="00B90D29" w:rsidRDefault="00F37CB4" w:rsidP="00B54948">
            <w:pPr>
              <w:tabs>
                <w:tab w:val="left" w:pos="1859"/>
              </w:tabs>
              <w:spacing w:before="120" w:after="120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5B96F035" w14:textId="77777777" w:rsidR="00F37CB4" w:rsidRPr="00B90D29" w:rsidRDefault="00F37CB4" w:rsidP="00F37CB4">
      <w:pPr>
        <w:rPr>
          <w:rFonts w:cs="Arial"/>
          <w:szCs w:val="20"/>
          <w:lang w:val="de-CH"/>
        </w:rPr>
      </w:pPr>
    </w:p>
    <w:p w14:paraId="488A0F06" w14:textId="1F59D56F" w:rsidR="003E1DA2" w:rsidRDefault="007C601F" w:rsidP="002B101C">
      <w:pPr>
        <w:spacing w:before="0" w:after="0"/>
        <w:jc w:val="both"/>
        <w:rPr>
          <w:b/>
          <w:lang w:val="de-CH"/>
        </w:rPr>
      </w:pPr>
      <w:r w:rsidRPr="008362EE">
        <w:rPr>
          <w:b/>
          <w:lang w:val="de-CH"/>
        </w:rPr>
        <w:t>Dies ist ein Standard-Prüfprogramm, welches bei jeder Intervention gemäss Prüfstrategie grundsätzlich anzuwenden ist.</w:t>
      </w:r>
      <w:r w:rsidR="006F3170" w:rsidRPr="00B90D29">
        <w:rPr>
          <w:b/>
          <w:lang w:val="de-CH"/>
        </w:rPr>
        <w:t xml:space="preserve"> Es liegt in der Verantwortung des Prüfteams, das Standard-</w:t>
      </w:r>
      <w:r w:rsidR="00B90D29" w:rsidRPr="00B90D29">
        <w:rPr>
          <w:b/>
          <w:lang w:val="de-CH"/>
        </w:rPr>
        <w:t>Prüf</w:t>
      </w:r>
      <w:r w:rsidR="006F3170" w:rsidRPr="00B90D29">
        <w:rPr>
          <w:b/>
          <w:lang w:val="de-CH"/>
        </w:rPr>
        <w:t>programm an die spezifische Situation (Grösse, Geschäftsmodell, Organisation, Prozesse, Risiko</w:t>
      </w:r>
      <w:r w:rsidR="00A051FE">
        <w:rPr>
          <w:b/>
          <w:lang w:val="de-CH"/>
        </w:rPr>
        <w:t>-</w:t>
      </w:r>
      <w:r w:rsidR="00A051FE" w:rsidRPr="00E25526">
        <w:rPr>
          <w:b/>
          <w:i/>
          <w:iCs/>
          <w:lang w:val="de-CH"/>
        </w:rPr>
        <w:t>E</w:t>
      </w:r>
      <w:r w:rsidR="006F3170" w:rsidRPr="00E25526">
        <w:rPr>
          <w:b/>
          <w:i/>
          <w:iCs/>
          <w:lang w:val="de-CH"/>
        </w:rPr>
        <w:t>xposure</w:t>
      </w:r>
      <w:r w:rsidR="006F3170" w:rsidRPr="00B90D29">
        <w:rPr>
          <w:b/>
          <w:lang w:val="de-CH"/>
        </w:rPr>
        <w:t xml:space="preserve"> usw.) des geprüften Instituts anzupassen. Werden </w:t>
      </w:r>
      <w:r w:rsidR="00BF6E00">
        <w:rPr>
          <w:b/>
          <w:lang w:val="de-CH"/>
        </w:rPr>
        <w:t>die angegebenen</w:t>
      </w:r>
      <w:r w:rsidR="00BF6E00" w:rsidRPr="00B90D29">
        <w:rPr>
          <w:b/>
          <w:lang w:val="de-CH"/>
        </w:rPr>
        <w:t xml:space="preserve"> </w:t>
      </w:r>
      <w:r w:rsidR="006F3170" w:rsidRPr="00B90D29">
        <w:rPr>
          <w:b/>
          <w:lang w:val="de-CH"/>
        </w:rPr>
        <w:t xml:space="preserve">Prüfungshandlungen </w:t>
      </w:r>
      <w:r w:rsidR="00064FCD">
        <w:rPr>
          <w:b/>
          <w:lang w:val="de-CH"/>
        </w:rPr>
        <w:t xml:space="preserve">nicht </w:t>
      </w:r>
      <w:r w:rsidR="002D15A6">
        <w:rPr>
          <w:b/>
          <w:lang w:val="de-CH"/>
        </w:rPr>
        <w:t xml:space="preserve">vollständig </w:t>
      </w:r>
      <w:r w:rsidR="006F3170" w:rsidRPr="00B90D29">
        <w:rPr>
          <w:b/>
          <w:lang w:val="de-CH"/>
        </w:rPr>
        <w:t xml:space="preserve">durchgeführt, ist in den Arbeitspapieren eine aussagekräftige Erläuterung </w:t>
      </w:r>
      <w:r w:rsidR="00394988">
        <w:rPr>
          <w:b/>
          <w:lang w:val="de-CH"/>
        </w:rPr>
        <w:t xml:space="preserve">dazu </w:t>
      </w:r>
      <w:r w:rsidR="006F3170" w:rsidRPr="00B90D29">
        <w:rPr>
          <w:b/>
          <w:lang w:val="de-CH"/>
        </w:rPr>
        <w:t>anzubringen.</w:t>
      </w:r>
      <w:r w:rsidR="00BF6E00">
        <w:rPr>
          <w:b/>
          <w:lang w:val="de-CH"/>
        </w:rPr>
        <w:t xml:space="preserve"> Die mit </w:t>
      </w:r>
      <w:r w:rsidR="00CD69D5">
        <w:rPr>
          <w:b/>
          <w:lang w:val="de-CH"/>
        </w:rPr>
        <w:t>einem Stern (*)</w:t>
      </w:r>
      <w:r w:rsidR="00BF6E00">
        <w:rPr>
          <w:b/>
          <w:lang w:val="de-CH"/>
        </w:rPr>
        <w:t xml:space="preserve"> markierten Prüfpunkte sind bei allen Banken der Aufsichtskategorien 4 und 5 nicht anwendbar.</w:t>
      </w:r>
    </w:p>
    <w:p w14:paraId="736F36FD" w14:textId="77777777" w:rsidR="003E1DA2" w:rsidRPr="00B90D29" w:rsidRDefault="003E1DA2" w:rsidP="00ED7CEA">
      <w:pPr>
        <w:rPr>
          <w:rFonts w:cs="Arial"/>
          <w:szCs w:val="20"/>
          <w:lang w:val="de-CH"/>
        </w:rPr>
      </w:pPr>
    </w:p>
    <w:p w14:paraId="0C9D71A3" w14:textId="77777777" w:rsidR="00594CFF" w:rsidRPr="00B90D29" w:rsidRDefault="00594CFF">
      <w:pPr>
        <w:rPr>
          <w:rFonts w:cs="Arial"/>
          <w:szCs w:val="20"/>
          <w:lang w:val="de-CH"/>
        </w:rPr>
      </w:pPr>
      <w:r w:rsidRPr="00B90D29">
        <w:rPr>
          <w:lang w:val="de-CH"/>
        </w:rPr>
        <w:br w:type="page"/>
      </w:r>
    </w:p>
    <w:p w14:paraId="0F1D3915" w14:textId="77777777" w:rsidR="00352874" w:rsidRPr="00B90D29" w:rsidRDefault="00352874" w:rsidP="00352874">
      <w:pPr>
        <w:spacing w:line="240" w:lineRule="auto"/>
        <w:rPr>
          <w:rFonts w:cs="Arial"/>
          <w:b/>
          <w:lang w:val="de-CH"/>
        </w:rPr>
      </w:pPr>
      <w:r w:rsidRPr="00B90D29">
        <w:rPr>
          <w:b/>
          <w:lang w:val="de-CH"/>
        </w:rPr>
        <w:lastRenderedPageBreak/>
        <w:t>Abschliessende Zusammenfassung</w:t>
      </w:r>
    </w:p>
    <w:p w14:paraId="6F239D50" w14:textId="77777777" w:rsidR="00352874" w:rsidRPr="00B90D29" w:rsidRDefault="00352874" w:rsidP="00352874">
      <w:pPr>
        <w:spacing w:line="240" w:lineRule="auto"/>
        <w:rPr>
          <w:rFonts w:cs="Arial"/>
          <w:szCs w:val="20"/>
          <w:lang w:val="de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11359"/>
      </w:tblGrid>
      <w:tr w:rsidR="0045532C" w:rsidRPr="00B90D29" w14:paraId="4AAB9329" w14:textId="77777777" w:rsidTr="0045532C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4456F93A" w14:textId="77777777" w:rsidR="0045532C" w:rsidRPr="00B90D29" w:rsidRDefault="0045532C" w:rsidP="000624A4">
            <w:pPr>
              <w:tabs>
                <w:tab w:val="left" w:pos="1418"/>
              </w:tabs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Thema:</w:t>
            </w:r>
          </w:p>
        </w:tc>
        <w:tc>
          <w:tcPr>
            <w:tcW w:w="11482" w:type="dxa"/>
            <w:shd w:val="pct15" w:color="auto" w:fill="auto"/>
          </w:tcPr>
          <w:p w14:paraId="57A406F4" w14:textId="77777777" w:rsidR="0045532C" w:rsidRPr="00B90D29" w:rsidRDefault="0045532C" w:rsidP="000624A4">
            <w:pPr>
              <w:tabs>
                <w:tab w:val="left" w:pos="1859"/>
              </w:tabs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Information / Beschreibung:</w:t>
            </w:r>
          </w:p>
        </w:tc>
      </w:tr>
      <w:tr w:rsidR="0045532C" w:rsidRPr="00B90D29" w14:paraId="52F2CB26" w14:textId="77777777" w:rsidTr="00FA041D">
        <w:trPr>
          <w:trHeight w:val="2114"/>
        </w:trPr>
        <w:tc>
          <w:tcPr>
            <w:tcW w:w="2835" w:type="dxa"/>
          </w:tcPr>
          <w:p w14:paraId="3339618A" w14:textId="244C362E" w:rsidR="0045532C" w:rsidRPr="00B90D29" w:rsidRDefault="0045532C" w:rsidP="000624A4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B90D29">
              <w:rPr>
                <w:sz w:val="16"/>
                <w:lang w:val="de-CH"/>
              </w:rPr>
              <w:t>Zusammenfass</w:t>
            </w:r>
            <w:r w:rsidR="00064FCD">
              <w:rPr>
                <w:sz w:val="16"/>
                <w:lang w:val="de-CH"/>
              </w:rPr>
              <w:t>ende Gesamtbeurteilung</w:t>
            </w:r>
          </w:p>
        </w:tc>
        <w:tc>
          <w:tcPr>
            <w:tcW w:w="11482" w:type="dxa"/>
          </w:tcPr>
          <w:p w14:paraId="3B5FB636" w14:textId="77777777" w:rsidR="00FA041D" w:rsidRPr="00B90D29" w:rsidRDefault="00FA041D" w:rsidP="00FA041D">
            <w:pPr>
              <w:rPr>
                <w:rFonts w:cs="Arial"/>
                <w:sz w:val="6"/>
                <w:szCs w:val="6"/>
                <w:highlight w:val="yellow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19"/>
              <w:gridCol w:w="5514"/>
            </w:tblGrid>
            <w:tr w:rsidR="00FA041D" w:rsidRPr="00B90D29" w14:paraId="4C6FE485" w14:textId="77777777" w:rsidTr="005654C3">
              <w:tc>
                <w:tcPr>
                  <w:tcW w:w="5733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61DE0F9B" w14:textId="77777777" w:rsidR="00FA041D" w:rsidRPr="00B90D29" w:rsidRDefault="00FA041D" w:rsidP="005654C3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b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b/>
                      <w:sz w:val="16"/>
                      <w:lang w:val="de-CH"/>
                    </w:rPr>
                    <w:t>Bestätigung im Prüfbericht:</w:t>
                  </w:r>
                </w:p>
              </w:tc>
              <w:tc>
                <w:tcPr>
                  <w:tcW w:w="5626" w:type="dxa"/>
                  <w:shd w:val="clear" w:color="auto" w:fill="D9D9D9" w:themeFill="background1" w:themeFillShade="D9"/>
                </w:tcPr>
                <w:p w14:paraId="1F098CEB" w14:textId="77777777" w:rsidR="00FA041D" w:rsidRPr="00B90D29" w:rsidRDefault="00FA041D" w:rsidP="005654C3">
                  <w:pPr>
                    <w:tabs>
                      <w:tab w:val="left" w:pos="1859"/>
                    </w:tabs>
                    <w:rPr>
                      <w:rFonts w:cs="Arial"/>
                      <w:b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b/>
                      <w:sz w:val="16"/>
                      <w:lang w:val="de-CH"/>
                    </w:rPr>
                    <w:t>Zusammenfassung:</w:t>
                  </w:r>
                </w:p>
              </w:tc>
            </w:tr>
            <w:tr w:rsidR="00FA041D" w:rsidRPr="00B90D29" w14:paraId="529CB635" w14:textId="77777777" w:rsidTr="005654C3">
              <w:tc>
                <w:tcPr>
                  <w:tcW w:w="5733" w:type="dxa"/>
                  <w:tcMar>
                    <w:left w:w="0" w:type="dxa"/>
                  </w:tcMar>
                </w:tcPr>
                <w:p w14:paraId="7B9E914A" w14:textId="04092ECC" w:rsidR="00FA041D" w:rsidRPr="00B90D29" w:rsidRDefault="00FA041D" w:rsidP="00417322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sz w:val="16"/>
                      <w:lang w:val="de-CH"/>
                    </w:rPr>
                    <w:t xml:space="preserve">Bestätigung, dass die technischen und personellen Ressourcen bei der </w:t>
                  </w:r>
                  <w:r w:rsidR="00417322">
                    <w:rPr>
                      <w:sz w:val="16"/>
                      <w:lang w:val="de-CH"/>
                    </w:rPr>
                    <w:t>Funktion Compliance</w:t>
                  </w:r>
                  <w:r w:rsidR="00B90D29">
                    <w:rPr>
                      <w:sz w:val="16"/>
                      <w:lang w:val="de-CH"/>
                    </w:rPr>
                    <w:t xml:space="preserve"> </w:t>
                  </w:r>
                  <w:r w:rsidRPr="00B90D29">
                    <w:rPr>
                      <w:sz w:val="16"/>
                      <w:lang w:val="de-CH"/>
                    </w:rPr>
                    <w:t>ausreichend waren und dass diese ihre Verantwortung effektiv wahrgenommen hat.</w:t>
                  </w:r>
                </w:p>
              </w:tc>
              <w:tc>
                <w:tcPr>
                  <w:tcW w:w="5626" w:type="dxa"/>
                </w:tcPr>
                <w:p w14:paraId="0D38AEF5" w14:textId="77777777" w:rsidR="00FA041D" w:rsidRPr="00B90D29" w:rsidRDefault="00FA041D" w:rsidP="005654C3">
                  <w:pPr>
                    <w:tabs>
                      <w:tab w:val="left" w:pos="1859"/>
                    </w:tabs>
                    <w:rPr>
                      <w:rFonts w:cs="Arial"/>
                      <w:i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Ja</w:t>
                  </w:r>
                  <w:r w:rsidRPr="00B90D29">
                    <w:rPr>
                      <w:i/>
                      <w:sz w:val="16"/>
                      <w:highlight w:val="yellow"/>
                      <w:lang w:val="de-CH"/>
                    </w:rPr>
                    <w:t xml:space="preserve"> (Prüfung / kritische Beurteilung) / </w:t>
                  </w: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Nein</w:t>
                  </w:r>
                </w:p>
              </w:tc>
            </w:tr>
            <w:tr w:rsidR="00FA041D" w:rsidRPr="00B90D29" w14:paraId="167050CF" w14:textId="77777777" w:rsidTr="005654C3">
              <w:tc>
                <w:tcPr>
                  <w:tcW w:w="5733" w:type="dxa"/>
                  <w:tcMar>
                    <w:left w:w="0" w:type="dxa"/>
                  </w:tcMar>
                </w:tcPr>
                <w:p w14:paraId="6106FAD9" w14:textId="77777777" w:rsidR="00FA041D" w:rsidRPr="00B90D29" w:rsidRDefault="00FA041D" w:rsidP="005654C3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sz w:val="16"/>
                      <w:lang w:val="de-CH"/>
                    </w:rPr>
                    <w:t>Bestätigung, dass die technischen und personellen Ressourcen bei der Funktion Risikokontrolle ausreichend waren und dass diese ihre Verantwortung effektiv wahrgenommen hat.</w:t>
                  </w:r>
                </w:p>
              </w:tc>
              <w:tc>
                <w:tcPr>
                  <w:tcW w:w="5626" w:type="dxa"/>
                </w:tcPr>
                <w:p w14:paraId="63D250BD" w14:textId="77777777" w:rsidR="00FA041D" w:rsidRPr="00B90D29" w:rsidRDefault="00FA041D" w:rsidP="005654C3">
                  <w:pPr>
                    <w:tabs>
                      <w:tab w:val="left" w:pos="1859"/>
                    </w:tabs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Ja</w:t>
                  </w:r>
                  <w:r w:rsidRPr="00B90D29">
                    <w:rPr>
                      <w:i/>
                      <w:sz w:val="16"/>
                      <w:highlight w:val="yellow"/>
                      <w:lang w:val="de-CH"/>
                    </w:rPr>
                    <w:t xml:space="preserve"> (Prüfung / kritische Beurteilung) / </w:t>
                  </w: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Nein</w:t>
                  </w:r>
                </w:p>
              </w:tc>
            </w:tr>
            <w:tr w:rsidR="00FA041D" w:rsidRPr="00B90D29" w14:paraId="50EB510D" w14:textId="77777777" w:rsidTr="005654C3">
              <w:tc>
                <w:tcPr>
                  <w:tcW w:w="5733" w:type="dxa"/>
                  <w:tcMar>
                    <w:left w:w="0" w:type="dxa"/>
                  </w:tcMar>
                </w:tcPr>
                <w:p w14:paraId="6DD8C91F" w14:textId="44D40C06" w:rsidR="00FA041D" w:rsidRPr="00B90D29" w:rsidRDefault="00FA041D" w:rsidP="005654C3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sz w:val="16"/>
                      <w:lang w:val="de-CH"/>
                    </w:rPr>
                    <w:t>Bestätigung, dass die organisatorische Anordnung d</w:t>
                  </w:r>
                  <w:r w:rsidR="00394988">
                    <w:rPr>
                      <w:sz w:val="16"/>
                      <w:lang w:val="de-CH"/>
                    </w:rPr>
                    <w:t>ies</w:t>
                  </w:r>
                  <w:r w:rsidRPr="00B90D29">
                    <w:rPr>
                      <w:sz w:val="16"/>
                      <w:lang w:val="de-CH"/>
                    </w:rPr>
                    <w:t xml:space="preserve">er Funktionen </w:t>
                  </w:r>
                  <w:r w:rsidR="00394988">
                    <w:rPr>
                      <w:sz w:val="16"/>
                      <w:lang w:val="de-CH"/>
                    </w:rPr>
                    <w:t xml:space="preserve">und das Entschädigungssystem </w:t>
                  </w:r>
                  <w:r w:rsidRPr="00B90D29">
                    <w:rPr>
                      <w:sz w:val="16"/>
                      <w:lang w:val="de-CH"/>
                    </w:rPr>
                    <w:t xml:space="preserve">keine Zielkonflikte </w:t>
                  </w:r>
                  <w:proofErr w:type="gramStart"/>
                  <w:r w:rsidRPr="00B90D29">
                    <w:rPr>
                      <w:sz w:val="16"/>
                      <w:lang w:val="de-CH"/>
                    </w:rPr>
                    <w:t>herbeiführte</w:t>
                  </w:r>
                  <w:r w:rsidR="0044400A">
                    <w:rPr>
                      <w:sz w:val="16"/>
                      <w:lang w:val="de-CH"/>
                    </w:rPr>
                    <w:t>n</w:t>
                  </w:r>
                  <w:proofErr w:type="gramEnd"/>
                  <w:r w:rsidRPr="00B90D29">
                    <w:rPr>
                      <w:sz w:val="16"/>
                      <w:lang w:val="de-CH"/>
                    </w:rPr>
                    <w:t>.</w:t>
                  </w:r>
                </w:p>
              </w:tc>
              <w:tc>
                <w:tcPr>
                  <w:tcW w:w="5626" w:type="dxa"/>
                </w:tcPr>
                <w:p w14:paraId="30A8A5BF" w14:textId="77777777" w:rsidR="00FA041D" w:rsidRPr="00B90D29" w:rsidRDefault="00FA041D" w:rsidP="005654C3">
                  <w:pPr>
                    <w:tabs>
                      <w:tab w:val="left" w:pos="1859"/>
                    </w:tabs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Ja</w:t>
                  </w:r>
                  <w:r w:rsidRPr="00B90D29">
                    <w:rPr>
                      <w:i/>
                      <w:sz w:val="16"/>
                      <w:highlight w:val="yellow"/>
                      <w:lang w:val="de-CH"/>
                    </w:rPr>
                    <w:t xml:space="preserve"> (Prüfung / kritische Beurteilung) / </w:t>
                  </w:r>
                  <w:r w:rsidRPr="00B90D29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Nein</w:t>
                  </w:r>
                </w:p>
              </w:tc>
            </w:tr>
          </w:tbl>
          <w:p w14:paraId="6E913031" w14:textId="77777777" w:rsidR="00FA041D" w:rsidRPr="00B90D29" w:rsidRDefault="00FA041D" w:rsidP="000624A4">
            <w:pPr>
              <w:tabs>
                <w:tab w:val="left" w:pos="1859"/>
              </w:tabs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5532C" w:rsidRPr="00B90D29" w14:paraId="7ECA7E06" w14:textId="77777777" w:rsidTr="0045532C">
        <w:trPr>
          <w:trHeight w:val="561"/>
        </w:trPr>
        <w:tc>
          <w:tcPr>
            <w:tcW w:w="2835" w:type="dxa"/>
          </w:tcPr>
          <w:p w14:paraId="47685AAE" w14:textId="545DD346" w:rsidR="0045532C" w:rsidRPr="00B90D29" w:rsidRDefault="00B90D29" w:rsidP="000624A4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B90D29">
              <w:rPr>
                <w:sz w:val="16"/>
                <w:lang w:val="de-CH"/>
              </w:rPr>
              <w:t xml:space="preserve">Zusammenfassung der </w:t>
            </w:r>
            <w:r w:rsidR="00A051FE" w:rsidRPr="00B90D29">
              <w:rPr>
                <w:sz w:val="16"/>
                <w:lang w:val="de-CH"/>
              </w:rPr>
              <w:t>Prüfresultate</w:t>
            </w:r>
            <w:r w:rsidR="00A051FE">
              <w:rPr>
                <w:sz w:val="16"/>
                <w:lang w:val="de-CH"/>
              </w:rPr>
              <w:t> </w:t>
            </w:r>
            <w:r w:rsidRPr="00B90D29">
              <w:rPr>
                <w:sz w:val="16"/>
                <w:lang w:val="de-CH"/>
              </w:rPr>
              <w:t>/ Beanstandungen und Empfehlungen</w:t>
            </w:r>
            <w:r w:rsidR="0045532C" w:rsidRPr="00B90D29">
              <w:rPr>
                <w:rFonts w:cs="Arial"/>
                <w:sz w:val="16"/>
                <w:szCs w:val="16"/>
                <w:lang w:val="de-CH"/>
              </w:rPr>
              <w:br/>
            </w:r>
            <w:r w:rsidR="0045532C" w:rsidRPr="00B90D29">
              <w:rPr>
                <w:sz w:val="12"/>
                <w:lang w:val="de-CH"/>
              </w:rPr>
              <w:t>(ausführliche Informationen nachstehend)</w:t>
            </w:r>
          </w:p>
        </w:tc>
        <w:tc>
          <w:tcPr>
            <w:tcW w:w="11482" w:type="dxa"/>
          </w:tcPr>
          <w:p w14:paraId="096B91F1" w14:textId="77777777" w:rsidR="0045532C" w:rsidRPr="00B90D29" w:rsidRDefault="0045532C" w:rsidP="00B90D29">
            <w:pPr>
              <w:tabs>
                <w:tab w:val="left" w:pos="1859"/>
              </w:tabs>
              <w:rPr>
                <w:rFonts w:cs="Arial"/>
                <w:sz w:val="16"/>
                <w:szCs w:val="16"/>
                <w:highlight w:val="yellow"/>
                <w:lang w:val="de-CH"/>
              </w:rPr>
            </w:pPr>
            <w:r w:rsidRPr="00B90D29">
              <w:rPr>
                <w:sz w:val="16"/>
                <w:highlight w:val="yellow"/>
                <w:lang w:val="de-CH"/>
              </w:rPr>
              <w:t xml:space="preserve">[Zusammenfassung </w:t>
            </w:r>
            <w:r w:rsidR="00B90D29">
              <w:rPr>
                <w:sz w:val="16"/>
                <w:highlight w:val="yellow"/>
                <w:lang w:val="de-CH"/>
              </w:rPr>
              <w:t xml:space="preserve">der Prüfresultate / </w:t>
            </w:r>
            <w:r w:rsidRPr="00B90D29">
              <w:rPr>
                <w:sz w:val="16"/>
                <w:highlight w:val="yellow"/>
                <w:lang w:val="de-CH"/>
              </w:rPr>
              <w:t>Beanstandungen</w:t>
            </w:r>
            <w:r w:rsidR="00B90D29">
              <w:rPr>
                <w:sz w:val="16"/>
                <w:highlight w:val="yellow"/>
                <w:lang w:val="de-CH"/>
              </w:rPr>
              <w:t xml:space="preserve"> und Empfehlungen</w:t>
            </w:r>
            <w:r w:rsidRPr="00B90D29">
              <w:rPr>
                <w:sz w:val="16"/>
                <w:highlight w:val="yellow"/>
                <w:lang w:val="de-CH"/>
              </w:rPr>
              <w:t>]</w:t>
            </w:r>
          </w:p>
        </w:tc>
      </w:tr>
      <w:tr w:rsidR="0045532C" w:rsidRPr="00B90D29" w14:paraId="3661E97B" w14:textId="77777777" w:rsidTr="0045532C">
        <w:trPr>
          <w:trHeight w:val="561"/>
        </w:trPr>
        <w:tc>
          <w:tcPr>
            <w:tcW w:w="2835" w:type="dxa"/>
          </w:tcPr>
          <w:p w14:paraId="3951A437" w14:textId="2E7EF701" w:rsidR="0045532C" w:rsidRPr="00B90D29" w:rsidRDefault="0045532C" w:rsidP="00EB55A5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B90D29">
              <w:rPr>
                <w:sz w:val="16"/>
                <w:lang w:val="de-CH"/>
              </w:rPr>
              <w:t xml:space="preserve">Prüffelder, Prüfresultate und </w:t>
            </w:r>
            <w:r w:rsidR="00EB55A5">
              <w:rPr>
                <w:sz w:val="16"/>
                <w:lang w:val="de-CH"/>
              </w:rPr>
              <w:t>Prüfungshandlungen der</w:t>
            </w:r>
            <w:r w:rsidRPr="00B90D29">
              <w:rPr>
                <w:sz w:val="16"/>
                <w:lang w:val="de-CH"/>
              </w:rPr>
              <w:t xml:space="preserve"> </w:t>
            </w:r>
            <w:r w:rsidR="00A051FE">
              <w:rPr>
                <w:sz w:val="16"/>
                <w:lang w:val="de-CH"/>
              </w:rPr>
              <w:t>i</w:t>
            </w:r>
            <w:r w:rsidR="00A051FE" w:rsidRPr="00B90D29">
              <w:rPr>
                <w:sz w:val="16"/>
                <w:lang w:val="de-CH"/>
              </w:rPr>
              <w:t xml:space="preserve">nternen </w:t>
            </w:r>
            <w:r w:rsidRPr="00B90D29">
              <w:rPr>
                <w:sz w:val="16"/>
                <w:lang w:val="de-CH"/>
              </w:rPr>
              <w:t xml:space="preserve">Revision, auf die sich die Prüfgesellschaft gestützt hat (einschliesslich </w:t>
            </w:r>
            <w:r w:rsidR="00EB55A5">
              <w:rPr>
                <w:sz w:val="16"/>
                <w:lang w:val="de-CH"/>
              </w:rPr>
              <w:t>Würdigung durch die</w:t>
            </w:r>
            <w:r w:rsidRPr="00B90D29">
              <w:rPr>
                <w:sz w:val="16"/>
                <w:lang w:val="de-CH"/>
              </w:rPr>
              <w:t xml:space="preserve"> Prüfgesellschaft)</w:t>
            </w:r>
          </w:p>
        </w:tc>
        <w:tc>
          <w:tcPr>
            <w:tcW w:w="11482" w:type="dxa"/>
          </w:tcPr>
          <w:p w14:paraId="0C15AB86" w14:textId="77777777" w:rsidR="0045532C" w:rsidRPr="00B90D29" w:rsidRDefault="0045532C" w:rsidP="009A0D29">
            <w:pPr>
              <w:rPr>
                <w:rFonts w:cs="Arial"/>
                <w:sz w:val="16"/>
                <w:szCs w:val="16"/>
                <w:highlight w:val="yellow"/>
                <w:lang w:val="de-CH"/>
              </w:rPr>
            </w:pPr>
            <w:r w:rsidRPr="00B90D29">
              <w:rPr>
                <w:sz w:val="16"/>
                <w:highlight w:val="yellow"/>
                <w:lang w:val="de-CH"/>
              </w:rPr>
              <w:t>[Beschreibung]</w:t>
            </w:r>
          </w:p>
        </w:tc>
      </w:tr>
    </w:tbl>
    <w:p w14:paraId="6546D731" w14:textId="77777777" w:rsidR="00FC6E90" w:rsidRPr="00B90D29" w:rsidRDefault="00FC6E90">
      <w:pPr>
        <w:rPr>
          <w:rFonts w:cs="Arial"/>
          <w:lang w:val="de-CH"/>
        </w:rPr>
      </w:pPr>
      <w:r w:rsidRPr="00B90D29">
        <w:rPr>
          <w:lang w:val="de-CH"/>
        </w:rPr>
        <w:br w:type="page"/>
      </w:r>
    </w:p>
    <w:p w14:paraId="69BA65E3" w14:textId="032A4D5C" w:rsidR="00352874" w:rsidRPr="00B90D29" w:rsidRDefault="002B5717" w:rsidP="00352874">
      <w:pPr>
        <w:spacing w:line="240" w:lineRule="auto"/>
        <w:rPr>
          <w:rFonts w:cs="Arial"/>
          <w:b/>
          <w:u w:val="single"/>
          <w:lang w:val="de-CH"/>
        </w:rPr>
      </w:pPr>
      <w:r>
        <w:rPr>
          <w:b/>
          <w:lang w:val="de-CH"/>
        </w:rPr>
        <w:lastRenderedPageBreak/>
        <w:t>Prüf</w:t>
      </w:r>
      <w:r w:rsidR="00FC6E90" w:rsidRPr="00B90D29">
        <w:rPr>
          <w:b/>
          <w:lang w:val="de-CH"/>
        </w:rPr>
        <w:t xml:space="preserve">programm – </w:t>
      </w:r>
      <w:r w:rsidR="00FC6E90" w:rsidRPr="00C92FE4">
        <w:rPr>
          <w:b/>
          <w:u w:val="single"/>
          <w:lang w:val="de-CH"/>
        </w:rPr>
        <w:t>Compliance-Funktion</w:t>
      </w:r>
    </w:p>
    <w:p w14:paraId="2EE3B5AB" w14:textId="77777777" w:rsidR="00DB7CF3" w:rsidRPr="00B90D29" w:rsidRDefault="00DB7CF3" w:rsidP="00352874">
      <w:pPr>
        <w:spacing w:line="240" w:lineRule="auto"/>
        <w:rPr>
          <w:rFonts w:cs="Arial"/>
          <w:b/>
          <w:lang w:val="de-CH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bottom w:w="85" w:type="dxa"/>
          <w:right w:w="57" w:type="dxa"/>
        </w:tblCellMar>
        <w:tblLook w:val="00A0" w:firstRow="1" w:lastRow="0" w:firstColumn="1" w:lastColumn="0" w:noHBand="0" w:noVBand="0"/>
      </w:tblPr>
      <w:tblGrid>
        <w:gridCol w:w="531"/>
        <w:gridCol w:w="36"/>
        <w:gridCol w:w="1560"/>
        <w:gridCol w:w="3685"/>
        <w:gridCol w:w="3827"/>
        <w:gridCol w:w="3686"/>
        <w:gridCol w:w="992"/>
      </w:tblGrid>
      <w:tr w:rsidR="00352874" w:rsidRPr="00B90D29" w14:paraId="36CEB0CE" w14:textId="77777777" w:rsidTr="008439E0">
        <w:trPr>
          <w:tblHeader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0BD32CA" w14:textId="3E1EB3C0" w:rsidR="00352874" w:rsidRPr="00B90D29" w:rsidRDefault="00352874" w:rsidP="000624A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Nr.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25526F23" w14:textId="77777777" w:rsidR="00352874" w:rsidRPr="00B90D29" w:rsidRDefault="00352874" w:rsidP="000624A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Thema: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0" w:color="auto" w:fill="auto"/>
          </w:tcPr>
          <w:p w14:paraId="667E6003" w14:textId="3B97A8AF" w:rsidR="00352874" w:rsidRPr="00B90D29" w:rsidRDefault="00DB7CF3" w:rsidP="00DB7CF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Prüfungshandlungen für Prüftiefe „kritische Beurteilung“: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20" w:color="auto" w:fill="auto"/>
          </w:tcPr>
          <w:p w14:paraId="19364C2D" w14:textId="442F0F93" w:rsidR="00352874" w:rsidRPr="00B90D29" w:rsidRDefault="00EF25FA" w:rsidP="008C241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u w:val="single"/>
                <w:lang w:val="de-CH"/>
              </w:rPr>
              <w:t>Zusätzliche</w:t>
            </w:r>
            <w:r w:rsidRPr="00B90D29">
              <w:rPr>
                <w:b/>
                <w:sz w:val="16"/>
                <w:lang w:val="de-CH"/>
              </w:rPr>
              <w:t xml:space="preserve"> Prüfungshandlungen für Prüftiefe „Prüfung“: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20" w:color="auto" w:fill="auto"/>
          </w:tcPr>
          <w:p w14:paraId="53152234" w14:textId="12F3C65D" w:rsidR="00352874" w:rsidRPr="00B90D29" w:rsidRDefault="00440BBC" w:rsidP="001E54A7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 xml:space="preserve">Durchgeführte Prüfungshandlungen / </w:t>
            </w:r>
            <w:r w:rsidR="001E54A7">
              <w:rPr>
                <w:b/>
                <w:sz w:val="16"/>
                <w:lang w:val="de-CH"/>
              </w:rPr>
              <w:t>Feststellungen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6CCE0625" w14:textId="77777777" w:rsidR="00352874" w:rsidRPr="00B90D29" w:rsidRDefault="00352874" w:rsidP="000624A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 xml:space="preserve">Arbeitspapiere </w:t>
            </w:r>
            <w:proofErr w:type="spellStart"/>
            <w:r w:rsidRPr="00B90D29">
              <w:rPr>
                <w:b/>
                <w:sz w:val="16"/>
                <w:lang w:val="de-CH"/>
              </w:rPr>
              <w:t>Ref</w:t>
            </w:r>
            <w:proofErr w:type="spellEnd"/>
            <w:r w:rsidRPr="00B90D29">
              <w:rPr>
                <w:b/>
                <w:sz w:val="16"/>
                <w:lang w:val="de-CH"/>
              </w:rPr>
              <w:t>.:</w:t>
            </w:r>
          </w:p>
        </w:tc>
      </w:tr>
      <w:tr w:rsidR="00FC6E90" w:rsidRPr="00E25526" w14:paraId="00144C12" w14:textId="77777777" w:rsidTr="008439E0">
        <w:tc>
          <w:tcPr>
            <w:tcW w:w="14317" w:type="dxa"/>
            <w:gridSpan w:val="7"/>
            <w:shd w:val="pct10" w:color="auto" w:fill="auto"/>
          </w:tcPr>
          <w:p w14:paraId="32618FF3" w14:textId="68C31551" w:rsidR="00F6760D" w:rsidRPr="00834473" w:rsidRDefault="00FC6E90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834473">
              <w:rPr>
                <w:i/>
                <w:sz w:val="16"/>
                <w:lang w:val="en-US"/>
              </w:rPr>
              <w:t xml:space="preserve">„Confirmation that the technical and personnel resources of the compliance function were </w:t>
            </w:r>
            <w:proofErr w:type="gramStart"/>
            <w:r w:rsidRPr="00834473">
              <w:rPr>
                <w:i/>
                <w:sz w:val="16"/>
                <w:lang w:val="en-US"/>
              </w:rPr>
              <w:t>adequate</w:t>
            </w:r>
            <w:proofErr w:type="gramEnd"/>
            <w:r w:rsidRPr="00834473">
              <w:rPr>
                <w:i/>
                <w:sz w:val="16"/>
                <w:lang w:val="en-US"/>
              </w:rPr>
              <w:t xml:space="preserve"> and it actually assumed responsibility“</w:t>
            </w:r>
            <w:r w:rsidR="00EA7805">
              <w:rPr>
                <w:i/>
                <w:sz w:val="16"/>
                <w:lang w:val="en-US"/>
              </w:rPr>
              <w:t>.</w:t>
            </w:r>
          </w:p>
          <w:p w14:paraId="63DC3132" w14:textId="357EF7BF" w:rsidR="00F6760D" w:rsidRPr="00B90D29" w:rsidRDefault="00FC6E90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B90D29">
              <w:rPr>
                <w:i/>
                <w:sz w:val="16"/>
                <w:lang w:val="de-CH"/>
              </w:rPr>
              <w:t xml:space="preserve">„Bestätigung, dass die technischen und personellen Ressourcen bei der </w:t>
            </w:r>
            <w:r w:rsidR="00417322">
              <w:rPr>
                <w:i/>
                <w:sz w:val="16"/>
                <w:lang w:val="de-CH"/>
              </w:rPr>
              <w:t>Funktion Compliance</w:t>
            </w:r>
            <w:r w:rsidR="001E54A7">
              <w:rPr>
                <w:i/>
                <w:sz w:val="16"/>
                <w:lang w:val="de-CH"/>
              </w:rPr>
              <w:t xml:space="preserve"> </w:t>
            </w:r>
            <w:r w:rsidRPr="00B90D29">
              <w:rPr>
                <w:i/>
                <w:sz w:val="16"/>
                <w:lang w:val="de-CH"/>
              </w:rPr>
              <w:t>ausreichend waren und dass diese ihre Verantwortung effektiv wahrgenommen hat“</w:t>
            </w:r>
            <w:r w:rsidR="00EA7805">
              <w:rPr>
                <w:i/>
                <w:sz w:val="16"/>
                <w:lang w:val="de-CH"/>
              </w:rPr>
              <w:t>.</w:t>
            </w:r>
          </w:p>
          <w:p w14:paraId="115835CA" w14:textId="2EC1BCCE" w:rsidR="00FC6E90" w:rsidRPr="00834473" w:rsidRDefault="00FC6E90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fr-CH"/>
              </w:rPr>
            </w:pPr>
            <w:r w:rsidRPr="00834473">
              <w:rPr>
                <w:i/>
                <w:sz w:val="16"/>
                <w:lang w:val="fr-CH"/>
              </w:rPr>
              <w:t>„Confirmation que les ressources techniques et personnelles de la fonction de compliance étaient suffisantes et qu’elle a assumé ef</w:t>
            </w:r>
            <w:r w:rsidR="00EA7805">
              <w:rPr>
                <w:i/>
                <w:sz w:val="16"/>
                <w:lang w:val="fr-CH"/>
              </w:rPr>
              <w:t>fectivement ses responsabilités</w:t>
            </w:r>
            <w:r w:rsidRPr="00834473">
              <w:rPr>
                <w:i/>
                <w:sz w:val="16"/>
                <w:lang w:val="fr-CH"/>
              </w:rPr>
              <w:t>“</w:t>
            </w:r>
            <w:r w:rsidR="00EA7805">
              <w:rPr>
                <w:i/>
                <w:sz w:val="16"/>
                <w:lang w:val="fr-CH"/>
              </w:rPr>
              <w:t>.</w:t>
            </w:r>
          </w:p>
        </w:tc>
      </w:tr>
      <w:tr w:rsidR="00993463" w:rsidRPr="00B90D29" w14:paraId="6C9350FF" w14:textId="77777777" w:rsidTr="008439E0">
        <w:tc>
          <w:tcPr>
            <w:tcW w:w="567" w:type="dxa"/>
            <w:gridSpan w:val="2"/>
            <w:shd w:val="clear" w:color="auto" w:fill="auto"/>
          </w:tcPr>
          <w:p w14:paraId="25B6FF2B" w14:textId="1D67CFE8" w:rsidR="00993463" w:rsidRPr="008D684E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867EA0A" w14:textId="408FEEFF" w:rsidR="00993463" w:rsidRPr="00DF4FBB" w:rsidRDefault="00993463" w:rsidP="00C309E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DF4FBB">
              <w:rPr>
                <w:b/>
                <w:sz w:val="16"/>
                <w:lang w:val="de-CH"/>
              </w:rPr>
              <w:t>Personelle Ressourcen</w:t>
            </w:r>
          </w:p>
        </w:tc>
        <w:tc>
          <w:tcPr>
            <w:tcW w:w="3685" w:type="dxa"/>
            <w:shd w:val="clear" w:color="auto" w:fill="auto"/>
          </w:tcPr>
          <w:p w14:paraId="6A56A682" w14:textId="0B3A03D1" w:rsidR="00993463" w:rsidRPr="00B90D29" w:rsidRDefault="00993463" w:rsidP="00642878">
            <w:pPr>
              <w:spacing w:line="240" w:lineRule="auto"/>
              <w:rPr>
                <w:lang w:val="de-CH"/>
              </w:rPr>
            </w:pPr>
            <w:r w:rsidRPr="00DF4FBB">
              <w:rPr>
                <w:i/>
                <w:sz w:val="16"/>
                <w:lang w:val="de-CH"/>
              </w:rPr>
              <w:t>Beurteilung, ob die Compliance-Funktion nach Massgabe der Grösse, der Geschäfts- und Organisationskomplexität und des Compliance-Risikos des Instituts mit angemessenen personellen Ressourcen ausgestattet ist</w:t>
            </w:r>
            <w:r w:rsidR="00BF6E00">
              <w:rPr>
                <w:i/>
                <w:sz w:val="16"/>
                <w:lang w:val="de-CH"/>
              </w:rPr>
              <w:t xml:space="preserve"> (Rz 64 FINMA-RS 17/1)</w:t>
            </w:r>
            <w:r w:rsidRPr="00DF4FBB">
              <w:rPr>
                <w:i/>
                <w:sz w:val="16"/>
                <w:lang w:val="de-CH"/>
              </w:rPr>
              <w:t>, namentlich:</w:t>
            </w:r>
          </w:p>
        </w:tc>
        <w:tc>
          <w:tcPr>
            <w:tcW w:w="3827" w:type="dxa"/>
            <w:shd w:val="clear" w:color="auto" w:fill="auto"/>
          </w:tcPr>
          <w:p w14:paraId="193EBFEA" w14:textId="718E364D" w:rsidR="00993463" w:rsidRPr="00B90D29" w:rsidRDefault="00993463" w:rsidP="00755BF6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1755430F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3CFA6221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93463" w:rsidRPr="00B90D29" w14:paraId="327B22F5" w14:textId="77777777" w:rsidTr="008439E0">
        <w:tc>
          <w:tcPr>
            <w:tcW w:w="567" w:type="dxa"/>
            <w:gridSpan w:val="2"/>
            <w:shd w:val="clear" w:color="auto" w:fill="auto"/>
          </w:tcPr>
          <w:p w14:paraId="6A972BA3" w14:textId="36C1F3F9" w:rsidR="00993463" w:rsidRPr="00B90D29" w:rsidRDefault="00993463" w:rsidP="00F408E8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7206B9" w14:textId="77777777" w:rsidR="00993463" w:rsidRPr="00B90D29" w:rsidRDefault="00993463" w:rsidP="008740C8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6478DC31" w14:textId="7779FFB8" w:rsidR="00993463" w:rsidRPr="00B90D29" w:rsidRDefault="00993463" w:rsidP="002B101C">
            <w:pPr>
              <w:pStyle w:val="Bullet"/>
              <w:numPr>
                <w:ilvl w:val="0"/>
                <w:numId w:val="0"/>
              </w:numPr>
              <w:ind w:left="34"/>
              <w:rPr>
                <w:lang w:val="de-CH"/>
              </w:rPr>
            </w:pPr>
            <w:r w:rsidRPr="00B90D29">
              <w:rPr>
                <w:lang w:val="de-CH"/>
              </w:rPr>
              <w:t xml:space="preserve">Aneignung </w:t>
            </w:r>
            <w:r>
              <w:rPr>
                <w:lang w:val="de-CH"/>
              </w:rPr>
              <w:t>grundlegender</w:t>
            </w:r>
            <w:r w:rsidRPr="00B90D29">
              <w:rPr>
                <w:lang w:val="de-CH"/>
              </w:rPr>
              <w:t xml:space="preserve"> Kenntnisse über die Compliance-Funktion des Instituts, die Zahl ihrer Mitarbeitenden und die ihr </w:t>
            </w:r>
            <w:r>
              <w:rPr>
                <w:lang w:val="de-CH"/>
              </w:rPr>
              <w:t>übertragenen</w:t>
            </w:r>
            <w:r w:rsidRPr="00B90D29">
              <w:rPr>
                <w:lang w:val="de-CH"/>
              </w:rPr>
              <w:t xml:space="preserve"> Aufgaben</w:t>
            </w:r>
          </w:p>
        </w:tc>
        <w:tc>
          <w:tcPr>
            <w:tcW w:w="3827" w:type="dxa"/>
            <w:shd w:val="clear" w:color="auto" w:fill="auto"/>
          </w:tcPr>
          <w:p w14:paraId="0BA44249" w14:textId="77777777" w:rsidR="00993463" w:rsidRPr="00B90D29" w:rsidRDefault="00993463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378F8F03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196E2B2D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93463" w:rsidRPr="00B90D29" w14:paraId="71D17C11" w14:textId="77777777" w:rsidTr="008439E0">
        <w:tc>
          <w:tcPr>
            <w:tcW w:w="567" w:type="dxa"/>
            <w:gridSpan w:val="2"/>
            <w:shd w:val="clear" w:color="auto" w:fill="auto"/>
          </w:tcPr>
          <w:p w14:paraId="38F8E107" w14:textId="6642B010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DDA315" w14:textId="77777777" w:rsidR="00993463" w:rsidRPr="00B90D29" w:rsidRDefault="00993463" w:rsidP="008740C8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6A7D8741" w14:textId="669CEE3B" w:rsidR="00CD69D5" w:rsidRPr="00ED7CEA" w:rsidRDefault="00993463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ED7CEA">
              <w:rPr>
                <w:lang w:val="de-CH"/>
              </w:rPr>
              <w:t xml:space="preserve">Anhand von </w:t>
            </w:r>
            <w:r w:rsidR="003D7B4F" w:rsidRPr="00ED7CEA">
              <w:rPr>
                <w:lang w:val="de-CH"/>
              </w:rPr>
              <w:t xml:space="preserve">bspw. </w:t>
            </w:r>
            <w:r w:rsidRPr="00ED7CEA">
              <w:rPr>
                <w:lang w:val="de-CH"/>
              </w:rPr>
              <w:t>Lebensläufen, Stellenbeschreibungen von Schlüsselpersonen und -mitarbeitenden der Compliance-Funktion ist deren Know-how zu beurteilen</w:t>
            </w:r>
          </w:p>
        </w:tc>
        <w:tc>
          <w:tcPr>
            <w:tcW w:w="3827" w:type="dxa"/>
            <w:shd w:val="clear" w:color="auto" w:fill="auto"/>
          </w:tcPr>
          <w:p w14:paraId="6CBABBB3" w14:textId="77777777" w:rsidR="00993463" w:rsidRPr="00B90D29" w:rsidRDefault="00993463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52BFC23B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218B232F" w14:textId="77777777" w:rsidR="00993463" w:rsidRPr="00B90D29" w:rsidRDefault="00993463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40BBC" w:rsidRPr="0063713C" w14:paraId="71A082AA" w14:textId="77777777" w:rsidTr="008439E0">
        <w:tc>
          <w:tcPr>
            <w:tcW w:w="567" w:type="dxa"/>
            <w:gridSpan w:val="2"/>
            <w:shd w:val="clear" w:color="auto" w:fill="auto"/>
          </w:tcPr>
          <w:p w14:paraId="0C9188A6" w14:textId="27693041" w:rsidR="00440BBC" w:rsidRPr="00B90D29" w:rsidRDefault="00440BBC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633EE25" w14:textId="77777777" w:rsidR="00440BBC" w:rsidRPr="0063713C" w:rsidRDefault="00440BBC" w:rsidP="00DB7CF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Technische</w:t>
            </w:r>
            <w:r w:rsidRPr="0063713C">
              <w:rPr>
                <w:rFonts w:cs="Arial"/>
                <w:b/>
                <w:sz w:val="16"/>
                <w:szCs w:val="16"/>
                <w:lang w:val="de-CH"/>
              </w:rPr>
              <w:br/>
            </w:r>
            <w:r w:rsidRPr="0063713C">
              <w:rPr>
                <w:b/>
                <w:sz w:val="16"/>
                <w:lang w:val="de-CH"/>
              </w:rPr>
              <w:t>Ressourcen</w:t>
            </w:r>
          </w:p>
        </w:tc>
        <w:tc>
          <w:tcPr>
            <w:tcW w:w="3685" w:type="dxa"/>
            <w:shd w:val="clear" w:color="auto" w:fill="auto"/>
          </w:tcPr>
          <w:p w14:paraId="31B09CCE" w14:textId="0211028E" w:rsidR="00440BBC" w:rsidRPr="0063713C" w:rsidRDefault="00440BBC" w:rsidP="00946B52">
            <w:pPr>
              <w:spacing w:line="240" w:lineRule="auto"/>
              <w:rPr>
                <w:lang w:val="de-CH"/>
              </w:rPr>
            </w:pPr>
            <w:r w:rsidRPr="0063713C">
              <w:rPr>
                <w:i/>
                <w:sz w:val="16"/>
                <w:lang w:val="de-CH"/>
              </w:rPr>
              <w:t>Beurteilung, ob die Compliance-Funktion nach Massgabe der Grösse, der Geschäfts- und Organisationskomplexität und des Compliance-Risikos des Instituts mit angemessenen technischen Ressourcen ausgestattet ist (Rz </w:t>
            </w:r>
            <w:r w:rsidR="00993463" w:rsidRPr="0063713C">
              <w:rPr>
                <w:i/>
                <w:sz w:val="16"/>
                <w:lang w:val="de-CH"/>
              </w:rPr>
              <w:t>64</w:t>
            </w:r>
            <w:r w:rsidRPr="0063713C">
              <w:rPr>
                <w:i/>
                <w:sz w:val="16"/>
                <w:lang w:val="de-CH"/>
              </w:rPr>
              <w:t xml:space="preserve"> FINMA-R</w:t>
            </w:r>
            <w:r w:rsidR="00E915B0" w:rsidRPr="0063713C">
              <w:rPr>
                <w:i/>
                <w:sz w:val="16"/>
                <w:lang w:val="de-CH"/>
              </w:rPr>
              <w:t>S</w:t>
            </w:r>
            <w:r w:rsidRPr="0063713C">
              <w:rPr>
                <w:i/>
                <w:sz w:val="16"/>
                <w:lang w:val="de-CH"/>
              </w:rPr>
              <w:t xml:space="preserve"> </w:t>
            </w:r>
            <w:r w:rsidR="00993463" w:rsidRPr="0063713C">
              <w:rPr>
                <w:i/>
                <w:sz w:val="16"/>
                <w:lang w:val="de-CH"/>
              </w:rPr>
              <w:t>17/1</w:t>
            </w:r>
            <w:r w:rsidRPr="0063713C">
              <w:rPr>
                <w:i/>
                <w:sz w:val="16"/>
                <w:lang w:val="de-CH"/>
              </w:rPr>
              <w:t>), namentlich:</w:t>
            </w:r>
          </w:p>
        </w:tc>
        <w:tc>
          <w:tcPr>
            <w:tcW w:w="3827" w:type="dxa"/>
            <w:shd w:val="clear" w:color="auto" w:fill="auto"/>
          </w:tcPr>
          <w:p w14:paraId="5F7C619A" w14:textId="3460684E" w:rsidR="00440BBC" w:rsidRPr="0063713C" w:rsidRDefault="00440BBC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41B937D2" w14:textId="77777777" w:rsidR="00440BBC" w:rsidRPr="0063713C" w:rsidRDefault="00440BBC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799F5C2F" w14:textId="77777777" w:rsidR="00440BBC" w:rsidRPr="0063713C" w:rsidRDefault="00440BBC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40BBC" w:rsidRPr="0063713C" w14:paraId="19E1DEA1" w14:textId="77777777" w:rsidTr="008439E0">
        <w:tc>
          <w:tcPr>
            <w:tcW w:w="567" w:type="dxa"/>
            <w:gridSpan w:val="2"/>
            <w:shd w:val="clear" w:color="auto" w:fill="auto"/>
          </w:tcPr>
          <w:p w14:paraId="35C19CE2" w14:textId="096CEA4F" w:rsidR="00440BBC" w:rsidRPr="0063713C" w:rsidRDefault="00440BBC" w:rsidP="000624A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FAC5DF2" w14:textId="77777777" w:rsidR="00440BBC" w:rsidRPr="0063713C" w:rsidRDefault="00440BBC" w:rsidP="00DB7CF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09C5DAD9" w14:textId="2D6C4BB0" w:rsidR="007C4D48" w:rsidRPr="0063713C" w:rsidRDefault="003E6FC9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 xml:space="preserve">Beurteilung der Angemessenheit der technischen Ressourcen, bspw. </w:t>
            </w:r>
            <w:proofErr w:type="spellStart"/>
            <w:r>
              <w:rPr>
                <w:lang w:val="de-CH"/>
              </w:rPr>
              <w:t>anhand</w:t>
            </w:r>
            <w:r w:rsidR="00E915B0" w:rsidRPr="0063713C">
              <w:rPr>
                <w:lang w:val="de-CH"/>
              </w:rPr>
              <w:t>einer</w:t>
            </w:r>
            <w:proofErr w:type="spellEnd"/>
            <w:r w:rsidR="00440BBC" w:rsidRPr="0063713C">
              <w:rPr>
                <w:lang w:val="de-CH"/>
              </w:rPr>
              <w:t xml:space="preserve"> Liste von IT-Anwendungen und anderen von der Compliance-Funktion genutzten Tools, einschliesslich der Bezeichnung des Systems, einer Beschreibung des Zwecks und des Implementierungsdatums</w:t>
            </w:r>
          </w:p>
        </w:tc>
        <w:tc>
          <w:tcPr>
            <w:tcW w:w="3827" w:type="dxa"/>
            <w:shd w:val="clear" w:color="auto" w:fill="auto"/>
          </w:tcPr>
          <w:p w14:paraId="0669672A" w14:textId="77777777" w:rsidR="00440BBC" w:rsidRPr="0063713C" w:rsidRDefault="00440BBC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14A76FCE" w14:textId="77777777" w:rsidR="00440BBC" w:rsidRPr="0063713C" w:rsidRDefault="00440BBC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7678F87E" w14:textId="77777777" w:rsidR="00440BBC" w:rsidRPr="0063713C" w:rsidRDefault="00440BBC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F1F55" w:rsidRPr="0063713C" w14:paraId="55F2EA20" w14:textId="77777777" w:rsidTr="008439E0">
        <w:tc>
          <w:tcPr>
            <w:tcW w:w="567" w:type="dxa"/>
            <w:gridSpan w:val="2"/>
            <w:shd w:val="clear" w:color="auto" w:fill="auto"/>
          </w:tcPr>
          <w:p w14:paraId="09268CDA" w14:textId="3265911F" w:rsidR="00BF1F55" w:rsidRPr="0063713C" w:rsidRDefault="00BF1F55" w:rsidP="00F408E8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6F629D0" w14:textId="77777777" w:rsidR="00BF1F55" w:rsidRPr="0063713C" w:rsidRDefault="00BF1F55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Wahrnehmung der Verantwortung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CEA8885" w14:textId="6A86662D" w:rsidR="00BF1F55" w:rsidRPr="0063713C" w:rsidRDefault="00BF1F55" w:rsidP="00AC006D">
            <w:pPr>
              <w:spacing w:line="240" w:lineRule="auto"/>
              <w:rPr>
                <w:lang w:val="de-CH"/>
              </w:rPr>
            </w:pPr>
            <w:r w:rsidRPr="0063713C">
              <w:rPr>
                <w:i/>
                <w:sz w:val="16"/>
                <w:lang w:val="de-CH"/>
              </w:rPr>
              <w:t>Beurteilung, ob die Compliance-Funktion</w:t>
            </w:r>
            <w:r w:rsidR="00BF6E00">
              <w:rPr>
                <w:i/>
                <w:sz w:val="16"/>
                <w:lang w:val="de-CH"/>
              </w:rPr>
              <w:t xml:space="preserve"> nach Massgabe der Grösse, der Geschäfts- und </w:t>
            </w:r>
            <w:proofErr w:type="spellStart"/>
            <w:r w:rsidR="00BF6E00">
              <w:rPr>
                <w:i/>
                <w:sz w:val="16"/>
                <w:lang w:val="de-CH"/>
              </w:rPr>
              <w:t>Organisasionskomplexität</w:t>
            </w:r>
            <w:proofErr w:type="spellEnd"/>
            <w:r w:rsidR="00BF6E00">
              <w:rPr>
                <w:i/>
                <w:sz w:val="16"/>
                <w:lang w:val="de-CH"/>
              </w:rPr>
              <w:t xml:space="preserve"> und des Compliance-Risikos des Instituts</w:t>
            </w:r>
            <w:r w:rsidR="002F387D" w:rsidRPr="0063713C">
              <w:rPr>
                <w:i/>
                <w:sz w:val="16"/>
                <w:lang w:val="de-CH"/>
              </w:rPr>
              <w:t xml:space="preserve"> </w:t>
            </w:r>
            <w:r w:rsidRPr="0063713C">
              <w:rPr>
                <w:i/>
                <w:sz w:val="16"/>
                <w:lang w:val="de-CH"/>
              </w:rPr>
              <w:t>ihrer Verantwortung nachgekommen ist (Rz </w:t>
            </w:r>
            <w:r w:rsidR="00993463" w:rsidRPr="0063713C">
              <w:rPr>
                <w:i/>
                <w:sz w:val="16"/>
                <w:lang w:val="de-CH"/>
              </w:rPr>
              <w:t>77</w:t>
            </w:r>
            <w:r w:rsidRPr="0063713C">
              <w:rPr>
                <w:i/>
                <w:sz w:val="16"/>
                <w:lang w:val="de-CH"/>
              </w:rPr>
              <w:t>–</w:t>
            </w:r>
            <w:r w:rsidR="00993463" w:rsidRPr="0063713C">
              <w:rPr>
                <w:i/>
                <w:sz w:val="16"/>
                <w:lang w:val="de-CH"/>
              </w:rPr>
              <w:t>81</w:t>
            </w:r>
            <w:r w:rsidRPr="0063713C">
              <w:rPr>
                <w:i/>
                <w:sz w:val="16"/>
                <w:lang w:val="de-CH"/>
              </w:rPr>
              <w:t xml:space="preserve"> FINMA-R</w:t>
            </w:r>
            <w:r w:rsidR="002F387D" w:rsidRPr="0063713C">
              <w:rPr>
                <w:i/>
                <w:sz w:val="16"/>
                <w:lang w:val="de-CH"/>
              </w:rPr>
              <w:t>S</w:t>
            </w:r>
            <w:r w:rsidRPr="0063713C">
              <w:rPr>
                <w:i/>
                <w:sz w:val="16"/>
                <w:lang w:val="de-CH"/>
              </w:rPr>
              <w:t xml:space="preserve"> </w:t>
            </w:r>
            <w:r w:rsidR="00993463" w:rsidRPr="0063713C">
              <w:rPr>
                <w:i/>
                <w:sz w:val="16"/>
                <w:lang w:val="de-CH"/>
              </w:rPr>
              <w:t>17/1</w:t>
            </w:r>
            <w:r w:rsidRPr="0063713C">
              <w:rPr>
                <w:i/>
                <w:sz w:val="16"/>
                <w:lang w:val="de-CH"/>
              </w:rPr>
              <w:t>), namentlich: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C844355" w14:textId="77777777" w:rsidR="00BF1F55" w:rsidRPr="0063713C" w:rsidRDefault="00BF1F55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181F2B" w14:textId="77777777" w:rsidR="00BF1F55" w:rsidRPr="0063713C" w:rsidRDefault="00BF1F55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70A83D" w14:textId="77777777" w:rsidR="00BF1F55" w:rsidRPr="0063713C" w:rsidRDefault="00BF1F55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F1F55" w:rsidRPr="00B90D29" w14:paraId="37F39DA2" w14:textId="77777777" w:rsidTr="008439E0">
        <w:tc>
          <w:tcPr>
            <w:tcW w:w="567" w:type="dxa"/>
            <w:gridSpan w:val="2"/>
            <w:shd w:val="clear" w:color="auto" w:fill="auto"/>
          </w:tcPr>
          <w:p w14:paraId="630CAFC7" w14:textId="7D7D237B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C0638B" w14:textId="77777777" w:rsidR="00BF1F55" w:rsidRPr="0063713C" w:rsidRDefault="00BF1F55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16D3F6F" w14:textId="19929639" w:rsidR="00BF1F55" w:rsidRPr="00B90D29" w:rsidRDefault="00BF1F55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internen Weisungen des Instituts für die Compliance-Funktion dem FINMA-R</w:t>
            </w:r>
            <w:r w:rsidR="002F387D" w:rsidRPr="0063713C">
              <w:rPr>
                <w:lang w:val="de-CH"/>
              </w:rPr>
              <w:t>S</w:t>
            </w:r>
            <w:r w:rsidRPr="0063713C">
              <w:rPr>
                <w:lang w:val="de-CH"/>
              </w:rPr>
              <w:t xml:space="preserve"> </w:t>
            </w:r>
            <w:r w:rsidR="00993463" w:rsidRPr="0063713C">
              <w:rPr>
                <w:lang w:val="de-CH"/>
              </w:rPr>
              <w:t>17/1</w:t>
            </w:r>
            <w:r w:rsidRPr="0063713C">
              <w:rPr>
                <w:lang w:val="de-CH"/>
              </w:rPr>
              <w:t xml:space="preserve"> gerecht werden und im Hinblick auf jüngste und</w:t>
            </w:r>
            <w:r w:rsidR="00636DE5" w:rsidRPr="0063713C">
              <w:rPr>
                <w:lang w:val="de-CH"/>
              </w:rPr>
              <w:t>/oder</w:t>
            </w:r>
            <w:r w:rsidRPr="0063713C">
              <w:rPr>
                <w:lang w:val="de-CH"/>
              </w:rPr>
              <w:t xml:space="preserve"> geplante Änderungen der Rahmenbedingungen, Kontrollen und der Organisation des Instituts angemessen sind</w:t>
            </w:r>
            <w:r w:rsidRPr="00B90D29">
              <w:rPr>
                <w:lang w:val="de-CH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72749CF" w14:textId="77777777" w:rsidR="00BF1F55" w:rsidRPr="00B90D29" w:rsidRDefault="00BF1F55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4764CA" w14:textId="77777777" w:rsidR="00BF1F55" w:rsidRPr="00B90D29" w:rsidRDefault="00BF1F55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F26403" w14:textId="77777777" w:rsidR="00BF1F55" w:rsidRPr="00B90D29" w:rsidRDefault="00BF1F55" w:rsidP="00415624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F1F55" w:rsidRPr="0063713C" w14:paraId="46245AF2" w14:textId="77777777" w:rsidTr="008439E0">
        <w:tc>
          <w:tcPr>
            <w:tcW w:w="567" w:type="dxa"/>
            <w:gridSpan w:val="2"/>
            <w:shd w:val="clear" w:color="auto" w:fill="auto"/>
          </w:tcPr>
          <w:p w14:paraId="17F321D3" w14:textId="44C721FD" w:rsidR="00BF1F55" w:rsidRPr="00B90D29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5656A8D" w14:textId="77777777" w:rsidR="00BF1F55" w:rsidRPr="00B90D29" w:rsidRDefault="00BF1F55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5156EC5" w14:textId="4395031E" w:rsidR="00BF1F55" w:rsidRPr="0063713C" w:rsidRDefault="00BF1F55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 xml:space="preserve">Beurteilung, ob die Compliance-Funktion mindestens jährlich eine Beurteilung des Compliance-Risikos der Geschäftstätigkeit vornimmt und auf </w:t>
            </w:r>
            <w:r w:rsidR="0035426B" w:rsidRPr="0063713C">
              <w:rPr>
                <w:lang w:val="de-CH"/>
              </w:rPr>
              <w:t>dieser</w:t>
            </w:r>
            <w:r w:rsidRPr="0063713C">
              <w:rPr>
                <w:lang w:val="de-CH"/>
              </w:rPr>
              <w:t xml:space="preserve"> Basis einen risikoorientierten Tätigkeitsplan ausarbeitet, der durch die </w:t>
            </w:r>
            <w:r w:rsidR="002A507D" w:rsidRPr="0063713C">
              <w:rPr>
                <w:lang w:val="de-CH"/>
              </w:rPr>
              <w:t xml:space="preserve">Geschäftsleitung </w:t>
            </w:r>
            <w:r w:rsidRPr="0063713C">
              <w:rPr>
                <w:lang w:val="de-CH"/>
              </w:rPr>
              <w:t xml:space="preserve">zu genehmigen </w:t>
            </w:r>
            <w:r w:rsidR="002A507D" w:rsidRPr="0063713C">
              <w:rPr>
                <w:lang w:val="de-CH"/>
              </w:rPr>
              <w:t xml:space="preserve">und der internen Revision vorzulegen </w:t>
            </w:r>
            <w:r w:rsidRPr="0063713C">
              <w:rPr>
                <w:lang w:val="de-CH"/>
              </w:rPr>
              <w:t>ist (Rz </w:t>
            </w:r>
            <w:r w:rsidR="002A507D" w:rsidRPr="0063713C">
              <w:rPr>
                <w:lang w:val="de-CH"/>
              </w:rPr>
              <w:t xml:space="preserve">78 </w:t>
            </w:r>
            <w:r w:rsidRPr="0063713C">
              <w:rPr>
                <w:lang w:val="de-CH"/>
              </w:rPr>
              <w:t>FINMA-R</w:t>
            </w:r>
            <w:r w:rsidR="0035426B" w:rsidRPr="0063713C">
              <w:rPr>
                <w:lang w:val="de-CH"/>
              </w:rPr>
              <w:t>S</w:t>
            </w:r>
            <w:r w:rsidR="00307C7B" w:rsidRPr="0063713C">
              <w:rPr>
                <w:lang w:val="de-CH"/>
              </w:rPr>
              <w:t xml:space="preserve"> </w:t>
            </w:r>
            <w:r w:rsidR="002A507D" w:rsidRPr="0063713C">
              <w:rPr>
                <w:lang w:val="de-CH"/>
              </w:rPr>
              <w:t>17/1</w:t>
            </w:r>
            <w:r w:rsidR="00307C7B"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2473988" w14:textId="5AAC6CCB" w:rsidR="00BF1F55" w:rsidRPr="0063713C" w:rsidRDefault="00636DE5" w:rsidP="0020088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Einsichtnahme in den</w:t>
            </w:r>
            <w:r w:rsidR="00BF1F55" w:rsidRPr="0063713C">
              <w:rPr>
                <w:lang w:val="de-CH"/>
              </w:rPr>
              <w:t xml:space="preserve"> risikoorientierten Tätigkeitsplans und Beurteilung </w:t>
            </w:r>
            <w:r w:rsidR="002D15A6" w:rsidRPr="0063713C">
              <w:rPr>
                <w:lang w:val="de-CH"/>
              </w:rPr>
              <w:t xml:space="preserve">von </w:t>
            </w:r>
            <w:r w:rsidR="00BF1F55" w:rsidRPr="0063713C">
              <w:rPr>
                <w:lang w:val="de-CH"/>
              </w:rPr>
              <w:t>de</w:t>
            </w:r>
            <w:r w:rsidRPr="0063713C">
              <w:rPr>
                <w:lang w:val="de-CH"/>
              </w:rPr>
              <w:t>ssen</w:t>
            </w:r>
            <w:r w:rsidR="00BF1F55" w:rsidRPr="0063713C">
              <w:rPr>
                <w:lang w:val="de-CH"/>
              </w:rPr>
              <w:t xml:space="preserve"> Ang</w:t>
            </w:r>
            <w:r w:rsidR="0035426B" w:rsidRPr="0063713C">
              <w:rPr>
                <w:lang w:val="de-CH"/>
              </w:rPr>
              <w:t>emessenheit und Vollständigkeit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176F890" w14:textId="77777777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2A845B" w14:textId="77777777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F1F55" w:rsidRPr="0063713C" w14:paraId="01DAD250" w14:textId="77777777" w:rsidTr="008439E0">
        <w:tc>
          <w:tcPr>
            <w:tcW w:w="567" w:type="dxa"/>
            <w:gridSpan w:val="2"/>
            <w:shd w:val="clear" w:color="auto" w:fill="auto"/>
          </w:tcPr>
          <w:p w14:paraId="7BC1BF1E" w14:textId="266FCDF0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2CDCD7F" w14:textId="77777777" w:rsidR="00BF1F55" w:rsidRPr="0063713C" w:rsidRDefault="00BF1F55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72A855C" w14:textId="2791F0B9" w:rsidR="00BF1F55" w:rsidRPr="0063713C" w:rsidRDefault="00BF1F55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Compliance-Funktion</w:t>
            </w:r>
            <w:r w:rsidR="00757A2F" w:rsidRPr="0063713C">
              <w:rPr>
                <w:lang w:val="de-CH"/>
              </w:rPr>
              <w:t xml:space="preserve"> </w:t>
            </w:r>
            <w:r w:rsidR="002A507D" w:rsidRPr="0063713C">
              <w:rPr>
                <w:lang w:val="de-CH"/>
              </w:rPr>
              <w:t>das Oberleitungsorgan</w:t>
            </w:r>
            <w:r w:rsidRPr="0063713C">
              <w:rPr>
                <w:lang w:val="de-CH"/>
              </w:rPr>
              <w:t xml:space="preserve"> mindestens jährlich über die Einschätzung des Compliance-Risikos</w:t>
            </w:r>
            <w:r w:rsidR="00757A2F" w:rsidRPr="0063713C">
              <w:rPr>
                <w:lang w:val="de-CH"/>
              </w:rPr>
              <w:t xml:space="preserve"> und die Tätigkeit der Compliance-Funktion</w:t>
            </w:r>
            <w:r w:rsidRPr="0063713C">
              <w:rPr>
                <w:lang w:val="de-CH"/>
              </w:rPr>
              <w:t xml:space="preserve"> unterrichtet (Rz </w:t>
            </w:r>
            <w:r w:rsidR="002A507D" w:rsidRPr="0063713C">
              <w:rPr>
                <w:lang w:val="de-CH"/>
              </w:rPr>
              <w:t xml:space="preserve">80 </w:t>
            </w:r>
            <w:r w:rsidR="00307C7B" w:rsidRPr="0063713C">
              <w:rPr>
                <w:lang w:val="de-CH"/>
              </w:rPr>
              <w:t>FINMA-R</w:t>
            </w:r>
            <w:r w:rsidR="00757A2F" w:rsidRPr="0063713C">
              <w:rPr>
                <w:lang w:val="de-CH"/>
              </w:rPr>
              <w:t>S</w:t>
            </w:r>
            <w:r w:rsidR="00307C7B" w:rsidRPr="0063713C">
              <w:rPr>
                <w:lang w:val="de-CH"/>
              </w:rPr>
              <w:t xml:space="preserve"> </w:t>
            </w:r>
            <w:r w:rsidR="002A507D" w:rsidRPr="0063713C">
              <w:rPr>
                <w:lang w:val="de-CH"/>
              </w:rPr>
              <w:t>17/1</w:t>
            </w:r>
            <w:r w:rsidR="00307C7B"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54ACE59" w14:textId="5C63CC0D" w:rsidR="00BF1F55" w:rsidRPr="0063713C" w:rsidRDefault="00636DE5" w:rsidP="002A507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Einsichtnahme in die</w:t>
            </w:r>
            <w:r w:rsidR="00BF1F55" w:rsidRPr="0063713C">
              <w:rPr>
                <w:lang w:val="de-CH"/>
              </w:rPr>
              <w:t xml:space="preserve"> jährliche Berichterstattung an </w:t>
            </w:r>
            <w:r w:rsidR="002A507D" w:rsidRPr="0063713C">
              <w:rPr>
                <w:lang w:val="de-CH"/>
              </w:rPr>
              <w:t>das Oberleitungsorgan (mit Kopie an die interne Revision und die Prüfgesellschaft)</w:t>
            </w:r>
            <w:r w:rsidR="00BF1F55" w:rsidRPr="0063713C">
              <w:rPr>
                <w:lang w:val="de-CH"/>
              </w:rPr>
              <w:t xml:space="preserve"> und Beurteilung </w:t>
            </w:r>
            <w:r w:rsidR="002D15A6" w:rsidRPr="0063713C">
              <w:rPr>
                <w:lang w:val="de-CH"/>
              </w:rPr>
              <w:t xml:space="preserve">von </w:t>
            </w:r>
            <w:r w:rsidR="00BF1F55" w:rsidRPr="0063713C">
              <w:rPr>
                <w:lang w:val="de-CH"/>
              </w:rPr>
              <w:t>der</w:t>
            </w:r>
            <w:r w:rsidRPr="0063713C">
              <w:rPr>
                <w:lang w:val="de-CH"/>
              </w:rPr>
              <w:t>en</w:t>
            </w:r>
            <w:r w:rsidR="00BF1F55" w:rsidRPr="0063713C">
              <w:rPr>
                <w:lang w:val="de-CH"/>
              </w:rPr>
              <w:t xml:space="preserve"> Angemessenheit / Vollständigkeit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1DB0174" w14:textId="77777777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D37FCE" w14:textId="77777777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F1F55" w:rsidRPr="00B90D29" w14:paraId="0176CBA6" w14:textId="77777777" w:rsidTr="008439E0">
        <w:tc>
          <w:tcPr>
            <w:tcW w:w="567" w:type="dxa"/>
            <w:gridSpan w:val="2"/>
            <w:shd w:val="clear" w:color="auto" w:fill="auto"/>
          </w:tcPr>
          <w:p w14:paraId="42C2FDAF" w14:textId="2A3C40AA" w:rsidR="00BF1F55" w:rsidRPr="0063713C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8B0C60" w14:textId="77777777" w:rsidR="00BF1F55" w:rsidRPr="0063713C" w:rsidRDefault="00BF1F55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D6D911B" w14:textId="4FA70CDB" w:rsidR="00BF1F55" w:rsidRPr="00B90D29" w:rsidRDefault="002C62D2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Erlangung</w:t>
            </w:r>
            <w:r w:rsidR="009525D2" w:rsidRPr="0063713C"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>und Beurteilung</w:t>
            </w:r>
            <w:r w:rsidR="00BF1F55" w:rsidRPr="0063713C">
              <w:rPr>
                <w:lang w:val="de-CH"/>
              </w:rPr>
              <w:t xml:space="preserve"> von Nachweisen, dass die Compliance-Funktion ihre </w:t>
            </w:r>
            <w:r w:rsidRPr="0063713C">
              <w:rPr>
                <w:lang w:val="de-CH"/>
              </w:rPr>
              <w:t>weiteren</w:t>
            </w:r>
            <w:r w:rsidR="00BF1F55" w:rsidRPr="0063713C">
              <w:rPr>
                <w:lang w:val="de-CH"/>
              </w:rPr>
              <w:t xml:space="preserve"> Aufgaben und Verantwortlichkeiten (</w:t>
            </w:r>
            <w:r w:rsidR="002A507D" w:rsidRPr="0063713C">
              <w:rPr>
                <w:lang w:val="de-CH"/>
              </w:rPr>
              <w:t xml:space="preserve">zeitgerechte </w:t>
            </w:r>
            <w:r w:rsidR="00BF1F55" w:rsidRPr="0063713C">
              <w:rPr>
                <w:lang w:val="de-CH"/>
              </w:rPr>
              <w:t xml:space="preserve">Berichterstattung über </w:t>
            </w:r>
            <w:r w:rsidR="002A507D" w:rsidRPr="0063713C">
              <w:rPr>
                <w:lang w:val="de-CH"/>
              </w:rPr>
              <w:t xml:space="preserve">i) </w:t>
            </w:r>
            <w:r w:rsidR="00BF1F55" w:rsidRPr="0063713C">
              <w:rPr>
                <w:lang w:val="de-CH"/>
              </w:rPr>
              <w:t>wesentliche Veränderungen in der Einschätzung des Complia</w:t>
            </w:r>
            <w:r w:rsidR="003D2AC8" w:rsidRPr="0063713C">
              <w:rPr>
                <w:lang w:val="de-CH"/>
              </w:rPr>
              <w:t>nce-Risikos</w:t>
            </w:r>
            <w:r w:rsidR="002A507D" w:rsidRPr="0063713C">
              <w:rPr>
                <w:lang w:val="de-CH"/>
              </w:rPr>
              <w:t xml:space="preserve"> und ii) schwerwiegende Verletzungen der Compliance an die entsprechenden Funktionen</w:t>
            </w:r>
            <w:r w:rsidR="003D2AC8" w:rsidRPr="0063713C">
              <w:rPr>
                <w:lang w:val="de-CH"/>
              </w:rPr>
              <w:t>) effektiv wahrnimmt</w:t>
            </w:r>
            <w:r w:rsidR="00BF1F55" w:rsidRPr="0063713C">
              <w:rPr>
                <w:lang w:val="de-CH"/>
              </w:rPr>
              <w:t xml:space="preserve"> (</w:t>
            </w:r>
            <w:r w:rsidR="00435BB7" w:rsidRPr="0063713C">
              <w:rPr>
                <w:lang w:val="de-CH"/>
              </w:rPr>
              <w:t>Rz</w:t>
            </w:r>
            <w:r w:rsidR="00BF1F55" w:rsidRPr="0063713C">
              <w:rPr>
                <w:lang w:val="de-CH"/>
              </w:rPr>
              <w:t> </w:t>
            </w:r>
            <w:r w:rsidR="002A507D" w:rsidRPr="0063713C">
              <w:rPr>
                <w:lang w:val="de-CH"/>
              </w:rPr>
              <w:t>79 und 81</w:t>
            </w:r>
            <w:r w:rsidR="00307C7B" w:rsidRPr="0063713C">
              <w:rPr>
                <w:lang w:val="de-CH"/>
              </w:rPr>
              <w:t xml:space="preserve"> FINMA-R</w:t>
            </w:r>
            <w:r w:rsidR="003D2AC8" w:rsidRPr="0063713C">
              <w:rPr>
                <w:lang w:val="de-CH"/>
              </w:rPr>
              <w:t>S</w:t>
            </w:r>
            <w:r w:rsidR="00307C7B" w:rsidRPr="0063713C">
              <w:rPr>
                <w:lang w:val="de-CH"/>
              </w:rPr>
              <w:t xml:space="preserve"> </w:t>
            </w:r>
            <w:r w:rsidR="002A507D" w:rsidRPr="0063713C">
              <w:rPr>
                <w:lang w:val="de-CH"/>
              </w:rPr>
              <w:t>17/1</w:t>
            </w:r>
            <w:r w:rsidR="00307C7B"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F64B14A" w14:textId="77777777" w:rsidR="00BF1F55" w:rsidRPr="00B90D29" w:rsidRDefault="00BF1F55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4F26716" w14:textId="77777777" w:rsidR="00BF1F55" w:rsidRPr="00B90D29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2696C90" w14:textId="77777777" w:rsidR="00BF1F55" w:rsidRPr="00B90D29" w:rsidRDefault="00BF1F5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CD69D5" w14:paraId="291EEB45" w14:textId="77777777" w:rsidTr="008439E0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F5208" w14:textId="0D2C664B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AD59F" w14:textId="77777777" w:rsidR="00CD69D5" w:rsidRPr="00CD69D5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59AC3B2" w14:textId="6B107B53" w:rsidR="00CD69D5" w:rsidRPr="00CD69D5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D69D5">
              <w:rPr>
                <w:lang w:val="de-CH"/>
              </w:rPr>
              <w:t>Feststellung und Dokumentation der von der Compliance-Funktion durchgeführten internen Kontrollen und Beurteilung der Wirksamkeit der Ausgestaltung / des Umfangs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D523B90" w14:textId="50CCE7E2" w:rsidR="00CD69D5" w:rsidRPr="00CD69D5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D69D5">
              <w:rPr>
                <w:lang w:val="de-CH"/>
              </w:rPr>
              <w:t>Durchführung von Funktionsprüfungen, um die operative Wirksamkeit der von der Compliance-Funktion durchgeführten internen Kontrollen zu bestätigen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6C3CA1F" w14:textId="77777777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2DD3B0" w14:textId="77777777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E25526" w14:paraId="08D39F82" w14:textId="77777777" w:rsidTr="008439E0">
        <w:tc>
          <w:tcPr>
            <w:tcW w:w="14317" w:type="dxa"/>
            <w:gridSpan w:val="7"/>
            <w:shd w:val="pct10" w:color="auto" w:fill="auto"/>
          </w:tcPr>
          <w:p w14:paraId="5103BCAF" w14:textId="79EDAAC2" w:rsidR="00CD69D5" w:rsidRPr="00B3145E" w:rsidRDefault="00CD69D5" w:rsidP="00CD69D5">
            <w:pPr>
              <w:spacing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B3145E">
              <w:rPr>
                <w:i/>
                <w:sz w:val="16"/>
                <w:lang w:val="en-US"/>
              </w:rPr>
              <w:t xml:space="preserve">„Confirmation that the organizational set-up of the compliance function </w:t>
            </w:r>
            <w:r>
              <w:rPr>
                <w:i/>
                <w:sz w:val="16"/>
                <w:lang w:val="en-US"/>
              </w:rPr>
              <w:t xml:space="preserve">and the compensation system </w:t>
            </w:r>
            <w:r w:rsidRPr="00B3145E">
              <w:rPr>
                <w:i/>
                <w:sz w:val="16"/>
                <w:lang w:val="en-US"/>
              </w:rPr>
              <w:t>did not lead to a conflict of interest“</w:t>
            </w:r>
            <w:r>
              <w:rPr>
                <w:i/>
                <w:sz w:val="16"/>
                <w:lang w:val="en-US"/>
              </w:rPr>
              <w:t>.</w:t>
            </w:r>
          </w:p>
          <w:p w14:paraId="176A5DC5" w14:textId="4955DF45" w:rsidR="00CD69D5" w:rsidRPr="00B90D29" w:rsidRDefault="00CD69D5" w:rsidP="00CD69D5">
            <w:pPr>
              <w:spacing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B90D29">
              <w:rPr>
                <w:i/>
                <w:sz w:val="16"/>
                <w:lang w:val="de-CH"/>
              </w:rPr>
              <w:t xml:space="preserve">„Bestätigung, dass die organisatorische Anordnung der </w:t>
            </w:r>
            <w:r>
              <w:rPr>
                <w:i/>
                <w:sz w:val="16"/>
                <w:lang w:val="de-CH"/>
              </w:rPr>
              <w:t>Funktion Compliance</w:t>
            </w:r>
            <w:r w:rsidRPr="00B90D29">
              <w:rPr>
                <w:i/>
                <w:sz w:val="16"/>
                <w:lang w:val="de-CH"/>
              </w:rPr>
              <w:t xml:space="preserve"> </w:t>
            </w:r>
            <w:r w:rsidRPr="00834473">
              <w:rPr>
                <w:i/>
                <w:sz w:val="16"/>
                <w:lang w:val="de-CH"/>
              </w:rPr>
              <w:t>und das Entschädigungssystem</w:t>
            </w:r>
            <w:r>
              <w:rPr>
                <w:sz w:val="16"/>
                <w:lang w:val="de-CH"/>
              </w:rPr>
              <w:t xml:space="preserve"> </w:t>
            </w:r>
            <w:r w:rsidRPr="00B90D29">
              <w:rPr>
                <w:i/>
                <w:sz w:val="16"/>
                <w:lang w:val="de-CH"/>
              </w:rPr>
              <w:t>keine Zielkonflikte herbeiführte</w:t>
            </w:r>
            <w:r>
              <w:rPr>
                <w:i/>
                <w:sz w:val="16"/>
                <w:lang w:val="de-CH"/>
              </w:rPr>
              <w:t>n</w:t>
            </w:r>
            <w:r w:rsidRPr="00B90D29">
              <w:rPr>
                <w:i/>
                <w:sz w:val="16"/>
                <w:lang w:val="de-CH"/>
              </w:rPr>
              <w:t>“</w:t>
            </w:r>
            <w:r>
              <w:rPr>
                <w:i/>
                <w:sz w:val="16"/>
                <w:lang w:val="de-CH"/>
              </w:rPr>
              <w:t>.</w:t>
            </w:r>
          </w:p>
          <w:p w14:paraId="669BFA06" w14:textId="4F961ABF" w:rsidR="00CD69D5" w:rsidRPr="00834473" w:rsidRDefault="00CD69D5" w:rsidP="00CD69D5">
            <w:pPr>
              <w:spacing w:line="240" w:lineRule="auto"/>
              <w:rPr>
                <w:rFonts w:cs="Arial"/>
                <w:i/>
                <w:sz w:val="16"/>
                <w:szCs w:val="16"/>
                <w:lang w:val="fr-CH"/>
              </w:rPr>
            </w:pP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“Confirmation que le positionnement 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>de la fonction de compliance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 dans l’organisation 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 xml:space="preserve">et le mode de rémunération 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>n’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>ont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 pas généré 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>de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 conflits d’objectifs”</w:t>
            </w:r>
          </w:p>
        </w:tc>
      </w:tr>
      <w:tr w:rsidR="00CD69D5" w:rsidRPr="00B90D29" w14:paraId="7E5C652D" w14:textId="77777777" w:rsidTr="008439E0">
        <w:tc>
          <w:tcPr>
            <w:tcW w:w="531" w:type="dxa"/>
            <w:shd w:val="clear" w:color="auto" w:fill="auto"/>
          </w:tcPr>
          <w:p w14:paraId="399B0436" w14:textId="24C71BE3" w:rsidR="00CD69D5" w:rsidRPr="008D684E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96" w:type="dxa"/>
            <w:gridSpan w:val="2"/>
            <w:vMerge w:val="restart"/>
            <w:shd w:val="clear" w:color="auto" w:fill="auto"/>
          </w:tcPr>
          <w:p w14:paraId="0AFD581F" w14:textId="77777777" w:rsidR="00CD69D5" w:rsidRPr="0063713C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Organisatorische Anordnung und Vermeidung von Interessenkonflikten</w:t>
            </w:r>
          </w:p>
        </w:tc>
        <w:tc>
          <w:tcPr>
            <w:tcW w:w="3685" w:type="dxa"/>
            <w:shd w:val="clear" w:color="auto" w:fill="auto"/>
          </w:tcPr>
          <w:p w14:paraId="5905F633" w14:textId="57D69B48" w:rsidR="00CD69D5" w:rsidRPr="00B90D29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i/>
                <w:lang w:val="de-CH"/>
              </w:rPr>
              <w:t>Beurteilung, ob die organisatorische Anordnung der Compliance-Funktion nach Massgabe der Grösse und der Geschäfts- und Organisationskomplexität des Instituts angemessen ist sowie keine Interessenkonflikte herbeiführt und von den ertragsorientierten Geschäftseinheiten unabhängig ist (Rz 62</w:t>
            </w:r>
            <w:r w:rsidR="00A051FE">
              <w:rPr>
                <w:i/>
                <w:lang w:val="de-CH"/>
              </w:rPr>
              <w:t>–</w:t>
            </w:r>
            <w:r w:rsidRPr="0063713C">
              <w:rPr>
                <w:i/>
                <w:lang w:val="de-CH"/>
              </w:rPr>
              <w:t>68 FINMA-RS 17/1), namentlich:</w:t>
            </w:r>
          </w:p>
        </w:tc>
        <w:tc>
          <w:tcPr>
            <w:tcW w:w="3827" w:type="dxa"/>
            <w:shd w:val="clear" w:color="auto" w:fill="auto"/>
          </w:tcPr>
          <w:p w14:paraId="54C2DACB" w14:textId="55525E12" w:rsidR="00CD69D5" w:rsidRPr="00B90D29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52507689" w14:textId="77777777" w:rsidR="00CD69D5" w:rsidRPr="00B90D29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73E048F9" w14:textId="77777777" w:rsidR="00CD69D5" w:rsidRPr="00B90D29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63713C" w14:paraId="125CB35D" w14:textId="77777777" w:rsidTr="008439E0">
        <w:tc>
          <w:tcPr>
            <w:tcW w:w="531" w:type="dxa"/>
            <w:shd w:val="clear" w:color="auto" w:fill="auto"/>
          </w:tcPr>
          <w:p w14:paraId="39A25EC4" w14:textId="6FECADD5" w:rsidR="00CD69D5" w:rsidRPr="00B90D29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251A62F1" w14:textId="77777777" w:rsidR="00CD69D5" w:rsidRPr="00B90D29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7636CDD2" w14:textId="5F1002A7" w:rsidR="00CD69D5" w:rsidRPr="0063713C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 xml:space="preserve">Beurteilung, ob die organisatorische Anordnung der Compliance-Funktion dem FINMA-RS 17/1 gerecht wird – insbesondere hinsichtlich der Vermeidung </w:t>
            </w:r>
            <w:proofErr w:type="gramStart"/>
            <w:r w:rsidRPr="0063713C">
              <w:rPr>
                <w:lang w:val="de-CH"/>
              </w:rPr>
              <w:t>von Interessenkonflikte</w:t>
            </w:r>
            <w:proofErr w:type="gramEnd"/>
            <w:r w:rsidRPr="0063713C">
              <w:rPr>
                <w:lang w:val="de-CH"/>
              </w:rPr>
              <w:t xml:space="preserve"> und Unabhängigkeit von den ertragsorientierten Geschäftseinheiten – und ob sie im Hinblick auf jüngste und/oder geplante Änderungen der Rahmenbedingungen, Kontrollen und der Organisation des Instituts angemessen ist (Rz 60</w:t>
            </w:r>
            <w:r w:rsidR="00A051FE">
              <w:rPr>
                <w:lang w:val="de-CH"/>
              </w:rPr>
              <w:t>–</w:t>
            </w:r>
            <w:r w:rsidRPr="0063713C">
              <w:rPr>
                <w:lang w:val="de-CH"/>
              </w:rPr>
              <w:t>64 FINMA-RS 17/1)</w:t>
            </w:r>
          </w:p>
        </w:tc>
        <w:tc>
          <w:tcPr>
            <w:tcW w:w="3827" w:type="dxa"/>
            <w:shd w:val="clear" w:color="auto" w:fill="auto"/>
          </w:tcPr>
          <w:p w14:paraId="2F82F95D" w14:textId="77777777" w:rsidR="00CD69D5" w:rsidRPr="0063713C" w:rsidRDefault="00CD69D5" w:rsidP="00CD69D5">
            <w:pPr>
              <w:spacing w:line="240" w:lineRule="auto"/>
              <w:ind w:left="33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4EA52140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2FF9847E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63713C" w14:paraId="013B900F" w14:textId="77777777" w:rsidTr="008439E0">
        <w:tc>
          <w:tcPr>
            <w:tcW w:w="531" w:type="dxa"/>
            <w:shd w:val="clear" w:color="auto" w:fill="auto"/>
          </w:tcPr>
          <w:p w14:paraId="0959A53F" w14:textId="5F068D5C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4F2506AD" w14:textId="77777777" w:rsidR="00CD69D5" w:rsidRPr="0063713C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2E31E953" w14:textId="6F1C3A9D" w:rsidR="00CD69D5" w:rsidRPr="0063713C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Feststellung, welche(s) Mitglied(er) der Geschäftsleitung für die Compliance-Funktion zuständig ist/sind, und Beurteilung, ob uneingeschränkte Auskunfts-, Zugangs- und Einsichtsrechte für die unabhängige Kontrollinstanz gewährleistet sind (Rz 64 und 65 FINMA-RS 17/1)</w:t>
            </w:r>
          </w:p>
        </w:tc>
        <w:tc>
          <w:tcPr>
            <w:tcW w:w="3827" w:type="dxa"/>
            <w:shd w:val="clear" w:color="auto" w:fill="auto"/>
          </w:tcPr>
          <w:p w14:paraId="4BD0E6AD" w14:textId="77777777" w:rsidR="00CD69D5" w:rsidRPr="0063713C" w:rsidRDefault="00CD69D5" w:rsidP="00CD69D5">
            <w:pPr>
              <w:spacing w:line="240" w:lineRule="auto"/>
              <w:ind w:left="33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282E464D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124BCE71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CD69D5" w14:paraId="49225288" w14:textId="77777777" w:rsidTr="008439E0">
        <w:tc>
          <w:tcPr>
            <w:tcW w:w="531" w:type="dxa"/>
            <w:shd w:val="clear" w:color="auto" w:fill="auto"/>
          </w:tcPr>
          <w:p w14:paraId="65123C1B" w14:textId="1969F7FD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0798BB8B" w14:textId="77777777" w:rsidR="00CD69D5" w:rsidRPr="00CD69D5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2EBFFBFE" w14:textId="498A7783" w:rsidR="00CD69D5" w:rsidRPr="00CD69D5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D69D5">
              <w:rPr>
                <w:lang w:val="de-CH"/>
              </w:rPr>
              <w:t>Beurteilung, ob das Vergütungssystem für Mitarbeitende der Compliance-Funktion (z. B. Löhne, Boni, Honorare) Anreize setzt, die zu Interessenkonflikten führen können (Rz 63 FINMA-RS 17/1)</w:t>
            </w:r>
          </w:p>
        </w:tc>
        <w:tc>
          <w:tcPr>
            <w:tcW w:w="3827" w:type="dxa"/>
            <w:shd w:val="clear" w:color="auto" w:fill="auto"/>
          </w:tcPr>
          <w:p w14:paraId="163307E2" w14:textId="6BF631A1" w:rsidR="00CD69D5" w:rsidRPr="00CD69D5" w:rsidRDefault="00CD69D5" w:rsidP="008B7787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D69D5">
              <w:rPr>
                <w:lang w:val="de-CH"/>
              </w:rPr>
              <w:t xml:space="preserve">Durchführung von aussagebezogenen </w:t>
            </w:r>
            <w:proofErr w:type="gramStart"/>
            <w:r w:rsidRPr="00CD69D5">
              <w:rPr>
                <w:lang w:val="de-CH"/>
              </w:rPr>
              <w:t>Prüfungshandlungen</w:t>
            </w:r>
            <w:proofErr w:type="gramEnd"/>
            <w:r w:rsidRPr="00CD69D5">
              <w:rPr>
                <w:lang w:val="de-CH"/>
              </w:rPr>
              <w:t xml:space="preserve"> um zu bestätigen, dass die Entschädigung der Mitarbeitenden der Compliance-Funktion nicht vom Resultat einzelner Produkte oder Transaktionen abhängig ist</w:t>
            </w:r>
          </w:p>
        </w:tc>
        <w:tc>
          <w:tcPr>
            <w:tcW w:w="3686" w:type="dxa"/>
            <w:shd w:val="clear" w:color="auto" w:fill="auto"/>
          </w:tcPr>
          <w:p w14:paraId="3EC21CF4" w14:textId="77777777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37DD8ACB" w14:textId="77777777" w:rsidR="00CD69D5" w:rsidRPr="00CD69D5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63713C" w14:paraId="34C8237D" w14:textId="77777777" w:rsidTr="008439E0">
        <w:tc>
          <w:tcPr>
            <w:tcW w:w="531" w:type="dxa"/>
            <w:shd w:val="clear" w:color="auto" w:fill="auto"/>
          </w:tcPr>
          <w:p w14:paraId="60A4A91D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27F8AD1B" w14:textId="77777777" w:rsidR="00CD69D5" w:rsidRPr="0063713C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0A15AA0C" w14:textId="38930211" w:rsidR="00CD69D5" w:rsidRPr="0063713C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Compliance-Funktion (unabhängige Kontrollinstanz) über einen direkten Zugang zum Oberleitungsorgan verfügt (Rz 66 FINMA-RS 17/1)</w:t>
            </w:r>
          </w:p>
        </w:tc>
        <w:tc>
          <w:tcPr>
            <w:tcW w:w="3827" w:type="dxa"/>
            <w:shd w:val="clear" w:color="auto" w:fill="auto"/>
          </w:tcPr>
          <w:p w14:paraId="7C293B8A" w14:textId="77777777" w:rsidR="00CD69D5" w:rsidRPr="0063713C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54DE0B47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5637D3B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D69D5" w:rsidRPr="00B90D29" w14:paraId="7E8552FA" w14:textId="77777777" w:rsidTr="008439E0">
        <w:tc>
          <w:tcPr>
            <w:tcW w:w="531" w:type="dxa"/>
            <w:shd w:val="clear" w:color="auto" w:fill="auto"/>
          </w:tcPr>
          <w:p w14:paraId="1B361FA4" w14:textId="77777777" w:rsidR="00CD69D5" w:rsidRPr="0063713C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14:paraId="06688929" w14:textId="77777777" w:rsidR="00CD69D5" w:rsidRPr="0063713C" w:rsidRDefault="00CD69D5" w:rsidP="00CD69D5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73628E4F" w14:textId="672EADF0" w:rsidR="00CD69D5" w:rsidRPr="0063713C" w:rsidRDefault="00CD69D5" w:rsidP="00CD69D5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  <w:r w:rsidRPr="008F3CCA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 xml:space="preserve">Beurteilung, ob eine </w:t>
            </w:r>
            <w:r w:rsidR="00E01F1B">
              <w:rPr>
                <w:lang w:val="de-CH"/>
              </w:rPr>
              <w:t xml:space="preserve">eigenständige </w:t>
            </w:r>
            <w:r w:rsidRPr="0063713C">
              <w:rPr>
                <w:lang w:val="de-CH"/>
              </w:rPr>
              <w:t>Compliance-Funktion als unabhängige Kontrollinstanz besteht (</w:t>
            </w:r>
            <w:r>
              <w:rPr>
                <w:lang w:val="de-CH"/>
              </w:rPr>
              <w:t>Rz 67 FINMA-RS 17/1</w:t>
            </w:r>
            <w:r w:rsidRPr="0063713C">
              <w:rPr>
                <w:lang w:val="de-CH"/>
              </w:rPr>
              <w:t>)</w:t>
            </w:r>
            <w:r>
              <w:rPr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6FA512E" w14:textId="77777777" w:rsidR="00CD69D5" w:rsidRPr="00B90D29" w:rsidRDefault="00CD69D5" w:rsidP="00CD69D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6C091B83" w14:textId="77777777" w:rsidR="00CD69D5" w:rsidRPr="00B90D29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34716D92" w14:textId="77777777" w:rsidR="00CD69D5" w:rsidRPr="00B90D29" w:rsidRDefault="00CD69D5" w:rsidP="00CD69D5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14:paraId="44C4FB81" w14:textId="77777777" w:rsidR="00065D05" w:rsidRPr="00B90D29" w:rsidRDefault="00065D05">
      <w:pPr>
        <w:spacing w:before="0" w:after="200"/>
        <w:rPr>
          <w:rFonts w:cs="Arial"/>
          <w:b/>
          <w:lang w:val="de-CH"/>
        </w:rPr>
      </w:pPr>
      <w:r w:rsidRPr="00B90D29">
        <w:rPr>
          <w:lang w:val="de-CH"/>
        </w:rPr>
        <w:br w:type="page"/>
      </w:r>
    </w:p>
    <w:p w14:paraId="53F1645F" w14:textId="115B582A" w:rsidR="00BD0B1A" w:rsidRPr="00B90D29" w:rsidRDefault="007727AB" w:rsidP="00BD0B1A">
      <w:pPr>
        <w:spacing w:line="240" w:lineRule="auto"/>
        <w:rPr>
          <w:rFonts w:cs="Arial"/>
          <w:b/>
          <w:u w:val="single"/>
          <w:lang w:val="de-CH"/>
        </w:rPr>
      </w:pPr>
      <w:r>
        <w:rPr>
          <w:b/>
          <w:lang w:val="de-CH"/>
        </w:rPr>
        <w:t>Prüf</w:t>
      </w:r>
      <w:r w:rsidR="00BD0B1A" w:rsidRPr="00B90D29">
        <w:rPr>
          <w:b/>
          <w:lang w:val="de-CH"/>
        </w:rPr>
        <w:t xml:space="preserve">programm – </w:t>
      </w:r>
      <w:r w:rsidR="00BD0B1A" w:rsidRPr="00C92FE4">
        <w:rPr>
          <w:b/>
          <w:u w:val="single"/>
          <w:lang w:val="de-CH"/>
        </w:rPr>
        <w:t>Funktion Risikokontrolle</w:t>
      </w:r>
    </w:p>
    <w:p w14:paraId="6EA4688D" w14:textId="77777777" w:rsidR="001B3543" w:rsidRPr="00B90D29" w:rsidRDefault="001B3543" w:rsidP="00BD0B1A">
      <w:pPr>
        <w:spacing w:line="240" w:lineRule="auto"/>
        <w:rPr>
          <w:rFonts w:cs="Arial"/>
          <w:lang w:val="de-CH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0A0" w:firstRow="1" w:lastRow="0" w:firstColumn="1" w:lastColumn="0" w:noHBand="0" w:noVBand="0"/>
      </w:tblPr>
      <w:tblGrid>
        <w:gridCol w:w="531"/>
        <w:gridCol w:w="1596"/>
        <w:gridCol w:w="3685"/>
        <w:gridCol w:w="3827"/>
        <w:gridCol w:w="3686"/>
        <w:gridCol w:w="992"/>
      </w:tblGrid>
      <w:tr w:rsidR="00F6760D" w:rsidRPr="00B90D29" w14:paraId="4892FC72" w14:textId="77777777" w:rsidTr="00F408E8">
        <w:trPr>
          <w:tblHeader/>
        </w:trPr>
        <w:tc>
          <w:tcPr>
            <w:tcW w:w="531" w:type="dxa"/>
            <w:tcBorders>
              <w:bottom w:val="single" w:sz="4" w:space="0" w:color="auto"/>
            </w:tcBorders>
            <w:shd w:val="pct20" w:color="auto" w:fill="auto"/>
          </w:tcPr>
          <w:p w14:paraId="344BD379" w14:textId="77777777" w:rsidR="00F6760D" w:rsidRPr="00B90D29" w:rsidRDefault="00F6760D" w:rsidP="005654C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Nr.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pct20" w:color="auto" w:fill="auto"/>
          </w:tcPr>
          <w:p w14:paraId="5BFC924F" w14:textId="77777777" w:rsidR="00F6760D" w:rsidRPr="00B90D29" w:rsidRDefault="00F6760D" w:rsidP="005654C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Thema: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0" w:color="auto" w:fill="auto"/>
          </w:tcPr>
          <w:p w14:paraId="0385DA3D" w14:textId="04D3C528" w:rsidR="00F6760D" w:rsidRPr="00B90D29" w:rsidRDefault="00F6760D" w:rsidP="005654C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Prüfungshandlungen für Prüftiefe „kritische Beurteilung“: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20" w:color="auto" w:fill="auto"/>
          </w:tcPr>
          <w:p w14:paraId="4111FB1A" w14:textId="4B3F3166" w:rsidR="00F6760D" w:rsidRPr="00B90D29" w:rsidRDefault="00F6760D" w:rsidP="008C241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u w:val="single"/>
                <w:lang w:val="de-CH"/>
              </w:rPr>
              <w:t>Zusätzliche</w:t>
            </w:r>
            <w:r w:rsidRPr="00B90D29">
              <w:rPr>
                <w:b/>
                <w:sz w:val="16"/>
                <w:lang w:val="de-CH"/>
              </w:rPr>
              <w:t xml:space="preserve"> Prüfungshandlungen für Prüftiefe „Prüfung“: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20" w:color="auto" w:fill="auto"/>
          </w:tcPr>
          <w:p w14:paraId="69DADCF9" w14:textId="339D2B5B" w:rsidR="00F6760D" w:rsidRPr="00B90D29" w:rsidRDefault="00440BBC" w:rsidP="005654C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 xml:space="preserve">Durchgeführte Prüfungshandlungen / </w:t>
            </w:r>
            <w:r w:rsidR="000B5506">
              <w:rPr>
                <w:b/>
                <w:sz w:val="16"/>
                <w:lang w:val="de-CH"/>
              </w:rPr>
              <w:t>Feststellungen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0C5C3612" w14:textId="774392CF" w:rsidR="00F6760D" w:rsidRPr="00B90D29" w:rsidRDefault="00F76459" w:rsidP="005654C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b/>
                <w:sz w:val="16"/>
                <w:lang w:val="de-CH"/>
              </w:rPr>
              <w:t>Arbeitspapiere</w:t>
            </w:r>
            <w:r w:rsidR="00F6760D" w:rsidRPr="00B90D29">
              <w:rPr>
                <w:b/>
                <w:sz w:val="16"/>
                <w:lang w:val="de-CH"/>
              </w:rPr>
              <w:t xml:space="preserve"> </w:t>
            </w:r>
            <w:proofErr w:type="spellStart"/>
            <w:r w:rsidR="00F6760D" w:rsidRPr="00B90D29">
              <w:rPr>
                <w:b/>
                <w:sz w:val="16"/>
                <w:lang w:val="de-CH"/>
              </w:rPr>
              <w:t>Ref</w:t>
            </w:r>
            <w:proofErr w:type="spellEnd"/>
            <w:r w:rsidR="00F6760D" w:rsidRPr="00B90D29">
              <w:rPr>
                <w:b/>
                <w:sz w:val="16"/>
                <w:lang w:val="de-CH"/>
              </w:rPr>
              <w:t>.:</w:t>
            </w:r>
          </w:p>
        </w:tc>
      </w:tr>
      <w:tr w:rsidR="00F6760D" w:rsidRPr="00E25526" w14:paraId="4C0339C5" w14:textId="77777777" w:rsidTr="00F408E8">
        <w:tc>
          <w:tcPr>
            <w:tcW w:w="14317" w:type="dxa"/>
            <w:gridSpan w:val="6"/>
            <w:shd w:val="pct10" w:color="auto" w:fill="auto"/>
          </w:tcPr>
          <w:p w14:paraId="49EB8C30" w14:textId="6C2C35E4" w:rsidR="00F6760D" w:rsidRPr="0054740C" w:rsidRDefault="00BD0B1A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54740C">
              <w:rPr>
                <w:i/>
                <w:sz w:val="16"/>
                <w:lang w:val="en-US"/>
              </w:rPr>
              <w:t xml:space="preserve">„Confirmation that the technical and personnel resources of the risk control function were </w:t>
            </w:r>
            <w:proofErr w:type="gramStart"/>
            <w:r w:rsidRPr="0054740C">
              <w:rPr>
                <w:i/>
                <w:sz w:val="16"/>
                <w:lang w:val="en-US"/>
              </w:rPr>
              <w:t>adequate</w:t>
            </w:r>
            <w:proofErr w:type="gramEnd"/>
            <w:r w:rsidRPr="0054740C">
              <w:rPr>
                <w:i/>
                <w:sz w:val="16"/>
                <w:lang w:val="en-US"/>
              </w:rPr>
              <w:t xml:space="preserve"> and it </w:t>
            </w:r>
            <w:r w:rsidR="00EA7805">
              <w:rPr>
                <w:i/>
                <w:sz w:val="16"/>
                <w:lang w:val="en-US"/>
              </w:rPr>
              <w:t>actually assumed responsibility</w:t>
            </w:r>
            <w:r w:rsidRPr="0054740C">
              <w:rPr>
                <w:i/>
                <w:sz w:val="16"/>
                <w:lang w:val="en-US"/>
              </w:rPr>
              <w:t>“</w:t>
            </w:r>
            <w:r w:rsidR="00EA7805">
              <w:rPr>
                <w:i/>
                <w:sz w:val="16"/>
                <w:lang w:val="en-US"/>
              </w:rPr>
              <w:t>.</w:t>
            </w:r>
          </w:p>
          <w:p w14:paraId="6C6DE10E" w14:textId="0DB708EF" w:rsidR="00F6760D" w:rsidRPr="00B90D29" w:rsidRDefault="00BD0B1A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B90D29">
              <w:rPr>
                <w:i/>
                <w:sz w:val="16"/>
                <w:lang w:val="de-CH"/>
              </w:rPr>
              <w:t>„Bestätigung, dass die technischen und personellen Ressourcen bei der Funktion Risikokontrolle ausreichend waren und dass diese ihre Verantwo</w:t>
            </w:r>
            <w:r w:rsidR="00EA7805">
              <w:rPr>
                <w:i/>
                <w:sz w:val="16"/>
                <w:lang w:val="de-CH"/>
              </w:rPr>
              <w:t>rtung effektiv wahrgenommen hat</w:t>
            </w:r>
            <w:r w:rsidRPr="00B90D29">
              <w:rPr>
                <w:i/>
                <w:sz w:val="16"/>
                <w:lang w:val="de-CH"/>
              </w:rPr>
              <w:t>“</w:t>
            </w:r>
            <w:r w:rsidR="00EA7805">
              <w:rPr>
                <w:i/>
                <w:sz w:val="16"/>
                <w:lang w:val="de-CH"/>
              </w:rPr>
              <w:t>.</w:t>
            </w:r>
          </w:p>
          <w:p w14:paraId="4E5FCB33" w14:textId="4DDE2D7C" w:rsidR="00BD0B1A" w:rsidRPr="0054740C" w:rsidRDefault="00BD0B1A" w:rsidP="00535D10">
            <w:pPr>
              <w:spacing w:line="240" w:lineRule="auto"/>
              <w:rPr>
                <w:rFonts w:cs="Arial"/>
                <w:i/>
                <w:sz w:val="16"/>
                <w:szCs w:val="16"/>
                <w:lang w:val="fr-CH"/>
              </w:rPr>
            </w:pPr>
            <w:r w:rsidRPr="0054740C">
              <w:rPr>
                <w:i/>
                <w:sz w:val="16"/>
                <w:lang w:val="fr-CH"/>
              </w:rPr>
              <w:t xml:space="preserve">„Confirmation que les ressources techniques et personnelles de la fonction de contrôle des risques </w:t>
            </w:r>
            <w:r w:rsidR="00535D10">
              <w:rPr>
                <w:i/>
                <w:sz w:val="16"/>
                <w:lang w:val="fr-CH"/>
              </w:rPr>
              <w:t>étaient</w:t>
            </w:r>
            <w:r w:rsidRPr="0054740C">
              <w:rPr>
                <w:i/>
                <w:sz w:val="16"/>
                <w:lang w:val="fr-CH"/>
              </w:rPr>
              <w:t xml:space="preserve"> suffisantes et qu’elle a assumé e</w:t>
            </w:r>
            <w:r w:rsidR="00EA7805">
              <w:rPr>
                <w:i/>
                <w:sz w:val="16"/>
                <w:lang w:val="fr-CH"/>
              </w:rPr>
              <w:t>ffectivement ses responsabilité</w:t>
            </w:r>
            <w:r w:rsidR="00535D10">
              <w:rPr>
                <w:i/>
                <w:sz w:val="16"/>
                <w:lang w:val="fr-CH"/>
              </w:rPr>
              <w:t>s</w:t>
            </w:r>
            <w:r w:rsidRPr="0054740C">
              <w:rPr>
                <w:i/>
                <w:sz w:val="16"/>
                <w:lang w:val="fr-CH"/>
              </w:rPr>
              <w:t>“</w:t>
            </w:r>
            <w:r w:rsidR="00EA7805">
              <w:rPr>
                <w:i/>
                <w:sz w:val="16"/>
                <w:lang w:val="fr-CH"/>
              </w:rPr>
              <w:t>.</w:t>
            </w:r>
          </w:p>
        </w:tc>
      </w:tr>
      <w:tr w:rsidR="002B4EB8" w:rsidRPr="00B90D29" w14:paraId="1E1E9640" w14:textId="77777777" w:rsidTr="00F408E8">
        <w:tc>
          <w:tcPr>
            <w:tcW w:w="531" w:type="dxa"/>
            <w:shd w:val="clear" w:color="auto" w:fill="auto"/>
          </w:tcPr>
          <w:p w14:paraId="32CC1707" w14:textId="119F8D0B" w:rsidR="002B4EB8" w:rsidRPr="00417322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5A9C46ED" w14:textId="77777777" w:rsidR="002B4EB8" w:rsidRPr="00B90D29" w:rsidRDefault="002B4EB8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B90D29">
              <w:rPr>
                <w:b/>
                <w:sz w:val="16"/>
                <w:lang w:val="de-CH"/>
              </w:rPr>
              <w:t>Personelle Ressourcen</w:t>
            </w:r>
          </w:p>
        </w:tc>
        <w:tc>
          <w:tcPr>
            <w:tcW w:w="3685" w:type="dxa"/>
            <w:shd w:val="clear" w:color="auto" w:fill="auto"/>
          </w:tcPr>
          <w:p w14:paraId="6941D8BA" w14:textId="3582EE49" w:rsidR="002B4EB8" w:rsidRPr="00B90D29" w:rsidRDefault="002B4EB8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i/>
                <w:sz w:val="12"/>
                <w:szCs w:val="12"/>
                <w:lang w:val="de-CH"/>
              </w:rPr>
            </w:pPr>
            <w:r w:rsidRPr="00B90D29">
              <w:rPr>
                <w:i/>
                <w:lang w:val="de-CH"/>
              </w:rPr>
              <w:t>Beurteilung, ob die Funktion Risikokontrolle nach Massgabe der Grösse, der Geschäfts- und Organisationskomplexität und des Risikoprofils des Instituts mit angemessenen personellen Ressourcen ausgestattet ist, namentlich:</w:t>
            </w:r>
          </w:p>
        </w:tc>
        <w:tc>
          <w:tcPr>
            <w:tcW w:w="3827" w:type="dxa"/>
            <w:shd w:val="clear" w:color="auto" w:fill="auto"/>
          </w:tcPr>
          <w:p w14:paraId="1E244185" w14:textId="77777777" w:rsidR="002B4EB8" w:rsidRPr="00B90D29" w:rsidRDefault="002B4EB8" w:rsidP="00F6760D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6FF25F02" w14:textId="77777777" w:rsidR="002B4EB8" w:rsidRPr="00B90D29" w:rsidRDefault="002B4EB8" w:rsidP="00F6760D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4033CBCF" w14:textId="77777777" w:rsidR="002B4EB8" w:rsidRPr="00B90D29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2B4EB8" w:rsidRPr="00B90D29" w14:paraId="76613DBC" w14:textId="77777777" w:rsidTr="00F408E8">
        <w:tc>
          <w:tcPr>
            <w:tcW w:w="531" w:type="dxa"/>
            <w:shd w:val="clear" w:color="auto" w:fill="auto"/>
          </w:tcPr>
          <w:p w14:paraId="1676C4C2" w14:textId="7CD7CBEE" w:rsidR="002B4EB8" w:rsidRPr="00B90D29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5670018" w14:textId="77777777" w:rsidR="002B4EB8" w:rsidRPr="00B90D29" w:rsidRDefault="002B4EB8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0DD1DC7D" w14:textId="011DB384" w:rsidR="002B4EB8" w:rsidRPr="00B90D29" w:rsidRDefault="002B4EB8" w:rsidP="002D6F47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B90D29">
              <w:rPr>
                <w:lang w:val="de-CH"/>
              </w:rPr>
              <w:t xml:space="preserve">Aneignung </w:t>
            </w:r>
            <w:r>
              <w:rPr>
                <w:lang w:val="de-CH"/>
              </w:rPr>
              <w:t>grundlegender</w:t>
            </w:r>
            <w:r w:rsidRPr="00B90D29">
              <w:rPr>
                <w:lang w:val="de-CH"/>
              </w:rPr>
              <w:t xml:space="preserve"> Kenntnisse über die Funktion Risikokontrolle des Instituts, die Zahl ihrer Mitarbeite</w:t>
            </w:r>
            <w:r>
              <w:rPr>
                <w:lang w:val="de-CH"/>
              </w:rPr>
              <w:t>nden</w:t>
            </w:r>
            <w:r w:rsidRPr="00B90D29">
              <w:rPr>
                <w:lang w:val="de-CH"/>
              </w:rPr>
              <w:t xml:space="preserve"> und die ihr </w:t>
            </w:r>
            <w:r>
              <w:rPr>
                <w:lang w:val="de-CH"/>
              </w:rPr>
              <w:t>übertragenen Aufgaben</w:t>
            </w:r>
          </w:p>
        </w:tc>
        <w:tc>
          <w:tcPr>
            <w:tcW w:w="3827" w:type="dxa"/>
            <w:shd w:val="clear" w:color="auto" w:fill="auto"/>
          </w:tcPr>
          <w:p w14:paraId="47046DFE" w14:textId="77777777" w:rsidR="002B4EB8" w:rsidRPr="00B90D29" w:rsidRDefault="002B4EB8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0FFC8729" w14:textId="77777777" w:rsidR="002B4EB8" w:rsidRPr="00B90D29" w:rsidRDefault="002B4EB8" w:rsidP="00F6760D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5D9FA39" w14:textId="77777777" w:rsidR="002B4EB8" w:rsidRPr="00B90D29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2B4EB8" w:rsidRPr="00B90D29" w14:paraId="6ADFDF5F" w14:textId="77777777" w:rsidTr="00F408E8">
        <w:tc>
          <w:tcPr>
            <w:tcW w:w="531" w:type="dxa"/>
            <w:shd w:val="clear" w:color="auto" w:fill="auto"/>
          </w:tcPr>
          <w:p w14:paraId="0B8A5E1F" w14:textId="7E74C67D" w:rsidR="002B4EB8" w:rsidRPr="00B90D29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56497273" w14:textId="77777777" w:rsidR="002B4EB8" w:rsidRPr="00B90D29" w:rsidRDefault="002B4EB8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7301C232" w14:textId="13A1EAB7" w:rsidR="005D440A" w:rsidRPr="00B90D29" w:rsidRDefault="002B4EB8" w:rsidP="005D440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>Anhand</w:t>
            </w:r>
            <w:r w:rsidRPr="00B90D29">
              <w:rPr>
                <w:lang w:val="de-CH"/>
              </w:rPr>
              <w:t xml:space="preserve"> von</w:t>
            </w:r>
            <w:r w:rsidR="0076748B">
              <w:rPr>
                <w:lang w:val="de-CH"/>
              </w:rPr>
              <w:t xml:space="preserve"> bspw.</w:t>
            </w:r>
            <w:r w:rsidRPr="00B90D29">
              <w:rPr>
                <w:lang w:val="de-CH"/>
              </w:rPr>
              <w:t xml:space="preserve"> Lebensläufen, Stellenbeschreibun</w:t>
            </w:r>
            <w:r>
              <w:rPr>
                <w:lang w:val="de-CH"/>
              </w:rPr>
              <w:t>gen von Schlüsselpersonen und</w:t>
            </w:r>
            <w:r w:rsidRPr="00B90D29">
              <w:rPr>
                <w:lang w:val="de-CH"/>
              </w:rPr>
              <w:t xml:space="preserve"> -mitarbeite</w:t>
            </w:r>
            <w:r>
              <w:rPr>
                <w:lang w:val="de-CH"/>
              </w:rPr>
              <w:t>nden</w:t>
            </w:r>
            <w:r w:rsidRPr="00B90D29">
              <w:rPr>
                <w:lang w:val="de-CH"/>
              </w:rPr>
              <w:t xml:space="preserve"> der Funktion</w:t>
            </w:r>
            <w:r>
              <w:rPr>
                <w:lang w:val="de-CH"/>
              </w:rPr>
              <w:t xml:space="preserve"> Risikokontrolle ist deren </w:t>
            </w:r>
            <w:r w:rsidRPr="00B90D29">
              <w:rPr>
                <w:lang w:val="de-CH"/>
              </w:rPr>
              <w:t>Kno</w:t>
            </w:r>
            <w:r>
              <w:rPr>
                <w:lang w:val="de-CH"/>
              </w:rPr>
              <w:t>w</w:t>
            </w:r>
            <w:r w:rsidRPr="00B90D29">
              <w:rPr>
                <w:lang w:val="de-CH"/>
              </w:rPr>
              <w:t xml:space="preserve">-how </w:t>
            </w:r>
            <w:r>
              <w:rPr>
                <w:lang w:val="de-CH"/>
              </w:rPr>
              <w:t xml:space="preserve">zu </w:t>
            </w:r>
            <w:r w:rsidRPr="00B90D29">
              <w:rPr>
                <w:lang w:val="de-CH"/>
              </w:rPr>
              <w:t>beurteilen</w:t>
            </w:r>
          </w:p>
        </w:tc>
        <w:tc>
          <w:tcPr>
            <w:tcW w:w="3827" w:type="dxa"/>
            <w:shd w:val="clear" w:color="auto" w:fill="auto"/>
          </w:tcPr>
          <w:p w14:paraId="2583FC0A" w14:textId="77777777" w:rsidR="002B4EB8" w:rsidRPr="00B90D29" w:rsidRDefault="002B4EB8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5368D97C" w14:textId="77777777" w:rsidR="002B4EB8" w:rsidRPr="00B90D29" w:rsidRDefault="002B4EB8" w:rsidP="00F6760D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786C3951" w14:textId="77777777" w:rsidR="002B4EB8" w:rsidRPr="00B90D29" w:rsidRDefault="002B4EB8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D3C95" w:rsidRPr="0063713C" w14:paraId="2CAC60C4" w14:textId="77777777" w:rsidTr="00F408E8">
        <w:tc>
          <w:tcPr>
            <w:tcW w:w="531" w:type="dxa"/>
            <w:shd w:val="clear" w:color="auto" w:fill="auto"/>
          </w:tcPr>
          <w:p w14:paraId="29891E99" w14:textId="62092349" w:rsidR="009D3C95" w:rsidRPr="00B90D29" w:rsidRDefault="009D3C9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0C679A65" w14:textId="77777777" w:rsidR="009D3C95" w:rsidRPr="0063713C" w:rsidRDefault="009D3C95" w:rsidP="00F6760D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Technische Ressourcen</w:t>
            </w:r>
          </w:p>
        </w:tc>
        <w:tc>
          <w:tcPr>
            <w:tcW w:w="3685" w:type="dxa"/>
            <w:shd w:val="clear" w:color="auto" w:fill="auto"/>
          </w:tcPr>
          <w:p w14:paraId="33FB6271" w14:textId="3C5041F6" w:rsidR="009D3C95" w:rsidRPr="0063713C" w:rsidRDefault="009D3C95" w:rsidP="00946B52">
            <w:pPr>
              <w:pStyle w:val="Bullet"/>
              <w:numPr>
                <w:ilvl w:val="0"/>
                <w:numId w:val="0"/>
              </w:numPr>
              <w:ind w:left="33"/>
              <w:rPr>
                <w:i/>
                <w:lang w:val="de-CH"/>
              </w:rPr>
            </w:pPr>
            <w:r w:rsidRPr="0063713C">
              <w:rPr>
                <w:i/>
                <w:lang w:val="de-CH"/>
              </w:rPr>
              <w:t>Beurteilung, ob die Funktion Risikokontrolle nach Massgabe der Grösse, der Geschäfts- und Organisationskomplexität und des Risikoprofils des Instituts mit angemessenen technischen Ressourcen ausgestattet ist (Rz </w:t>
            </w:r>
            <w:r w:rsidR="002B4EB8" w:rsidRPr="0063713C">
              <w:rPr>
                <w:i/>
                <w:lang w:val="de-CH"/>
              </w:rPr>
              <w:t xml:space="preserve">64 </w:t>
            </w:r>
            <w:r w:rsidRPr="0063713C">
              <w:rPr>
                <w:i/>
                <w:lang w:val="de-CH"/>
              </w:rPr>
              <w:t xml:space="preserve">FINMA-RS </w:t>
            </w:r>
            <w:r w:rsidR="002B4EB8" w:rsidRPr="0063713C">
              <w:rPr>
                <w:i/>
                <w:lang w:val="de-CH"/>
              </w:rPr>
              <w:t>17/1</w:t>
            </w:r>
            <w:r w:rsidRPr="0063713C">
              <w:rPr>
                <w:i/>
                <w:lang w:val="de-CH"/>
              </w:rPr>
              <w:t>), namentlich:</w:t>
            </w:r>
          </w:p>
        </w:tc>
        <w:tc>
          <w:tcPr>
            <w:tcW w:w="3827" w:type="dxa"/>
            <w:shd w:val="clear" w:color="auto" w:fill="auto"/>
          </w:tcPr>
          <w:p w14:paraId="4DFC6B48" w14:textId="77777777" w:rsidR="009D3C95" w:rsidRPr="0063713C" w:rsidRDefault="009D3C95" w:rsidP="00F6760D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67AC8803" w14:textId="77777777" w:rsidR="009D3C95" w:rsidRPr="0063713C" w:rsidRDefault="009D3C95" w:rsidP="00F6760D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0EAD9A4" w14:textId="77777777" w:rsidR="009D3C95" w:rsidRPr="0063713C" w:rsidRDefault="009D3C9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5D440A" w:rsidRPr="005D440A" w14:paraId="74AB2D69" w14:textId="77777777" w:rsidTr="00F408E8">
        <w:tc>
          <w:tcPr>
            <w:tcW w:w="531" w:type="dxa"/>
            <w:shd w:val="clear" w:color="auto" w:fill="auto"/>
          </w:tcPr>
          <w:p w14:paraId="6C09002A" w14:textId="5198C2C1" w:rsidR="009D3C95" w:rsidRPr="005D440A" w:rsidRDefault="009D3C9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058379B" w14:textId="77777777" w:rsidR="009D3C95" w:rsidRPr="005D440A" w:rsidRDefault="009D3C95" w:rsidP="00F6760D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6F0A0D3C" w14:textId="71DDDDFA" w:rsidR="009D3C95" w:rsidRPr="005D440A" w:rsidRDefault="003E6FC9" w:rsidP="005D440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>Beurteilung der Angemessenheit der technischen Ressourcen, bspw. anhand</w:t>
            </w:r>
            <w:r w:rsidR="005D440A" w:rsidRPr="005D440A">
              <w:rPr>
                <w:lang w:val="de-CH"/>
              </w:rPr>
              <w:t xml:space="preserve"> einer Liste von IT-Anwendungen und anderen von der Funktion Risikokontrolle genutzten Tools, einschliesslich der Bezeichnung des Systems, einer Beschreibung des Zwecks und des Implementierungsdatums</w:t>
            </w:r>
          </w:p>
        </w:tc>
        <w:tc>
          <w:tcPr>
            <w:tcW w:w="3827" w:type="dxa"/>
            <w:shd w:val="clear" w:color="auto" w:fill="auto"/>
          </w:tcPr>
          <w:p w14:paraId="6FAAB2F3" w14:textId="77777777" w:rsidR="009D3C95" w:rsidRPr="005D440A" w:rsidRDefault="009D3C95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02A013BC" w14:textId="77777777" w:rsidR="009D3C95" w:rsidRPr="005D440A" w:rsidRDefault="009D3C95" w:rsidP="00F6760D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5221C5B9" w14:textId="77777777" w:rsidR="009D3C95" w:rsidRPr="005D440A" w:rsidRDefault="009D3C95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63713C" w14:paraId="012A3E5F" w14:textId="77777777" w:rsidTr="00F408E8">
        <w:tc>
          <w:tcPr>
            <w:tcW w:w="531" w:type="dxa"/>
            <w:shd w:val="clear" w:color="auto" w:fill="auto"/>
          </w:tcPr>
          <w:p w14:paraId="65FA18DE" w14:textId="444A53DB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4698E313" w14:textId="77777777" w:rsidR="0003546F" w:rsidRPr="0063713C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Wahrnehmung der Verantwortung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0A7BBA6" w14:textId="0442B749" w:rsidR="0003546F" w:rsidRPr="0063713C" w:rsidRDefault="0003546F" w:rsidP="00AC006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i/>
                <w:lang w:val="de-CH"/>
              </w:rPr>
              <w:t xml:space="preserve">Beurteilung, ob die Funktion Risikokontrolle </w:t>
            </w:r>
            <w:r w:rsidR="00C548A6">
              <w:rPr>
                <w:i/>
                <w:lang w:val="de-CH"/>
              </w:rPr>
              <w:t xml:space="preserve">nach Massgabe der Grösse, Geschäfts- und Organisationskomplexität und des Risikoprofils </w:t>
            </w:r>
            <w:proofErr w:type="gramStart"/>
            <w:r w:rsidR="00C548A6">
              <w:rPr>
                <w:i/>
                <w:lang w:val="de-CH"/>
              </w:rPr>
              <w:t>des Institut</w:t>
            </w:r>
            <w:proofErr w:type="gramEnd"/>
            <w:r w:rsidR="00C548A6">
              <w:rPr>
                <w:i/>
                <w:lang w:val="de-CH"/>
              </w:rPr>
              <w:t xml:space="preserve"> </w:t>
            </w:r>
            <w:r w:rsidRPr="0063713C">
              <w:rPr>
                <w:i/>
                <w:lang w:val="de-CH"/>
              </w:rPr>
              <w:t>ihrer Verantwortung nachgekommen ist (</w:t>
            </w:r>
            <w:r w:rsidR="00435BB7" w:rsidRPr="0063713C">
              <w:rPr>
                <w:i/>
                <w:lang w:val="de-CH"/>
              </w:rPr>
              <w:t>Rz</w:t>
            </w:r>
            <w:r w:rsidRPr="0063713C">
              <w:rPr>
                <w:i/>
                <w:lang w:val="de-CH"/>
              </w:rPr>
              <w:t> </w:t>
            </w:r>
            <w:r w:rsidR="002B4EB8" w:rsidRPr="0063713C">
              <w:rPr>
                <w:i/>
                <w:lang w:val="de-CH"/>
              </w:rPr>
              <w:t>69</w:t>
            </w:r>
            <w:r w:rsidR="00F3062A">
              <w:rPr>
                <w:i/>
                <w:lang w:val="de-CH"/>
              </w:rPr>
              <w:t>–</w:t>
            </w:r>
            <w:r w:rsidR="002B4EB8" w:rsidRPr="0063713C">
              <w:rPr>
                <w:i/>
                <w:lang w:val="de-CH"/>
              </w:rPr>
              <w:t>76</w:t>
            </w:r>
            <w:r w:rsidRPr="0063713C">
              <w:rPr>
                <w:i/>
                <w:lang w:val="de-CH"/>
              </w:rPr>
              <w:t xml:space="preserve"> FINMA-R</w:t>
            </w:r>
            <w:r w:rsidR="00464740" w:rsidRPr="0063713C">
              <w:rPr>
                <w:i/>
                <w:lang w:val="de-CH"/>
              </w:rPr>
              <w:t>S</w:t>
            </w:r>
            <w:r w:rsidRPr="0063713C">
              <w:rPr>
                <w:i/>
                <w:lang w:val="de-CH"/>
              </w:rPr>
              <w:t xml:space="preserve"> </w:t>
            </w:r>
            <w:r w:rsidR="002B4EB8" w:rsidRPr="0063713C">
              <w:rPr>
                <w:i/>
                <w:lang w:val="de-CH"/>
              </w:rPr>
              <w:t>17/1</w:t>
            </w:r>
            <w:r w:rsidRPr="0063713C">
              <w:rPr>
                <w:i/>
                <w:lang w:val="de-CH"/>
              </w:rPr>
              <w:t>), namentlich: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DD6B62E" w14:textId="77777777" w:rsidR="0003546F" w:rsidRPr="0063713C" w:rsidRDefault="0003546F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117EBAF" w14:textId="77777777" w:rsidR="0003546F" w:rsidRPr="0063713C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B984D8" w14:textId="77777777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B90D29" w14:paraId="6BFC9C11" w14:textId="77777777" w:rsidTr="00F408E8">
        <w:tc>
          <w:tcPr>
            <w:tcW w:w="531" w:type="dxa"/>
            <w:shd w:val="clear" w:color="auto" w:fill="auto"/>
          </w:tcPr>
          <w:p w14:paraId="4CA76534" w14:textId="368FAD9B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CE2598D" w14:textId="77777777" w:rsidR="0003546F" w:rsidRPr="0063713C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418D055" w14:textId="5A649F90" w:rsidR="0003546F" w:rsidRPr="00B90D29" w:rsidRDefault="0003546F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interne</w:t>
            </w:r>
            <w:r w:rsidR="006A1C02" w:rsidRPr="0063713C">
              <w:rPr>
                <w:lang w:val="de-CH"/>
              </w:rPr>
              <w:t>n</w:t>
            </w:r>
            <w:r w:rsidRPr="0063713C">
              <w:rPr>
                <w:lang w:val="de-CH"/>
              </w:rPr>
              <w:t xml:space="preserve"> </w:t>
            </w:r>
            <w:r w:rsidR="006A1C02" w:rsidRPr="0063713C">
              <w:rPr>
                <w:lang w:val="de-CH"/>
              </w:rPr>
              <w:t>Weisungen</w:t>
            </w:r>
            <w:r w:rsidRPr="0063713C">
              <w:rPr>
                <w:lang w:val="de-CH"/>
              </w:rPr>
              <w:t xml:space="preserve"> des Instituts für die Funktion Risikokontrolle </w:t>
            </w:r>
            <w:r w:rsidR="00A9071D" w:rsidRPr="0063713C">
              <w:rPr>
                <w:lang w:val="de-CH"/>
              </w:rPr>
              <w:t>dem</w:t>
            </w:r>
            <w:r w:rsidRPr="0063713C">
              <w:rPr>
                <w:lang w:val="de-CH"/>
              </w:rPr>
              <w:t xml:space="preserve"> FINMA-R</w:t>
            </w:r>
            <w:r w:rsidR="00A9071D" w:rsidRPr="0063713C">
              <w:rPr>
                <w:lang w:val="de-CH"/>
              </w:rPr>
              <w:t>S</w:t>
            </w:r>
            <w:r w:rsidRPr="0063713C">
              <w:rPr>
                <w:lang w:val="de-CH"/>
              </w:rPr>
              <w:t xml:space="preserve"> </w:t>
            </w:r>
            <w:r w:rsidR="002B4EB8" w:rsidRPr="0063713C">
              <w:rPr>
                <w:lang w:val="de-CH"/>
              </w:rPr>
              <w:t>17/1</w:t>
            </w:r>
            <w:r w:rsidRPr="0063713C">
              <w:rPr>
                <w:lang w:val="de-CH"/>
              </w:rPr>
              <w:t xml:space="preserve"> </w:t>
            </w:r>
            <w:r w:rsidR="00A9071D" w:rsidRPr="0063713C">
              <w:rPr>
                <w:lang w:val="de-CH"/>
              </w:rPr>
              <w:t xml:space="preserve">gerecht werden </w:t>
            </w:r>
            <w:r w:rsidRPr="0063713C">
              <w:rPr>
                <w:lang w:val="de-CH"/>
              </w:rPr>
              <w:t>und im Hinblick auf jüngst</w:t>
            </w:r>
            <w:r w:rsidR="00865B19" w:rsidRPr="0063713C">
              <w:rPr>
                <w:lang w:val="de-CH"/>
              </w:rPr>
              <w:t>e</w:t>
            </w:r>
            <w:r w:rsidR="006C59FE" w:rsidRPr="0063713C"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>und</w:t>
            </w:r>
            <w:r w:rsidR="007E68BC" w:rsidRPr="0063713C">
              <w:rPr>
                <w:lang w:val="de-CH"/>
              </w:rPr>
              <w:t>/oder</w:t>
            </w:r>
            <w:r w:rsidRPr="0063713C">
              <w:rPr>
                <w:lang w:val="de-CH"/>
              </w:rPr>
              <w:t xml:space="preserve"> geplante Änderungen der Rahmenbedingungen, Kontrollen und der Organisation des Instituts </w:t>
            </w:r>
            <w:r w:rsidR="00A9071D" w:rsidRPr="0063713C">
              <w:rPr>
                <w:lang w:val="de-CH"/>
              </w:rPr>
              <w:t>angemessen sind</w:t>
            </w:r>
            <w:r w:rsidR="00A9071D">
              <w:rPr>
                <w:lang w:val="de-CH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6FD43DE" w14:textId="77777777" w:rsidR="0003546F" w:rsidRPr="00B90D29" w:rsidRDefault="0003546F" w:rsidP="0003546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D216035" w14:textId="77777777" w:rsidR="0003546F" w:rsidRPr="00B90D29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474B2CF" w14:textId="77777777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63713C" w14:paraId="756FB490" w14:textId="77777777" w:rsidTr="00F408E8">
        <w:tc>
          <w:tcPr>
            <w:tcW w:w="531" w:type="dxa"/>
            <w:shd w:val="clear" w:color="auto" w:fill="auto"/>
          </w:tcPr>
          <w:p w14:paraId="54FC3574" w14:textId="4F79B34B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A9B97F4" w14:textId="77777777" w:rsidR="0003546F" w:rsidRPr="00B90D29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E78E597" w14:textId="14CEACF6" w:rsidR="0003546F" w:rsidRPr="0063713C" w:rsidRDefault="00A9071D" w:rsidP="00ED7CE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 xml:space="preserve">Erlangung und Beurteilung von Nachweisen, dass </w:t>
            </w:r>
            <w:r w:rsidR="0003546F" w:rsidRPr="0063713C">
              <w:rPr>
                <w:lang w:val="de-CH"/>
              </w:rPr>
              <w:t>die Funktion Risikokontrolle</w:t>
            </w:r>
            <w:r w:rsidR="007E68BC" w:rsidRPr="0063713C">
              <w:rPr>
                <w:lang w:val="de-CH"/>
              </w:rPr>
              <w:t xml:space="preserve"> </w:t>
            </w:r>
            <w:r w:rsidR="000E110F" w:rsidRPr="0063713C">
              <w:rPr>
                <w:lang w:val="de-CH"/>
              </w:rPr>
              <w:t>die systematische Überwachung und Berichterstattung von einzelnen wie auch aggregierten Risikopositionen sicherstellt (inkl. Stresstests und Szenarioanalysen</w:t>
            </w:r>
            <w:r w:rsidR="00C548A6">
              <w:rPr>
                <w:rStyle w:val="Appelnotedebasdep"/>
                <w:lang w:val="de-CH"/>
              </w:rPr>
              <w:footnoteReference w:id="3"/>
            </w:r>
            <w:r w:rsidR="000E110F" w:rsidRPr="0063713C">
              <w:rPr>
                <w:lang w:val="de-CH"/>
              </w:rPr>
              <w:t xml:space="preserve">), die angemessene Umsetzung der Bestimmungen zu Risikodatenaggregation und </w:t>
            </w:r>
            <w:r w:rsidR="00E70C48" w:rsidRPr="0063713C">
              <w:rPr>
                <w:lang w:val="de-CH"/>
              </w:rPr>
              <w:t>-</w:t>
            </w:r>
            <w:r w:rsidR="000E110F" w:rsidRPr="0063713C">
              <w:rPr>
                <w:lang w:val="de-CH"/>
              </w:rPr>
              <w:t>berichterstattung sicherstellt (bei Instituten der Aufsichtskategorien 1</w:t>
            </w:r>
            <w:r w:rsidR="00A051FE">
              <w:rPr>
                <w:lang w:val="de-CH"/>
              </w:rPr>
              <w:t>–</w:t>
            </w:r>
            <w:r w:rsidR="000E110F" w:rsidRPr="0063713C">
              <w:rPr>
                <w:lang w:val="de-CH"/>
              </w:rPr>
              <w:t xml:space="preserve">3) sowie das Risikoprofil (festgelegte Risikotoleranz und </w:t>
            </w:r>
            <w:r w:rsidR="00296423">
              <w:rPr>
                <w:lang w:val="de-CH"/>
              </w:rPr>
              <w:t>-</w:t>
            </w:r>
            <w:proofErr w:type="spellStart"/>
            <w:r w:rsidR="000E110F" w:rsidRPr="0063713C">
              <w:rPr>
                <w:lang w:val="de-CH"/>
              </w:rPr>
              <w:t>limiten</w:t>
            </w:r>
            <w:proofErr w:type="spellEnd"/>
            <w:r w:rsidR="000E110F" w:rsidRPr="0063713C">
              <w:rPr>
                <w:lang w:val="de-CH"/>
              </w:rPr>
              <w:t xml:space="preserve">) des Instituts überwacht </w:t>
            </w:r>
            <w:r w:rsidR="0003546F" w:rsidRPr="0063713C">
              <w:rPr>
                <w:lang w:val="de-CH"/>
              </w:rPr>
              <w:t>(Rz </w:t>
            </w:r>
            <w:r w:rsidR="000E110F" w:rsidRPr="0063713C">
              <w:rPr>
                <w:lang w:val="de-CH"/>
              </w:rPr>
              <w:t>69</w:t>
            </w:r>
            <w:r w:rsidR="00A051FE">
              <w:rPr>
                <w:lang w:val="de-CH"/>
              </w:rPr>
              <w:t>–</w:t>
            </w:r>
            <w:r w:rsidR="000E110F" w:rsidRPr="0063713C">
              <w:rPr>
                <w:lang w:val="de-CH"/>
              </w:rPr>
              <w:t xml:space="preserve">71 </w:t>
            </w:r>
            <w:r w:rsidRPr="0063713C">
              <w:rPr>
                <w:lang w:val="de-CH"/>
              </w:rPr>
              <w:t>FINMA-R</w:t>
            </w:r>
            <w:r w:rsidR="006A0123" w:rsidRPr="0063713C">
              <w:rPr>
                <w:lang w:val="de-CH"/>
              </w:rPr>
              <w:t>S</w:t>
            </w:r>
            <w:r w:rsidRPr="0063713C">
              <w:rPr>
                <w:lang w:val="de-CH"/>
              </w:rPr>
              <w:t xml:space="preserve"> </w:t>
            </w:r>
            <w:r w:rsidR="00642878" w:rsidRPr="0063713C">
              <w:rPr>
                <w:lang w:val="de-CH"/>
              </w:rPr>
              <w:t>17/1</w:t>
            </w:r>
            <w:r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F0C8D93" w14:textId="77777777" w:rsidR="0003546F" w:rsidRPr="0063713C" w:rsidRDefault="0003546F" w:rsidP="0003546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FA01154" w14:textId="77777777" w:rsidR="0003546F" w:rsidRPr="0063713C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C57D96" w14:textId="77777777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5D440A" w:rsidRPr="005D440A" w14:paraId="0A8998E5" w14:textId="77777777" w:rsidTr="00F408E8">
        <w:tc>
          <w:tcPr>
            <w:tcW w:w="531" w:type="dxa"/>
            <w:shd w:val="clear" w:color="auto" w:fill="auto"/>
          </w:tcPr>
          <w:p w14:paraId="596EE6AE" w14:textId="674EEFEB" w:rsidR="005D440A" w:rsidRPr="005D440A" w:rsidRDefault="005D440A" w:rsidP="005D440A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E94907C" w14:textId="77777777" w:rsidR="005D440A" w:rsidRPr="005D440A" w:rsidRDefault="005D440A" w:rsidP="005D440A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99F0FD0" w14:textId="7B58E84F" w:rsidR="005D440A" w:rsidRPr="005D440A" w:rsidRDefault="005D440A" w:rsidP="005D440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5D440A">
              <w:rPr>
                <w:lang w:val="de-CH"/>
              </w:rPr>
              <w:t>Beurteilung, ob die Funktion Risikokontrolle ihre Verantwortung in Bezug auf die Gestaltung und Umsetzung von Grundlagen und Methoden für die Überwachung und Messung von Risiken effektiv wahrnimmt (Rz 72 FINMA-RS 17/1)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62E64EB" w14:textId="77777777" w:rsidR="005D440A" w:rsidRPr="005D440A" w:rsidRDefault="005D440A" w:rsidP="005D440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CE27AB7" w14:textId="77777777" w:rsidR="005D440A" w:rsidRPr="005D440A" w:rsidRDefault="005D440A" w:rsidP="005D440A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78A952D" w14:textId="77777777" w:rsidR="005D440A" w:rsidRPr="005D440A" w:rsidRDefault="005D440A" w:rsidP="005D440A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47011" w:rsidRPr="0063713C" w14:paraId="3D806574" w14:textId="77777777" w:rsidTr="00F408E8">
        <w:tc>
          <w:tcPr>
            <w:tcW w:w="531" w:type="dxa"/>
            <w:shd w:val="clear" w:color="auto" w:fill="auto"/>
          </w:tcPr>
          <w:p w14:paraId="4EF2A8F5" w14:textId="77777777" w:rsidR="00C47011" w:rsidRPr="0063713C" w:rsidRDefault="00C47011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E48AD13" w14:textId="77777777" w:rsidR="00C47011" w:rsidRPr="0063713C" w:rsidRDefault="00C47011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5248539" w14:textId="4874F865" w:rsidR="00C47011" w:rsidRPr="0063713C" w:rsidRDefault="00C47011" w:rsidP="000E110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Risikokontrolle bei der Entwicklung von neuen oder erweiterten Produktekategorien, Dienstleistungen, Geschäfts- oder Marktbereichen sowie bei wesentlichen oder komplexen Transaktionen angemessen einbezogen wurde (Rz 73 FINMA-RS 17/1)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517B4F2" w14:textId="77777777" w:rsidR="00C47011" w:rsidRPr="0063713C" w:rsidRDefault="00C47011" w:rsidP="00C4701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9858E91" w14:textId="77777777" w:rsidR="00C47011" w:rsidRPr="0063713C" w:rsidRDefault="00C47011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BB24D3" w14:textId="77777777" w:rsidR="00C47011" w:rsidRPr="0063713C" w:rsidRDefault="00C47011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47011" w:rsidRPr="00B90D29" w14:paraId="10E7C02C" w14:textId="77777777" w:rsidTr="00F408E8">
        <w:tc>
          <w:tcPr>
            <w:tcW w:w="531" w:type="dxa"/>
            <w:shd w:val="clear" w:color="auto" w:fill="auto"/>
          </w:tcPr>
          <w:p w14:paraId="07EB2133" w14:textId="77777777" w:rsidR="00C47011" w:rsidRPr="0063713C" w:rsidRDefault="00C47011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26550CE" w14:textId="77777777" w:rsidR="00C47011" w:rsidRPr="0063713C" w:rsidRDefault="00C47011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3D9E047" w14:textId="6DF59CC3" w:rsidR="00C47011" w:rsidRPr="0063713C" w:rsidRDefault="00C47011" w:rsidP="00D7768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Risikokontrolle aktiv am Prozess der Festlegung der Risikolimiten teilgenommen hat und dadurch sichergestellt hat, dass die Risikolimiten im Einklang mit der Risikotoleranz stehen</w:t>
            </w:r>
            <w:r w:rsidR="00D7768F" w:rsidRPr="0063713C">
              <w:rPr>
                <w:lang w:val="de-CH"/>
              </w:rPr>
              <w:t>,</w:t>
            </w:r>
            <w:r w:rsidRPr="0063713C">
              <w:rPr>
                <w:lang w:val="de-CH"/>
              </w:rPr>
              <w:t xml:space="preserve"> mit den Ergebnissen aus den Stresstests abgestimmt sind </w:t>
            </w:r>
            <w:r w:rsidR="00D7768F" w:rsidRPr="0063713C">
              <w:rPr>
                <w:lang w:val="de-CH"/>
              </w:rPr>
              <w:t xml:space="preserve">und die Risikolimiten somit ein operativ wirksames Steuerungsinstrument darstellen </w:t>
            </w:r>
            <w:r w:rsidRPr="0063713C">
              <w:rPr>
                <w:lang w:val="de-CH"/>
              </w:rPr>
              <w:t>(Rz 74 FINMA-RS 17/1)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87DDDC8" w14:textId="77777777" w:rsidR="00C47011" w:rsidRPr="005B428A" w:rsidRDefault="00C47011" w:rsidP="00C4701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B22144" w14:textId="77777777" w:rsidR="00C47011" w:rsidRPr="00B90D29" w:rsidRDefault="00C47011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B2FED9" w14:textId="77777777" w:rsidR="00C47011" w:rsidRPr="00B90D29" w:rsidRDefault="00C47011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63713C" w14:paraId="1FE1D3FF" w14:textId="77777777" w:rsidTr="00F408E8">
        <w:tc>
          <w:tcPr>
            <w:tcW w:w="531" w:type="dxa"/>
            <w:shd w:val="clear" w:color="auto" w:fill="auto"/>
          </w:tcPr>
          <w:p w14:paraId="5BBB4FD9" w14:textId="55635BEC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BF31CB0" w14:textId="77777777" w:rsidR="0003546F" w:rsidRPr="00B90D29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97C36D9" w14:textId="5C9A9616" w:rsidR="0003546F" w:rsidRPr="0063713C" w:rsidRDefault="0003546F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 xml:space="preserve">Beurteilung, ob die </w:t>
            </w:r>
            <w:r w:rsidR="00D54391" w:rsidRPr="0063713C">
              <w:rPr>
                <w:lang w:val="de-CH"/>
              </w:rPr>
              <w:t xml:space="preserve">Funktion </w:t>
            </w:r>
            <w:r w:rsidRPr="0063713C">
              <w:rPr>
                <w:lang w:val="de-CH"/>
              </w:rPr>
              <w:t xml:space="preserve">Risikokontrolle der </w:t>
            </w:r>
            <w:r w:rsidR="000E110F" w:rsidRPr="0063713C">
              <w:rPr>
                <w:lang w:val="de-CH"/>
              </w:rPr>
              <w:t xml:space="preserve">Geschäftsleitung </w:t>
            </w:r>
            <w:r w:rsidRPr="0063713C">
              <w:rPr>
                <w:lang w:val="de-CH"/>
              </w:rPr>
              <w:t xml:space="preserve">mindestens halbjährlich einen schriftlichen Bericht über die </w:t>
            </w:r>
            <w:r w:rsidR="000E110F" w:rsidRPr="0063713C">
              <w:rPr>
                <w:lang w:val="de-CH"/>
              </w:rPr>
              <w:t xml:space="preserve">Entwicklung des </w:t>
            </w:r>
            <w:r w:rsidRPr="0063713C">
              <w:rPr>
                <w:lang w:val="de-CH"/>
              </w:rPr>
              <w:t>Risik</w:t>
            </w:r>
            <w:r w:rsidR="000E110F" w:rsidRPr="0063713C">
              <w:rPr>
                <w:lang w:val="de-CH"/>
              </w:rPr>
              <w:t>oprofils des Instituts und seine Tätigkeit</w:t>
            </w:r>
            <w:r w:rsidRPr="0063713C">
              <w:rPr>
                <w:lang w:val="de-CH"/>
              </w:rPr>
              <w:t xml:space="preserve"> vorlegt (Rz </w:t>
            </w:r>
            <w:r w:rsidR="000E110F" w:rsidRPr="0063713C">
              <w:rPr>
                <w:lang w:val="de-CH"/>
              </w:rPr>
              <w:t xml:space="preserve">75 </w:t>
            </w:r>
            <w:r w:rsidRPr="0063713C">
              <w:rPr>
                <w:lang w:val="de-CH"/>
              </w:rPr>
              <w:t>FINMA-R</w:t>
            </w:r>
            <w:r w:rsidR="006A0123" w:rsidRPr="0063713C">
              <w:rPr>
                <w:lang w:val="de-CH"/>
              </w:rPr>
              <w:t>S</w:t>
            </w:r>
            <w:r w:rsidRPr="0063713C">
              <w:rPr>
                <w:lang w:val="de-CH"/>
              </w:rPr>
              <w:t xml:space="preserve"> </w:t>
            </w:r>
            <w:r w:rsidR="000E110F" w:rsidRPr="0063713C">
              <w:rPr>
                <w:lang w:val="de-CH"/>
              </w:rPr>
              <w:t>17/1</w:t>
            </w:r>
            <w:r w:rsidRPr="0063713C">
              <w:rPr>
                <w:lang w:val="de-CH"/>
              </w:rPr>
              <w:t>).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BD9B5C" w14:textId="57CE1E00" w:rsidR="0003546F" w:rsidRPr="0063713C" w:rsidRDefault="00FA5837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Einsichtnahme</w:t>
            </w:r>
            <w:r w:rsidR="005B428A" w:rsidRPr="0063713C">
              <w:rPr>
                <w:lang w:val="de-CH"/>
              </w:rPr>
              <w:t xml:space="preserve"> in den</w:t>
            </w:r>
            <w:r w:rsidR="0003546F" w:rsidRPr="0063713C">
              <w:rPr>
                <w:lang w:val="de-CH"/>
              </w:rPr>
              <w:t xml:space="preserve"> halbjährlichen Risikobericht für die Geschäfts</w:t>
            </w:r>
            <w:r w:rsidR="00C47011" w:rsidRPr="0063713C">
              <w:rPr>
                <w:lang w:val="de-CH"/>
              </w:rPr>
              <w:t xml:space="preserve">leitung </w:t>
            </w:r>
            <w:r w:rsidR="0003546F" w:rsidRPr="0063713C">
              <w:rPr>
                <w:lang w:val="de-CH"/>
              </w:rPr>
              <w:t>und de</w:t>
            </w:r>
            <w:r w:rsidRPr="0063713C">
              <w:rPr>
                <w:lang w:val="de-CH"/>
              </w:rPr>
              <w:t>n</w:t>
            </w:r>
            <w:r w:rsidR="0003546F" w:rsidRPr="0063713C">
              <w:rPr>
                <w:lang w:val="de-CH"/>
              </w:rPr>
              <w:t xml:space="preserve"> jährlichen Risikobericht (einschliesslich der Tätigkeiten der Funktion Risikokontrolle) für d</w:t>
            </w:r>
            <w:r w:rsidR="00C47011" w:rsidRPr="0063713C">
              <w:rPr>
                <w:lang w:val="de-CH"/>
              </w:rPr>
              <w:t>as</w:t>
            </w:r>
            <w:r w:rsidR="0003546F" w:rsidRPr="0063713C">
              <w:rPr>
                <w:lang w:val="de-CH"/>
              </w:rPr>
              <w:t xml:space="preserve"> </w:t>
            </w:r>
            <w:r w:rsidR="00C47011" w:rsidRPr="0063713C">
              <w:rPr>
                <w:lang w:val="de-CH"/>
              </w:rPr>
              <w:t>Oberleitungsorgan</w:t>
            </w:r>
            <w:r w:rsidR="0003546F" w:rsidRPr="0063713C">
              <w:rPr>
                <w:lang w:val="de-CH"/>
              </w:rPr>
              <w:t xml:space="preserve"> </w:t>
            </w:r>
            <w:r w:rsidR="00C47011" w:rsidRPr="0063713C">
              <w:rPr>
                <w:lang w:val="de-CH"/>
              </w:rPr>
              <w:t xml:space="preserve">(mit Kopie an die interne Revision und die Prüfgesellschaft) </w:t>
            </w:r>
            <w:r w:rsidR="0003546F" w:rsidRPr="0063713C">
              <w:rPr>
                <w:lang w:val="de-CH"/>
              </w:rPr>
              <w:t xml:space="preserve">und Beurteilung </w:t>
            </w:r>
            <w:r w:rsidR="006A0123" w:rsidRPr="0063713C">
              <w:rPr>
                <w:lang w:val="de-CH"/>
              </w:rPr>
              <w:t xml:space="preserve">der </w:t>
            </w:r>
            <w:r w:rsidR="0003546F" w:rsidRPr="0063713C">
              <w:rPr>
                <w:lang w:val="de-CH"/>
              </w:rPr>
              <w:t>A</w:t>
            </w:r>
            <w:r w:rsidR="006A0123" w:rsidRPr="0063713C">
              <w:rPr>
                <w:lang w:val="de-CH"/>
              </w:rPr>
              <w:t>ngemessenheit / Vollständigkeit der Berichte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FFE0CA3" w14:textId="77777777" w:rsidR="0003546F" w:rsidRPr="0063713C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37987D" w14:textId="77777777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B90D29" w14:paraId="77335079" w14:textId="77777777" w:rsidTr="00F408E8">
        <w:tc>
          <w:tcPr>
            <w:tcW w:w="531" w:type="dxa"/>
            <w:shd w:val="clear" w:color="auto" w:fill="auto"/>
          </w:tcPr>
          <w:p w14:paraId="358E965C" w14:textId="6F94B4F7" w:rsidR="0003546F" w:rsidRPr="0063713C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A2B0E28" w14:textId="77777777" w:rsidR="0003546F" w:rsidRPr="0063713C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119A75D" w14:textId="2D03FEB9" w:rsidR="0003546F" w:rsidRPr="00B90D29" w:rsidRDefault="00C47011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</w:t>
            </w:r>
            <w:r w:rsidR="0003546F" w:rsidRPr="0063713C">
              <w:rPr>
                <w:lang w:val="de-CH"/>
              </w:rPr>
              <w:t xml:space="preserve">, ob die Funktion Risikokontrolle </w:t>
            </w:r>
            <w:r w:rsidR="000E110F" w:rsidRPr="0063713C">
              <w:rPr>
                <w:lang w:val="de-CH"/>
              </w:rPr>
              <w:t>dem Oberleitungsorgan</w:t>
            </w:r>
            <w:r w:rsidR="0003546F" w:rsidRPr="0063713C">
              <w:rPr>
                <w:lang w:val="de-CH"/>
              </w:rPr>
              <w:t xml:space="preserve"> mindestens jährlich </w:t>
            </w:r>
            <w:r w:rsidRPr="0063713C">
              <w:rPr>
                <w:lang w:val="de-CH"/>
              </w:rPr>
              <w:t xml:space="preserve">einen schriftlichen Bericht </w:t>
            </w:r>
            <w:r w:rsidR="0003546F" w:rsidRPr="0063713C">
              <w:rPr>
                <w:lang w:val="de-CH"/>
              </w:rPr>
              <w:t xml:space="preserve">über die </w:t>
            </w:r>
            <w:r w:rsidR="000E110F" w:rsidRPr="0063713C">
              <w:rPr>
                <w:lang w:val="de-CH"/>
              </w:rPr>
              <w:t xml:space="preserve">Entwicklung des </w:t>
            </w:r>
            <w:r w:rsidR="0003546F" w:rsidRPr="0063713C">
              <w:rPr>
                <w:lang w:val="de-CH"/>
              </w:rPr>
              <w:t>Risiko</w:t>
            </w:r>
            <w:r w:rsidRPr="0063713C">
              <w:rPr>
                <w:lang w:val="de-CH"/>
              </w:rPr>
              <w:t>profils</w:t>
            </w:r>
            <w:r w:rsidR="0003546F" w:rsidRPr="0063713C">
              <w:rPr>
                <w:lang w:val="de-CH"/>
              </w:rPr>
              <w:t xml:space="preserve"> des Instituts und </w:t>
            </w:r>
            <w:r w:rsidRPr="0063713C">
              <w:rPr>
                <w:lang w:val="de-CH"/>
              </w:rPr>
              <w:t>seine</w:t>
            </w:r>
            <w:r w:rsidR="0003546F" w:rsidRPr="0063713C">
              <w:rPr>
                <w:lang w:val="de-CH"/>
              </w:rPr>
              <w:t xml:space="preserve"> Tätigkeit </w:t>
            </w:r>
            <w:r w:rsidRPr="0063713C">
              <w:rPr>
                <w:lang w:val="de-CH"/>
              </w:rPr>
              <w:t xml:space="preserve">vorlegt </w:t>
            </w:r>
            <w:r w:rsidR="0003546F" w:rsidRPr="0063713C">
              <w:rPr>
                <w:lang w:val="de-CH"/>
              </w:rPr>
              <w:t>(Rz </w:t>
            </w:r>
            <w:r w:rsidR="000E110F" w:rsidRPr="0063713C">
              <w:rPr>
                <w:lang w:val="de-CH"/>
              </w:rPr>
              <w:t xml:space="preserve">75 </w:t>
            </w:r>
            <w:r w:rsidR="00EA4B3D" w:rsidRPr="0063713C">
              <w:rPr>
                <w:lang w:val="de-CH"/>
              </w:rPr>
              <w:t xml:space="preserve">FINMA-RS </w:t>
            </w:r>
            <w:r w:rsidR="000E110F" w:rsidRPr="0063713C">
              <w:rPr>
                <w:lang w:val="de-CH"/>
              </w:rPr>
              <w:t>17/1</w:t>
            </w:r>
            <w:r w:rsidR="00EA4B3D"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0365633" w14:textId="77777777" w:rsidR="0003546F" w:rsidRPr="00B90D29" w:rsidRDefault="0003546F" w:rsidP="0003546F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F95E44D" w14:textId="77777777" w:rsidR="0003546F" w:rsidRPr="00B90D29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4644EE3" w14:textId="77777777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D7768F" w:rsidRPr="00B90D29" w14:paraId="369B50B2" w14:textId="77777777" w:rsidTr="00F408E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B8C4C59" w14:textId="77777777" w:rsidR="00D7768F" w:rsidRPr="00B90D29" w:rsidRDefault="00D7768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59CCEB" w14:textId="77777777" w:rsidR="00D7768F" w:rsidRPr="00B90D29" w:rsidRDefault="00D7768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017445C" w14:textId="41234EAF" w:rsidR="00D7768F" w:rsidRPr="0063713C" w:rsidRDefault="00D7768F" w:rsidP="00D5439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Erlangung von Nachweisen</w:t>
            </w:r>
            <w:r w:rsidR="00505CD9" w:rsidRPr="0063713C">
              <w:rPr>
                <w:lang w:val="de-CH"/>
              </w:rPr>
              <w:t xml:space="preserve"> und Beurteilung</w:t>
            </w:r>
            <w:r w:rsidRPr="0063713C">
              <w:rPr>
                <w:lang w:val="de-CH"/>
              </w:rPr>
              <w:t xml:space="preserve">, </w:t>
            </w:r>
            <w:r w:rsidR="00505CD9" w:rsidRPr="0063713C">
              <w:rPr>
                <w:lang w:val="de-CH"/>
              </w:rPr>
              <w:t>ob</w:t>
            </w:r>
            <w:r w:rsidRPr="0063713C">
              <w:rPr>
                <w:lang w:val="de-CH"/>
              </w:rPr>
              <w:t xml:space="preserve"> die Risikokontrolle ihre weiteren Aufgaben und Verantwortlichkeiten (zeitgerechte Berichterstattung bei besonderen Entwicklungen) effektiv wahrnimmt (Rz 76 FINMA-RS 17/1)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7A67A54" w14:textId="77777777" w:rsidR="00D7768F" w:rsidRPr="00B90D29" w:rsidRDefault="00D7768F" w:rsidP="008D684E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8AFBA90" w14:textId="77777777" w:rsidR="00D7768F" w:rsidRPr="00B90D29" w:rsidRDefault="00D7768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94FC2E" w14:textId="77777777" w:rsidR="00D7768F" w:rsidRPr="00B90D29" w:rsidRDefault="00D7768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03546F" w:rsidRPr="00B90D29" w14:paraId="6FBE4EBB" w14:textId="77777777" w:rsidTr="00F408E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6A33563" w14:textId="192850F0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43BB28" w14:textId="77777777" w:rsidR="0003546F" w:rsidRPr="00B90D29" w:rsidRDefault="0003546F" w:rsidP="001B3543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2946CAE" w14:textId="43B06685" w:rsidR="007C4D48" w:rsidRPr="00B90D29" w:rsidRDefault="0070462C" w:rsidP="00D5439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>Feststellung und Dokumentation</w:t>
            </w:r>
            <w:r w:rsidR="0003546F" w:rsidRPr="00B90D29">
              <w:rPr>
                <w:lang w:val="de-CH"/>
              </w:rPr>
              <w:t xml:space="preserve"> der von der Funktion Risikokontrolle durchgeführten internen Kontrollen und </w:t>
            </w:r>
            <w:r w:rsidR="006409D7" w:rsidRPr="00B90D29">
              <w:rPr>
                <w:lang w:val="de-CH"/>
              </w:rPr>
              <w:t xml:space="preserve">Beurteilung der Wirksamkeit der Ausgestaltung / </w:t>
            </w:r>
            <w:r w:rsidR="00FA5837">
              <w:rPr>
                <w:lang w:val="de-CH"/>
              </w:rPr>
              <w:t>des Umfangs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31A0AB4" w14:textId="53F60FB6" w:rsidR="0003546F" w:rsidRPr="00FA7405" w:rsidRDefault="00FA740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B90D29">
              <w:rPr>
                <w:lang w:val="de-CH"/>
              </w:rPr>
              <w:t>Durchführung vo</w:t>
            </w:r>
            <w:r w:rsidRPr="00E01F1B">
              <w:rPr>
                <w:lang w:val="de-CH"/>
              </w:rPr>
              <w:t>n Funktionsprüfungen, um die operative Wirksam</w:t>
            </w:r>
            <w:r w:rsidRPr="00B90D29">
              <w:rPr>
                <w:lang w:val="de-CH"/>
              </w:rPr>
              <w:t>keit der von der Funktion Risikokontrolle durchgeführten in</w:t>
            </w:r>
            <w:r>
              <w:rPr>
                <w:lang w:val="de-CH"/>
              </w:rPr>
              <w:t>ternen Kontrollen zu bestätigen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197DC5" w14:textId="77777777" w:rsidR="0003546F" w:rsidRPr="00B90D29" w:rsidRDefault="0003546F" w:rsidP="00E1226C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FADB5C" w14:textId="77777777" w:rsidR="0003546F" w:rsidRPr="00B90D29" w:rsidRDefault="0003546F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F6760D" w:rsidRPr="00E25526" w14:paraId="4603B058" w14:textId="77777777" w:rsidTr="00F408E8">
        <w:tc>
          <w:tcPr>
            <w:tcW w:w="14317" w:type="dxa"/>
            <w:gridSpan w:val="6"/>
            <w:shd w:val="pct10" w:color="auto" w:fill="auto"/>
          </w:tcPr>
          <w:p w14:paraId="72DF54DD" w14:textId="35FAD256" w:rsidR="00F6760D" w:rsidRPr="0054740C" w:rsidRDefault="00BD0B1A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54740C">
              <w:rPr>
                <w:i/>
                <w:sz w:val="16"/>
                <w:lang w:val="en-US"/>
              </w:rPr>
              <w:t xml:space="preserve">„Confirmation that the organizational set-up of the compliance function </w:t>
            </w:r>
            <w:r w:rsidR="0044400A" w:rsidRPr="0054740C">
              <w:rPr>
                <w:rFonts w:cs="Arial"/>
                <w:i/>
                <w:sz w:val="16"/>
                <w:szCs w:val="16"/>
                <w:lang w:val="en-US"/>
              </w:rPr>
              <w:t>and the compensation system</w:t>
            </w:r>
            <w:r w:rsidR="0044400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4740C">
              <w:rPr>
                <w:i/>
                <w:sz w:val="16"/>
                <w:lang w:val="en-US"/>
              </w:rPr>
              <w:t>did not lead to a conflict of interes</w:t>
            </w:r>
            <w:r w:rsidR="00EA7805">
              <w:rPr>
                <w:i/>
                <w:sz w:val="16"/>
                <w:lang w:val="en-US"/>
              </w:rPr>
              <w:t>t</w:t>
            </w:r>
            <w:r w:rsidRPr="0054740C">
              <w:rPr>
                <w:i/>
                <w:sz w:val="16"/>
                <w:lang w:val="en-US"/>
              </w:rPr>
              <w:t>“</w:t>
            </w:r>
            <w:r w:rsidR="00EA7805">
              <w:rPr>
                <w:i/>
                <w:sz w:val="16"/>
                <w:lang w:val="en-US"/>
              </w:rPr>
              <w:t>.</w:t>
            </w:r>
          </w:p>
          <w:p w14:paraId="7CC7A914" w14:textId="7E63304E" w:rsidR="00F6760D" w:rsidRPr="00B90D29" w:rsidRDefault="00BD0B1A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B90D29">
              <w:rPr>
                <w:i/>
                <w:sz w:val="16"/>
                <w:lang w:val="de-CH"/>
              </w:rPr>
              <w:t xml:space="preserve">„Bestätigung, dass die organisatorische Anordnung der </w:t>
            </w:r>
            <w:r w:rsidR="00417322">
              <w:rPr>
                <w:i/>
                <w:sz w:val="16"/>
                <w:lang w:val="de-CH"/>
              </w:rPr>
              <w:t xml:space="preserve">Funktion </w:t>
            </w:r>
            <w:r w:rsidRPr="008264CF">
              <w:rPr>
                <w:i/>
                <w:sz w:val="16"/>
                <w:lang w:val="de-CH"/>
              </w:rPr>
              <w:t xml:space="preserve">Risikokontrolle </w:t>
            </w:r>
            <w:r w:rsidR="008264CF" w:rsidRPr="0054740C">
              <w:rPr>
                <w:i/>
                <w:sz w:val="16"/>
                <w:lang w:val="de-CH"/>
              </w:rPr>
              <w:t xml:space="preserve">und das Entschädigungssystem </w:t>
            </w:r>
            <w:r w:rsidRPr="008264CF">
              <w:rPr>
                <w:i/>
                <w:sz w:val="16"/>
                <w:lang w:val="de-CH"/>
              </w:rPr>
              <w:t>keine</w:t>
            </w:r>
            <w:r w:rsidRPr="00B90D29">
              <w:rPr>
                <w:i/>
                <w:sz w:val="16"/>
                <w:lang w:val="de-CH"/>
              </w:rPr>
              <w:t xml:space="preserve"> Zielkonflikte herbeiführte</w:t>
            </w:r>
            <w:r w:rsidR="00EA7805">
              <w:rPr>
                <w:i/>
                <w:sz w:val="16"/>
                <w:lang w:val="de-CH"/>
              </w:rPr>
              <w:t>n</w:t>
            </w:r>
            <w:r w:rsidRPr="00B90D29">
              <w:rPr>
                <w:i/>
                <w:sz w:val="16"/>
                <w:lang w:val="de-CH"/>
              </w:rPr>
              <w:t>“</w:t>
            </w:r>
            <w:r w:rsidR="00EA7805">
              <w:rPr>
                <w:i/>
                <w:sz w:val="16"/>
                <w:lang w:val="de-CH"/>
              </w:rPr>
              <w:t>.</w:t>
            </w:r>
          </w:p>
          <w:p w14:paraId="12AE5BC8" w14:textId="6166FCB0" w:rsidR="00BD0B1A" w:rsidRPr="0054740C" w:rsidRDefault="004E14FF" w:rsidP="00F6760D">
            <w:pPr>
              <w:spacing w:line="240" w:lineRule="auto"/>
              <w:rPr>
                <w:rFonts w:cs="Arial"/>
                <w:i/>
                <w:sz w:val="16"/>
                <w:szCs w:val="16"/>
                <w:lang w:val="fr-CH"/>
              </w:rPr>
            </w:pP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“Confirmation que le positionnement 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 xml:space="preserve">de la fonction de contrôle des risques 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dans l’organisation 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 xml:space="preserve">et le mode de rémunération 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>n’</w:t>
            </w:r>
            <w:r>
              <w:rPr>
                <w:rFonts w:cs="Arial"/>
                <w:i/>
                <w:sz w:val="16"/>
                <w:szCs w:val="16"/>
                <w:lang w:val="fr-CH"/>
              </w:rPr>
              <w:t>ont</w:t>
            </w:r>
            <w:r w:rsidRPr="00F6760D">
              <w:rPr>
                <w:rFonts w:cs="Arial"/>
                <w:i/>
                <w:sz w:val="16"/>
                <w:szCs w:val="16"/>
                <w:lang w:val="fr-CH"/>
              </w:rPr>
              <w:t xml:space="preserve"> pas généré de conflits d’objectifs.”</w:t>
            </w:r>
          </w:p>
        </w:tc>
      </w:tr>
      <w:tr w:rsidR="009E1A63" w:rsidRPr="0063713C" w14:paraId="14D8E1EC" w14:textId="77777777" w:rsidTr="00F408E8">
        <w:tc>
          <w:tcPr>
            <w:tcW w:w="531" w:type="dxa"/>
            <w:shd w:val="clear" w:color="auto" w:fill="auto"/>
          </w:tcPr>
          <w:p w14:paraId="1690EBA6" w14:textId="304487E5" w:rsidR="009E1A63" w:rsidRPr="008D684E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50AD0450" w14:textId="131D26E4" w:rsidR="009E1A63" w:rsidRPr="0063713C" w:rsidRDefault="009E1A63" w:rsidP="00DC13B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63713C">
              <w:rPr>
                <w:b/>
                <w:sz w:val="16"/>
                <w:lang w:val="de-CH"/>
              </w:rPr>
              <w:t>Organisatorische Anordnung und Vermeidung von Interessenkonflikten</w:t>
            </w:r>
          </w:p>
        </w:tc>
        <w:tc>
          <w:tcPr>
            <w:tcW w:w="3685" w:type="dxa"/>
            <w:shd w:val="clear" w:color="auto" w:fill="auto"/>
          </w:tcPr>
          <w:p w14:paraId="34719E52" w14:textId="1961CE87" w:rsidR="009E1A63" w:rsidRPr="0063713C" w:rsidRDefault="009E1A63" w:rsidP="00946B52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i/>
                <w:lang w:val="de-CH"/>
              </w:rPr>
              <w:t xml:space="preserve">Beurteilung, ob die organisatorische Anordnung der Funktion Risikokontrolle nach Massgabe der Grösse und der Geschäfts- und Organisationskomplexität des Instituts angemessen ist </w:t>
            </w:r>
            <w:r w:rsidR="00C5732B" w:rsidRPr="0063713C">
              <w:rPr>
                <w:i/>
                <w:lang w:val="de-CH"/>
              </w:rPr>
              <w:t xml:space="preserve">sowie </w:t>
            </w:r>
            <w:r w:rsidRPr="0063713C">
              <w:rPr>
                <w:i/>
                <w:lang w:val="de-CH"/>
              </w:rPr>
              <w:t>keine Interessenkonflikte herbeiführt</w:t>
            </w:r>
            <w:r w:rsidR="00C5732B" w:rsidRPr="0063713C">
              <w:rPr>
                <w:i/>
                <w:lang w:val="de-CH"/>
              </w:rPr>
              <w:t xml:space="preserve"> und von den ertragsorientierten Geschäftseinheiten unabhängig ist</w:t>
            </w:r>
            <w:r w:rsidRPr="0063713C">
              <w:rPr>
                <w:i/>
                <w:lang w:val="de-CH"/>
              </w:rPr>
              <w:t xml:space="preserve"> (Rz 6</w:t>
            </w:r>
            <w:r w:rsidR="00946B52" w:rsidRPr="0063713C">
              <w:rPr>
                <w:i/>
                <w:lang w:val="de-CH"/>
              </w:rPr>
              <w:t>2</w:t>
            </w:r>
            <w:r w:rsidR="00A051FE">
              <w:rPr>
                <w:i/>
                <w:lang w:val="de-CH"/>
              </w:rPr>
              <w:t>–</w:t>
            </w:r>
            <w:r w:rsidRPr="0063713C">
              <w:rPr>
                <w:i/>
                <w:lang w:val="de-CH"/>
              </w:rPr>
              <w:t>68 FINMA-RS 17/1), namentlich:</w:t>
            </w:r>
          </w:p>
        </w:tc>
        <w:tc>
          <w:tcPr>
            <w:tcW w:w="3827" w:type="dxa"/>
            <w:shd w:val="clear" w:color="auto" w:fill="auto"/>
          </w:tcPr>
          <w:p w14:paraId="05D388F5" w14:textId="77777777" w:rsidR="009E1A63" w:rsidRPr="0063713C" w:rsidRDefault="009E1A63" w:rsidP="00415624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1F39D854" w14:textId="77777777" w:rsidR="009E1A63" w:rsidRPr="0063713C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092CC046" w14:textId="77777777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E1A63" w:rsidRPr="0063713C" w14:paraId="65D27EC3" w14:textId="77777777" w:rsidTr="00F408E8">
        <w:tc>
          <w:tcPr>
            <w:tcW w:w="531" w:type="dxa"/>
            <w:shd w:val="clear" w:color="auto" w:fill="auto"/>
          </w:tcPr>
          <w:p w14:paraId="5F5FDFD1" w14:textId="45271CED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C1A40E5" w14:textId="77777777" w:rsidR="009E1A63" w:rsidRPr="0063713C" w:rsidRDefault="009E1A63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11B6124F" w14:textId="3087FA41" w:rsidR="009E1A63" w:rsidRPr="0063713C" w:rsidRDefault="009E1A63" w:rsidP="00F701BE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 xml:space="preserve">Beurteilung, ob die organisatorische Anordnung der Funktion Risikokontrolle dem FINMA-RS 17/1 gerecht wird – insbesondere hinsichtlich der Vermeidung von Interessenkonflikten </w:t>
            </w:r>
            <w:r w:rsidR="00C5732B" w:rsidRPr="0063713C">
              <w:rPr>
                <w:lang w:val="de-CH"/>
              </w:rPr>
              <w:t>und Unabhängigkeit von den ertragsorientierten Geschäftseinheiten</w:t>
            </w:r>
            <w:r w:rsidR="00224379" w:rsidRPr="0063713C"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>– und ob sie im Hinblick auf jüngste und/oder geplante Änderungen der Rahmenbedingungen, Kontrollen und der Organisation des Instituts angemessen ist (Rz 60</w:t>
            </w:r>
            <w:r w:rsidR="00A051FE">
              <w:rPr>
                <w:lang w:val="de-CH"/>
              </w:rPr>
              <w:t>–</w:t>
            </w:r>
            <w:r w:rsidR="00F701BE" w:rsidRPr="0063713C">
              <w:rPr>
                <w:lang w:val="de-CH"/>
              </w:rPr>
              <w:t xml:space="preserve">64 </w:t>
            </w:r>
            <w:r w:rsidRPr="0063713C">
              <w:rPr>
                <w:lang w:val="de-CH"/>
              </w:rPr>
              <w:t>FINMA-RS 17/1)</w:t>
            </w:r>
          </w:p>
        </w:tc>
        <w:tc>
          <w:tcPr>
            <w:tcW w:w="3827" w:type="dxa"/>
            <w:shd w:val="clear" w:color="auto" w:fill="auto"/>
          </w:tcPr>
          <w:p w14:paraId="10E91680" w14:textId="77777777" w:rsidR="009E1A63" w:rsidRPr="0063713C" w:rsidRDefault="009E1A63" w:rsidP="007C4D48">
            <w:pPr>
              <w:spacing w:line="240" w:lineRule="auto"/>
              <w:ind w:left="33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5910F002" w14:textId="77777777" w:rsidR="009E1A63" w:rsidRPr="0063713C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79D46FD0" w14:textId="77777777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E1A63" w:rsidRPr="0063713C" w14:paraId="2B958AB1" w14:textId="77777777" w:rsidTr="00F408E8">
        <w:tc>
          <w:tcPr>
            <w:tcW w:w="531" w:type="dxa"/>
            <w:shd w:val="clear" w:color="auto" w:fill="auto"/>
          </w:tcPr>
          <w:p w14:paraId="5755F6F3" w14:textId="7A6FF683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7EFA8A3" w14:textId="77777777" w:rsidR="009E1A63" w:rsidRPr="0063713C" w:rsidRDefault="009E1A63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0FFAF8EB" w14:textId="5D336BC5" w:rsidR="009E1A63" w:rsidRPr="0063713C" w:rsidRDefault="009E1A63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Feststellung, welche(s) Mitglied(er) der Geschäftsleitung für die Funktion Risikokontrolle zuständig ist/sind, und Beurteilung, ob uneingeschränkte Auskunfts-, Zugangs- und Einsichtsrechte für die unabhängige Kontrollinstanz gewährleistet sind (Rz 64 und 65 FINMA-RS 17/1)</w:t>
            </w:r>
          </w:p>
        </w:tc>
        <w:tc>
          <w:tcPr>
            <w:tcW w:w="3827" w:type="dxa"/>
            <w:shd w:val="clear" w:color="auto" w:fill="auto"/>
          </w:tcPr>
          <w:p w14:paraId="2A2C17D4" w14:textId="77777777" w:rsidR="009E1A63" w:rsidRPr="0063713C" w:rsidRDefault="009E1A63" w:rsidP="007C4D48">
            <w:pPr>
              <w:spacing w:line="240" w:lineRule="auto"/>
              <w:ind w:left="33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789AEC4A" w14:textId="77777777" w:rsidR="009E1A63" w:rsidRPr="0063713C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A67CFA3" w14:textId="77777777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C6473E" w:rsidRPr="00C6473E" w14:paraId="6A75777B" w14:textId="77777777" w:rsidTr="00F408E8">
        <w:tc>
          <w:tcPr>
            <w:tcW w:w="531" w:type="dxa"/>
            <w:shd w:val="clear" w:color="auto" w:fill="auto"/>
          </w:tcPr>
          <w:p w14:paraId="22F6600D" w14:textId="2AE9EA2D" w:rsidR="009E1A63" w:rsidRPr="00C6473E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0CF8B97" w14:textId="77777777" w:rsidR="009E1A63" w:rsidRPr="00C6473E" w:rsidRDefault="009E1A63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152B1AE4" w14:textId="6EC52033" w:rsidR="009E1A63" w:rsidRPr="00C6473E" w:rsidRDefault="009E1A63" w:rsidP="004C7FBD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6473E">
              <w:rPr>
                <w:lang w:val="de-CH"/>
              </w:rPr>
              <w:t>Beurteilung, ob das Vergütungssystem für Mitarbeitende der Funktion Risikokontrolle (z.B. Löhne, Boni, Honorare) Anreize setzt, die zu Interessenkonflikten führen können (Rz 63 FINMA-RS 17/1)</w:t>
            </w:r>
          </w:p>
        </w:tc>
        <w:tc>
          <w:tcPr>
            <w:tcW w:w="3827" w:type="dxa"/>
            <w:shd w:val="clear" w:color="auto" w:fill="auto"/>
          </w:tcPr>
          <w:p w14:paraId="31B35A0C" w14:textId="0D52CD48" w:rsidR="009E1A63" w:rsidRPr="00C6473E" w:rsidRDefault="00FA7405" w:rsidP="00FA7405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C6473E">
              <w:rPr>
                <w:lang w:val="de-CH"/>
              </w:rPr>
              <w:t xml:space="preserve">Durchführung von aussagebezogenen </w:t>
            </w:r>
            <w:proofErr w:type="gramStart"/>
            <w:r w:rsidRPr="00C6473E">
              <w:rPr>
                <w:lang w:val="de-CH"/>
              </w:rPr>
              <w:t>Prüfungshandlungen</w:t>
            </w:r>
            <w:proofErr w:type="gramEnd"/>
            <w:r w:rsidRPr="00C6473E">
              <w:rPr>
                <w:lang w:val="de-CH"/>
              </w:rPr>
              <w:t xml:space="preserve"> um zu bestätigen, dass die Entschädigung der Mitarbeitenden der Funktion Risikokontrolle nicht vom Resultat einzelner Produkte oder Transaktionen abhängig ist</w:t>
            </w:r>
          </w:p>
        </w:tc>
        <w:tc>
          <w:tcPr>
            <w:tcW w:w="3686" w:type="dxa"/>
            <w:shd w:val="clear" w:color="auto" w:fill="auto"/>
          </w:tcPr>
          <w:p w14:paraId="48924132" w14:textId="77777777" w:rsidR="009E1A63" w:rsidRPr="00C6473E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2DDBF5E7" w14:textId="77777777" w:rsidR="009E1A63" w:rsidRPr="00C6473E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E1A63" w:rsidRPr="0063713C" w14:paraId="5A91F534" w14:textId="77777777" w:rsidTr="00F408E8">
        <w:tc>
          <w:tcPr>
            <w:tcW w:w="531" w:type="dxa"/>
            <w:shd w:val="clear" w:color="auto" w:fill="auto"/>
          </w:tcPr>
          <w:p w14:paraId="15CAB20C" w14:textId="77777777" w:rsidR="009E1A63" w:rsidRPr="00B90D29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C1D2677" w14:textId="77777777" w:rsidR="009E1A63" w:rsidRPr="00B90D29" w:rsidRDefault="009E1A63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25596E3C" w14:textId="3AF4CF1C" w:rsidR="009E1A63" w:rsidRPr="0063713C" w:rsidRDefault="009E1A63" w:rsidP="009E1A63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63713C">
              <w:rPr>
                <w:lang w:val="de-CH"/>
              </w:rPr>
              <w:t>Beurteilung, ob die Risikokontrolle (unabhängige Kontrollinstanz) über einen direkten Zugang zum Oberleitungsorgan verfügt (Rz 66 FINMA-RS 17/1)</w:t>
            </w:r>
          </w:p>
        </w:tc>
        <w:tc>
          <w:tcPr>
            <w:tcW w:w="3827" w:type="dxa"/>
            <w:shd w:val="clear" w:color="auto" w:fill="auto"/>
          </w:tcPr>
          <w:p w14:paraId="72E6C6D1" w14:textId="77777777" w:rsidR="009E1A63" w:rsidRPr="0063713C" w:rsidRDefault="009E1A63" w:rsidP="00606203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1A6623A8" w14:textId="77777777" w:rsidR="009E1A63" w:rsidRPr="0063713C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5B72B4E1" w14:textId="77777777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E01F1B" w:rsidRPr="00B90D29" w14:paraId="2C4D8464" w14:textId="77777777" w:rsidTr="00F408E8">
        <w:tc>
          <w:tcPr>
            <w:tcW w:w="531" w:type="dxa"/>
            <w:shd w:val="clear" w:color="auto" w:fill="auto"/>
          </w:tcPr>
          <w:p w14:paraId="79B4142C" w14:textId="77777777" w:rsidR="00E01F1B" w:rsidRPr="0063713C" w:rsidRDefault="00E01F1B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C76E46F" w14:textId="77777777" w:rsidR="00E01F1B" w:rsidRPr="0063713C" w:rsidRDefault="00E01F1B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482620F5" w14:textId="5239EAFB" w:rsidR="00E01F1B" w:rsidRPr="0063713C" w:rsidDel="00C548A6" w:rsidRDefault="00E01F1B" w:rsidP="00ED7CEA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 w:rsidRPr="008F3CCA">
              <w:rPr>
                <w:b/>
                <w:sz w:val="28"/>
                <w:lang w:val="de-CH"/>
              </w:rPr>
              <w:t>*</w:t>
            </w:r>
            <w:r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>Beurteilung, ob</w:t>
            </w:r>
            <w:r>
              <w:rPr>
                <w:lang w:val="de-CH"/>
              </w:rPr>
              <w:t xml:space="preserve"> </w:t>
            </w:r>
            <w:r w:rsidRPr="0063713C">
              <w:rPr>
                <w:lang w:val="de-CH"/>
              </w:rPr>
              <w:t xml:space="preserve">eine eigenständige Risikokontrolle als unabhängige Kontrollinstanz besteht und ein für diese Instanz zuständiger </w:t>
            </w:r>
            <w:r w:rsidRPr="00E25526">
              <w:rPr>
                <w:i/>
                <w:iCs/>
                <w:lang w:val="de-CH"/>
              </w:rPr>
              <w:t>Chief Risk Officer</w:t>
            </w:r>
            <w:r w:rsidRPr="0063713C">
              <w:rPr>
                <w:lang w:val="de-CH"/>
              </w:rPr>
              <w:t xml:space="preserve"> bestimmt wurde (</w:t>
            </w:r>
            <w:r>
              <w:rPr>
                <w:lang w:val="de-CH"/>
              </w:rPr>
              <w:t>Rz 67 FINMA-RS 17/1</w:t>
            </w:r>
            <w:r w:rsidRPr="0063713C">
              <w:rPr>
                <w:lang w:val="de-CH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79CB3E67" w14:textId="77777777" w:rsidR="00E01F1B" w:rsidRPr="00B90D29" w:rsidRDefault="00E01F1B" w:rsidP="00606203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0525E8BD" w14:textId="77777777" w:rsidR="00E01F1B" w:rsidRPr="00B90D29" w:rsidRDefault="00E01F1B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1A5E3CC1" w14:textId="77777777" w:rsidR="00E01F1B" w:rsidRPr="00B90D29" w:rsidRDefault="00E01F1B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9E1A63" w:rsidRPr="00B90D29" w14:paraId="2113EA42" w14:textId="77777777" w:rsidTr="00F408E8">
        <w:tc>
          <w:tcPr>
            <w:tcW w:w="531" w:type="dxa"/>
            <w:shd w:val="clear" w:color="auto" w:fill="auto"/>
          </w:tcPr>
          <w:p w14:paraId="062CA205" w14:textId="77777777" w:rsidR="009E1A63" w:rsidRPr="0063713C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950559B" w14:textId="77777777" w:rsidR="009E1A63" w:rsidRPr="0063713C" w:rsidRDefault="009E1A63" w:rsidP="00BB76C4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2A4F34F7" w14:textId="77777777" w:rsidR="004C3B71" w:rsidRDefault="004C3B71" w:rsidP="004C3B7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>Anwendbar nur f</w:t>
            </w:r>
            <w:r w:rsidR="00C6473E" w:rsidRPr="004C3B71">
              <w:rPr>
                <w:lang w:val="de-CH"/>
              </w:rPr>
              <w:t>ür systemrelevante Institute:</w:t>
            </w:r>
            <w:r w:rsidR="00C6473E" w:rsidRPr="004D33B3">
              <w:rPr>
                <w:lang w:val="de-CH"/>
              </w:rPr>
              <w:t xml:space="preserve"> </w:t>
            </w:r>
          </w:p>
          <w:p w14:paraId="19F11991" w14:textId="0FE02F62" w:rsidR="009E1A63" w:rsidRPr="0063713C" w:rsidRDefault="004C3B71" w:rsidP="004C3B71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  <w:r>
              <w:rPr>
                <w:lang w:val="de-CH"/>
              </w:rPr>
              <w:t xml:space="preserve">Beurteilung, ob </w:t>
            </w:r>
            <w:r w:rsidR="00505CD9" w:rsidRPr="0063713C">
              <w:rPr>
                <w:lang w:val="de-CH"/>
              </w:rPr>
              <w:t>e</w:t>
            </w:r>
            <w:r w:rsidR="009E1A63" w:rsidRPr="0063713C">
              <w:rPr>
                <w:lang w:val="de-CH"/>
              </w:rPr>
              <w:t xml:space="preserve">in </w:t>
            </w:r>
            <w:r w:rsidR="009E1A63" w:rsidRPr="00E25526">
              <w:rPr>
                <w:i/>
                <w:iCs/>
                <w:lang w:val="de-CH"/>
              </w:rPr>
              <w:t>Chief Risk Officer</w:t>
            </w:r>
            <w:r w:rsidR="009E1A63" w:rsidRPr="0063713C">
              <w:rPr>
                <w:lang w:val="de-CH"/>
              </w:rPr>
              <w:t xml:space="preserve">, </w:t>
            </w:r>
            <w:proofErr w:type="gramStart"/>
            <w:r w:rsidR="009E1A63" w:rsidRPr="0063713C">
              <w:rPr>
                <w:lang w:val="de-CH"/>
              </w:rPr>
              <w:t>welcher Mitglied</w:t>
            </w:r>
            <w:proofErr w:type="gramEnd"/>
            <w:r w:rsidR="009E1A63" w:rsidRPr="0063713C">
              <w:rPr>
                <w:lang w:val="de-CH"/>
              </w:rPr>
              <w:t xml:space="preserve"> der Geschäftsleitung ist, bestimmt wurde (</w:t>
            </w:r>
            <w:r w:rsidR="00C548A6">
              <w:rPr>
                <w:lang w:val="de-CH"/>
              </w:rPr>
              <w:t>Rz 68 FINMA-RS 17/1</w:t>
            </w:r>
            <w:r w:rsidR="00F3062A">
              <w:rPr>
                <w:lang w:val="de-CH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516E85B3" w14:textId="77777777" w:rsidR="009E1A63" w:rsidRPr="00B90D29" w:rsidRDefault="009E1A63" w:rsidP="00606203">
            <w:pPr>
              <w:pStyle w:val="Bullet"/>
              <w:numPr>
                <w:ilvl w:val="0"/>
                <w:numId w:val="0"/>
              </w:numPr>
              <w:ind w:left="33"/>
              <w:rPr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14:paraId="180BFC72" w14:textId="77777777" w:rsidR="009E1A63" w:rsidRPr="00B90D29" w:rsidRDefault="009E1A63" w:rsidP="00371281">
            <w:pPr>
              <w:pStyle w:val="Bullet"/>
              <w:numPr>
                <w:ilvl w:val="0"/>
                <w:numId w:val="0"/>
              </w:numPr>
              <w:rPr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1EE061C8" w14:textId="77777777" w:rsidR="009E1A63" w:rsidRPr="00B90D29" w:rsidRDefault="009E1A63" w:rsidP="001B3543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14:paraId="37759E59" w14:textId="441F62AE" w:rsidR="00A018BA" w:rsidRPr="00B90D29" w:rsidRDefault="00A018BA" w:rsidP="00A018BA">
      <w:pPr>
        <w:spacing w:before="0" w:after="200"/>
        <w:rPr>
          <w:rFonts w:cs="Arial"/>
          <w:b/>
          <w:lang w:val="de-CH"/>
        </w:rPr>
      </w:pPr>
    </w:p>
    <w:p w14:paraId="7DDA491F" w14:textId="77777777" w:rsidR="00A018BA" w:rsidRPr="00B90D29" w:rsidRDefault="00A018BA" w:rsidP="00A018BA">
      <w:pPr>
        <w:rPr>
          <w:rFonts w:ascii="EYInterstate Light" w:hAnsi="EYInterstate Light"/>
          <w:lang w:val="de-CH"/>
        </w:rPr>
      </w:pPr>
    </w:p>
    <w:p w14:paraId="3A342AB1" w14:textId="77777777" w:rsidR="009F683E" w:rsidRPr="00B90D29" w:rsidRDefault="00513348" w:rsidP="00F6760D">
      <w:pPr>
        <w:spacing w:before="240"/>
        <w:jc w:val="center"/>
        <w:rPr>
          <w:rFonts w:cs="Arial"/>
          <w:lang w:val="de-CH"/>
        </w:rPr>
      </w:pPr>
      <w:r w:rsidRPr="00B90D29">
        <w:rPr>
          <w:lang w:val="de-CH"/>
        </w:rPr>
        <w:t>*********************************</w:t>
      </w:r>
    </w:p>
    <w:sectPr w:rsidR="009F683E" w:rsidRPr="00B90D29" w:rsidSect="00E23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135" w:left="1134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2DA3" w14:textId="77777777" w:rsidR="004C05BF" w:rsidRDefault="004C05BF" w:rsidP="0073176F">
      <w:pPr>
        <w:spacing w:after="0" w:line="240" w:lineRule="auto"/>
      </w:pPr>
      <w:r>
        <w:separator/>
      </w:r>
    </w:p>
  </w:endnote>
  <w:endnote w:type="continuationSeparator" w:id="0">
    <w:p w14:paraId="51FF24AE" w14:textId="77777777" w:rsidR="004C05BF" w:rsidRDefault="004C05BF" w:rsidP="0073176F">
      <w:pPr>
        <w:spacing w:after="0" w:line="240" w:lineRule="auto"/>
      </w:pPr>
      <w:r>
        <w:continuationSeparator/>
      </w:r>
    </w:p>
  </w:endnote>
  <w:endnote w:type="continuationNotice" w:id="1">
    <w:p w14:paraId="59F1E546" w14:textId="77777777" w:rsidR="004C05BF" w:rsidRDefault="004C05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D12" w14:textId="77777777" w:rsidR="00667B92" w:rsidRDefault="00667B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54E6" w14:textId="6B985A8A" w:rsidR="005654C3" w:rsidRPr="004C7FBD" w:rsidRDefault="00094C73" w:rsidP="00094C73">
    <w:pPr>
      <w:pStyle w:val="Pieddepage"/>
      <w:tabs>
        <w:tab w:val="clear" w:pos="9072"/>
        <w:tab w:val="right" w:pos="14317"/>
      </w:tabs>
      <w:rPr>
        <w:rFonts w:cs="Arial"/>
        <w:sz w:val="16"/>
        <w:szCs w:val="16"/>
      </w:rPr>
    </w:pPr>
    <w:r w:rsidRPr="004C7FBD">
      <w:rPr>
        <w:rFonts w:cs="Arial"/>
        <w:sz w:val="16"/>
        <w:szCs w:val="16"/>
      </w:rPr>
      <w:t>Für das Prüf</w:t>
    </w:r>
    <w:r w:rsidR="00EE1E3E">
      <w:rPr>
        <w:rFonts w:cs="Arial"/>
        <w:sz w:val="16"/>
        <w:szCs w:val="16"/>
      </w:rPr>
      <w:t>feld</w:t>
    </w:r>
    <w:r w:rsidRPr="004C7FBD">
      <w:rPr>
        <w:rFonts w:cs="Arial"/>
        <w:sz w:val="16"/>
        <w:szCs w:val="16"/>
      </w:rPr>
      <w:t xml:space="preserve"> „</w:t>
    </w:r>
    <w:r w:rsidRPr="00326F5E">
      <w:rPr>
        <w:sz w:val="16"/>
        <w:szCs w:val="16"/>
      </w:rPr>
      <w:t>Zentrale Funktionen zur Risikokontrolle und Risikominderung</w:t>
    </w:r>
    <w:r w:rsidRPr="004C7FBD">
      <w:rPr>
        <w:rFonts w:cs="Arial"/>
        <w:sz w:val="16"/>
        <w:szCs w:val="16"/>
      </w:rPr>
      <w:t>“ anwendbare Prüfungshandlungen</w:t>
    </w:r>
  </w:p>
  <w:p w14:paraId="5251AD3B" w14:textId="52953CEF" w:rsidR="005654C3" w:rsidRPr="0045532C" w:rsidRDefault="00224379" w:rsidP="00D247FF">
    <w:pPr>
      <w:pStyle w:val="Pieddepage"/>
      <w:tabs>
        <w:tab w:val="clear" w:pos="9072"/>
        <w:tab w:val="right" w:pos="14317"/>
      </w:tabs>
      <w:rPr>
        <w:rFonts w:cs="Arial"/>
        <w:sz w:val="16"/>
        <w:szCs w:val="16"/>
      </w:rPr>
    </w:pPr>
    <w:r>
      <w:rPr>
        <w:sz w:val="16"/>
      </w:rPr>
      <w:t xml:space="preserve">Version </w:t>
    </w:r>
    <w:r w:rsidR="00A051FE">
      <w:rPr>
        <w:sz w:val="16"/>
      </w:rPr>
      <w:t xml:space="preserve">vom 15. März </w:t>
    </w:r>
    <w:r w:rsidR="005F03A2">
      <w:rPr>
        <w:sz w:val="16"/>
      </w:rPr>
      <w:t>2025</w:t>
    </w:r>
    <w:r w:rsidR="00440936">
      <w:rPr>
        <w:sz w:val="16"/>
      </w:rPr>
      <w:t>, anwendbar ab Prüfperiode 20</w:t>
    </w:r>
    <w:r w:rsidR="00C548A6">
      <w:rPr>
        <w:sz w:val="16"/>
      </w:rPr>
      <w:t>2</w:t>
    </w:r>
    <w:r w:rsidR="005F03A2">
      <w:rPr>
        <w:sz w:val="16"/>
      </w:rPr>
      <w:t>5</w:t>
    </w:r>
    <w:r w:rsidR="00440936">
      <w:rPr>
        <w:sz w:val="16"/>
      </w:rPr>
      <w:t xml:space="preserve"> </w:t>
    </w:r>
    <w:r w:rsidR="006A167C">
      <w:rPr>
        <w:sz w:val="16"/>
      </w:rPr>
      <w:t>(Prüfjahre beginnend am 1.</w:t>
    </w:r>
    <w:r w:rsidR="005F03A2">
      <w:rPr>
        <w:sz w:val="16"/>
      </w:rPr>
      <w:t xml:space="preserve"> Januar 2025</w:t>
    </w:r>
    <w:r w:rsidR="006A167C">
      <w:rPr>
        <w:sz w:val="16"/>
      </w:rPr>
      <w:t xml:space="preserve"> oder später)</w:t>
    </w:r>
    <w:r w:rsidR="00554327">
      <w:tab/>
    </w:r>
    <w:r w:rsidR="005654C3">
      <w:rPr>
        <w:sz w:val="16"/>
      </w:rPr>
      <w:t xml:space="preserve">Seite </w:t>
    </w:r>
    <w:r w:rsidR="005654C3" w:rsidRPr="0045532C">
      <w:rPr>
        <w:rFonts w:cs="Arial"/>
        <w:sz w:val="16"/>
        <w:szCs w:val="16"/>
      </w:rPr>
      <w:fldChar w:fldCharType="begin"/>
    </w:r>
    <w:r w:rsidR="005654C3" w:rsidRPr="0045532C">
      <w:rPr>
        <w:rFonts w:cs="Arial"/>
        <w:sz w:val="16"/>
        <w:szCs w:val="16"/>
      </w:rPr>
      <w:instrText xml:space="preserve"> PAGE   \* MERGEFORMAT </w:instrText>
    </w:r>
    <w:r w:rsidR="005654C3" w:rsidRPr="0045532C">
      <w:rPr>
        <w:rFonts w:cs="Arial"/>
        <w:sz w:val="16"/>
        <w:szCs w:val="16"/>
      </w:rPr>
      <w:fldChar w:fldCharType="separate"/>
    </w:r>
    <w:r w:rsidR="00BF2235">
      <w:rPr>
        <w:rFonts w:cs="Arial"/>
        <w:noProof/>
        <w:sz w:val="16"/>
        <w:szCs w:val="16"/>
      </w:rPr>
      <w:t>4</w:t>
    </w:r>
    <w:r w:rsidR="005654C3" w:rsidRPr="0045532C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2D8A" w14:textId="77777777" w:rsidR="00667B92" w:rsidRDefault="00667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4197" w14:textId="77777777" w:rsidR="004C05BF" w:rsidRDefault="004C05BF" w:rsidP="0073176F">
      <w:pPr>
        <w:spacing w:after="0" w:line="240" w:lineRule="auto"/>
      </w:pPr>
      <w:r>
        <w:separator/>
      </w:r>
    </w:p>
  </w:footnote>
  <w:footnote w:type="continuationSeparator" w:id="0">
    <w:p w14:paraId="007B8981" w14:textId="77777777" w:rsidR="004C05BF" w:rsidRDefault="004C05BF" w:rsidP="0073176F">
      <w:pPr>
        <w:spacing w:after="0" w:line="240" w:lineRule="auto"/>
      </w:pPr>
      <w:r>
        <w:continuationSeparator/>
      </w:r>
    </w:p>
  </w:footnote>
  <w:footnote w:type="continuationNotice" w:id="1">
    <w:p w14:paraId="057498BC" w14:textId="77777777" w:rsidR="004C05BF" w:rsidRDefault="004C05BF">
      <w:pPr>
        <w:spacing w:before="0" w:after="0" w:line="240" w:lineRule="auto"/>
      </w:pPr>
    </w:p>
  </w:footnote>
  <w:footnote w:id="2">
    <w:p w14:paraId="3FE8B1BA" w14:textId="214FDB0F" w:rsidR="009A6740" w:rsidRPr="00AE10FC" w:rsidRDefault="009A6740" w:rsidP="009A6740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>
        <w:t xml:space="preserve"> </w:t>
      </w:r>
      <w:bookmarkStart w:id="0" w:name="_Hlk191391812"/>
      <w:r w:rsidR="005F03A2">
        <w:t xml:space="preserve">Art. 10 Abs. 2 und 3 </w:t>
      </w:r>
      <w:r w:rsidR="00667B92" w:rsidRPr="00341473">
        <w:t>Aufsichtsprüfverordnung FINMA</w:t>
      </w:r>
      <w:r w:rsidR="00667B92">
        <w:t xml:space="preserve"> </w:t>
      </w:r>
      <w:r w:rsidR="00667B92" w:rsidRPr="00952962">
        <w:t>vom 31. Oktober 2024</w:t>
      </w:r>
      <w:r w:rsidR="00667B92">
        <w:t xml:space="preserve"> (SR </w:t>
      </w:r>
      <w:r w:rsidR="00667B92" w:rsidRPr="007A370C">
        <w:rPr>
          <w:i/>
          <w:iCs/>
        </w:rPr>
        <w:t>956.161.1</w:t>
      </w:r>
      <w:r w:rsidR="00667B92">
        <w:t>)</w:t>
      </w:r>
      <w:bookmarkEnd w:id="0"/>
    </w:p>
  </w:footnote>
  <w:footnote w:id="3">
    <w:p w14:paraId="5648826A" w14:textId="3908AF04" w:rsidR="00C548A6" w:rsidRPr="00AC006D" w:rsidRDefault="00C548A6">
      <w:pPr>
        <w:pStyle w:val="Notedebasdepage"/>
        <w:rPr>
          <w:lang w:val="de-CH"/>
        </w:rPr>
      </w:pPr>
      <w:r w:rsidRPr="00E01F1B">
        <w:rPr>
          <w:rStyle w:val="Appelnotedebasdep"/>
          <w:sz w:val="16"/>
        </w:rPr>
        <w:footnoteRef/>
      </w:r>
      <w:r w:rsidRPr="00E01F1B">
        <w:rPr>
          <w:sz w:val="16"/>
        </w:rPr>
        <w:t xml:space="preserve"> </w:t>
      </w:r>
      <w:r w:rsidRPr="00E01F1B">
        <w:rPr>
          <w:sz w:val="16"/>
          <w:lang w:val="de-CH"/>
        </w:rPr>
        <w:t>Banken im Kleinbankenregime haben mindestens Szenarioanalysen durchzuführen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A95F" w14:textId="77777777" w:rsidR="00667B92" w:rsidRDefault="00667B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AE87" w14:textId="1B71427C" w:rsidR="005654C3" w:rsidRPr="0045532C" w:rsidRDefault="005654C3" w:rsidP="004C7FBD">
    <w:pPr>
      <w:pStyle w:val="En-tte"/>
      <w:tabs>
        <w:tab w:val="clear" w:pos="4536"/>
        <w:tab w:val="clear" w:pos="9072"/>
        <w:tab w:val="left" w:pos="3969"/>
        <w:tab w:val="right" w:pos="14317"/>
      </w:tabs>
      <w:rPr>
        <w:rFonts w:cs="Arial"/>
        <w:sz w:val="14"/>
        <w:szCs w:val="16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1" locked="0" layoutInCell="1" allowOverlap="1" wp14:anchorId="16F461E5" wp14:editId="4C4A554C">
          <wp:simplePos x="0" y="0"/>
          <wp:positionH relativeFrom="column">
            <wp:posOffset>7500620</wp:posOffset>
          </wp:positionH>
          <wp:positionV relativeFrom="paragraph">
            <wp:posOffset>-20955</wp:posOffset>
          </wp:positionV>
          <wp:extent cx="1784350" cy="717550"/>
          <wp:effectExtent l="0" t="0" r="6350" b="6350"/>
          <wp:wrapTight wrapText="bothSides">
            <wp:wrapPolygon edited="0">
              <wp:start x="0" y="0"/>
              <wp:lineTo x="0" y="21218"/>
              <wp:lineTo x="21446" y="21218"/>
              <wp:lineTo x="214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Logo_FIN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highlight w:val="yellow"/>
      </w:rPr>
      <w:t>[Institut XY]</w:t>
    </w:r>
    <w:r>
      <w:tab/>
    </w:r>
    <w:r>
      <w:rPr>
        <w:sz w:val="16"/>
      </w:rPr>
      <w:t xml:space="preserve">Referenz: </w:t>
    </w:r>
    <w:r>
      <w:rPr>
        <w:sz w:val="16"/>
        <w:highlight w:val="yellow"/>
      </w:rPr>
      <w:t>[Referenz hinzufügen]</w:t>
    </w:r>
  </w:p>
  <w:p w14:paraId="6E264DE0" w14:textId="63104F8F" w:rsidR="005654C3" w:rsidRPr="00E82754" w:rsidRDefault="005654C3" w:rsidP="004C7FBD">
    <w:pPr>
      <w:pStyle w:val="En-tte"/>
      <w:tabs>
        <w:tab w:val="clear" w:pos="4536"/>
        <w:tab w:val="clear" w:pos="9072"/>
        <w:tab w:val="left" w:pos="3969"/>
        <w:tab w:val="right" w:pos="14317"/>
      </w:tabs>
      <w:rPr>
        <w:rFonts w:cs="Arial"/>
        <w:b/>
        <w:sz w:val="16"/>
        <w:szCs w:val="16"/>
      </w:rPr>
    </w:pPr>
    <w:r w:rsidRPr="008D684E">
      <w:rPr>
        <w:sz w:val="16"/>
        <w:szCs w:val="16"/>
      </w:rPr>
      <w:t>Prüfperiode</w:t>
    </w:r>
    <w:r w:rsidRPr="00E82754">
      <w:rPr>
        <w:sz w:val="16"/>
        <w:szCs w:val="16"/>
      </w:rPr>
      <w:t xml:space="preserve"> </w:t>
    </w:r>
    <w:r w:rsidRPr="00E82754">
      <w:rPr>
        <w:sz w:val="16"/>
        <w:szCs w:val="16"/>
        <w:highlight w:val="yellow"/>
      </w:rPr>
      <w:t>20XX</w:t>
    </w:r>
    <w:r w:rsidRPr="008D684E">
      <w:rPr>
        <w:sz w:val="16"/>
        <w:szCs w:val="16"/>
      </w:rPr>
      <w:tab/>
    </w:r>
    <w:r w:rsidRPr="00E82754">
      <w:rPr>
        <w:b/>
        <w:sz w:val="16"/>
        <w:szCs w:val="16"/>
      </w:rPr>
      <w:t>Zentrale Funktionen zur Risikokontrolle</w:t>
    </w:r>
  </w:p>
  <w:p w14:paraId="4E868C9A" w14:textId="77777777" w:rsidR="005654C3" w:rsidRDefault="005654C3" w:rsidP="009D5487">
    <w:pPr>
      <w:pStyle w:val="En-tte"/>
      <w:tabs>
        <w:tab w:val="clear" w:pos="9072"/>
        <w:tab w:val="right" w:pos="14317"/>
      </w:tabs>
      <w:rPr>
        <w:rFonts w:cs="Arial"/>
        <w:b/>
        <w:sz w:val="16"/>
        <w:szCs w:val="16"/>
      </w:rPr>
    </w:pPr>
  </w:p>
  <w:p w14:paraId="1ACCBE19" w14:textId="77777777" w:rsidR="005654C3" w:rsidRDefault="005654C3" w:rsidP="009D5487">
    <w:pPr>
      <w:pStyle w:val="En-tte"/>
      <w:tabs>
        <w:tab w:val="clear" w:pos="9072"/>
        <w:tab w:val="right" w:pos="14317"/>
      </w:tabs>
      <w:rPr>
        <w:rFonts w:cs="Arial"/>
        <w:b/>
        <w:sz w:val="16"/>
        <w:szCs w:val="16"/>
      </w:rPr>
    </w:pPr>
  </w:p>
  <w:p w14:paraId="3BA589DE" w14:textId="77777777" w:rsidR="005654C3" w:rsidRPr="0045532C" w:rsidRDefault="005654C3" w:rsidP="009D5487">
    <w:pPr>
      <w:pStyle w:val="En-tte"/>
      <w:tabs>
        <w:tab w:val="clear" w:pos="9072"/>
        <w:tab w:val="right" w:pos="14317"/>
      </w:tabs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6DE9" w14:textId="77777777" w:rsidR="00667B92" w:rsidRDefault="00667B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276"/>
    <w:multiLevelType w:val="multilevel"/>
    <w:tmpl w:val="545A961C"/>
    <w:styleLink w:val="ListePP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203E20BD"/>
    <w:multiLevelType w:val="multilevel"/>
    <w:tmpl w:val="545A961C"/>
    <w:numStyleLink w:val="ListePP"/>
  </w:abstractNum>
  <w:abstractNum w:abstractNumId="2" w15:restartNumberingAfterBreak="0">
    <w:nsid w:val="33A86BBF"/>
    <w:multiLevelType w:val="hybridMultilevel"/>
    <w:tmpl w:val="1D76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171"/>
    <w:multiLevelType w:val="hybridMultilevel"/>
    <w:tmpl w:val="78D62A5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0EFF"/>
    <w:multiLevelType w:val="hybridMultilevel"/>
    <w:tmpl w:val="E862B470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8727F15"/>
    <w:multiLevelType w:val="hybridMultilevel"/>
    <w:tmpl w:val="5E60E3B8"/>
    <w:lvl w:ilvl="0" w:tplc="0700CF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875C5"/>
    <w:multiLevelType w:val="hybridMultilevel"/>
    <w:tmpl w:val="627CA638"/>
    <w:lvl w:ilvl="0" w:tplc="A6F2005E">
      <w:numFmt w:val="bullet"/>
      <w:lvlText w:val=""/>
      <w:lvlJc w:val="left"/>
      <w:pPr>
        <w:ind w:left="393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5B34218B"/>
    <w:multiLevelType w:val="hybridMultilevel"/>
    <w:tmpl w:val="08284DB2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D5C5130"/>
    <w:multiLevelType w:val="hybridMultilevel"/>
    <w:tmpl w:val="5AFE4992"/>
    <w:lvl w:ilvl="0" w:tplc="245E82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43C0A"/>
    <w:multiLevelType w:val="hybridMultilevel"/>
    <w:tmpl w:val="1092EC7C"/>
    <w:lvl w:ilvl="0" w:tplc="1B5E3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6554">
    <w:abstractNumId w:val="0"/>
  </w:num>
  <w:num w:numId="2" w16cid:durableId="1493063468">
    <w:abstractNumId w:val="1"/>
    <w:lvlOverride w:ilvl="0">
      <w:lvl w:ilvl="0">
        <w:start w:val="1"/>
        <w:numFmt w:val="upperLetter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357" w:hanging="357"/>
        </w:pPr>
        <w:rPr>
          <w:rFonts w:ascii="EYInterstate" w:hAnsi="EYInterstat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3" w16cid:durableId="1338850266">
    <w:abstractNumId w:val="10"/>
  </w:num>
  <w:num w:numId="4" w16cid:durableId="2049986360">
    <w:abstractNumId w:val="8"/>
  </w:num>
  <w:num w:numId="5" w16cid:durableId="1936552690">
    <w:abstractNumId w:val="5"/>
  </w:num>
  <w:num w:numId="6" w16cid:durableId="1019545161">
    <w:abstractNumId w:val="10"/>
  </w:num>
  <w:num w:numId="7" w16cid:durableId="1825663271">
    <w:abstractNumId w:val="10"/>
  </w:num>
  <w:num w:numId="8" w16cid:durableId="1483354963">
    <w:abstractNumId w:val="10"/>
  </w:num>
  <w:num w:numId="9" w16cid:durableId="1140265507">
    <w:abstractNumId w:val="10"/>
  </w:num>
  <w:num w:numId="10" w16cid:durableId="1551303373">
    <w:abstractNumId w:val="10"/>
  </w:num>
  <w:num w:numId="11" w16cid:durableId="100148950">
    <w:abstractNumId w:val="10"/>
  </w:num>
  <w:num w:numId="12" w16cid:durableId="601107195">
    <w:abstractNumId w:val="10"/>
  </w:num>
  <w:num w:numId="13" w16cid:durableId="1107887665">
    <w:abstractNumId w:val="10"/>
  </w:num>
  <w:num w:numId="14" w16cid:durableId="1369987193">
    <w:abstractNumId w:val="10"/>
  </w:num>
  <w:num w:numId="15" w16cid:durableId="911046510">
    <w:abstractNumId w:val="10"/>
  </w:num>
  <w:num w:numId="16" w16cid:durableId="268586199">
    <w:abstractNumId w:val="10"/>
  </w:num>
  <w:num w:numId="17" w16cid:durableId="1894804527">
    <w:abstractNumId w:val="10"/>
  </w:num>
  <w:num w:numId="18" w16cid:durableId="658774333">
    <w:abstractNumId w:val="10"/>
  </w:num>
  <w:num w:numId="19" w16cid:durableId="1110709213">
    <w:abstractNumId w:val="10"/>
  </w:num>
  <w:num w:numId="20" w16cid:durableId="1448280689">
    <w:abstractNumId w:val="10"/>
  </w:num>
  <w:num w:numId="21" w16cid:durableId="69819066">
    <w:abstractNumId w:val="10"/>
  </w:num>
  <w:num w:numId="22" w16cid:durableId="424765457">
    <w:abstractNumId w:val="9"/>
  </w:num>
  <w:num w:numId="23" w16cid:durableId="233928625">
    <w:abstractNumId w:val="10"/>
  </w:num>
  <w:num w:numId="24" w16cid:durableId="1281372580">
    <w:abstractNumId w:val="7"/>
  </w:num>
  <w:num w:numId="25" w16cid:durableId="226916993">
    <w:abstractNumId w:val="4"/>
  </w:num>
  <w:num w:numId="26" w16cid:durableId="635455932">
    <w:abstractNumId w:val="10"/>
  </w:num>
  <w:num w:numId="27" w16cid:durableId="1791974960">
    <w:abstractNumId w:val="3"/>
  </w:num>
  <w:num w:numId="28" w16cid:durableId="503283005">
    <w:abstractNumId w:val="2"/>
  </w:num>
  <w:num w:numId="29" w16cid:durableId="546993349">
    <w:abstractNumId w:val="6"/>
  </w:num>
  <w:num w:numId="30" w16cid:durableId="118659508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defaultTabStop w:val="708"/>
  <w:autoHyphenation/>
  <w:hyphenationZone w:val="567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F"/>
    <w:rsid w:val="000038B7"/>
    <w:rsid w:val="00003DEA"/>
    <w:rsid w:val="00004411"/>
    <w:rsid w:val="000046BE"/>
    <w:rsid w:val="000067CF"/>
    <w:rsid w:val="00006BC9"/>
    <w:rsid w:val="00007639"/>
    <w:rsid w:val="00012AEB"/>
    <w:rsid w:val="00012CCD"/>
    <w:rsid w:val="00013CC5"/>
    <w:rsid w:val="00014CAD"/>
    <w:rsid w:val="0001506A"/>
    <w:rsid w:val="00016202"/>
    <w:rsid w:val="00016B0E"/>
    <w:rsid w:val="00016C72"/>
    <w:rsid w:val="00017547"/>
    <w:rsid w:val="00020474"/>
    <w:rsid w:val="000209A9"/>
    <w:rsid w:val="0002133D"/>
    <w:rsid w:val="00022135"/>
    <w:rsid w:val="00022671"/>
    <w:rsid w:val="0002429A"/>
    <w:rsid w:val="00024350"/>
    <w:rsid w:val="000250CF"/>
    <w:rsid w:val="0002624A"/>
    <w:rsid w:val="00030F77"/>
    <w:rsid w:val="0003546F"/>
    <w:rsid w:val="000363B1"/>
    <w:rsid w:val="000366CA"/>
    <w:rsid w:val="00036D65"/>
    <w:rsid w:val="00041BB7"/>
    <w:rsid w:val="000424C9"/>
    <w:rsid w:val="0004253A"/>
    <w:rsid w:val="00047096"/>
    <w:rsid w:val="00047792"/>
    <w:rsid w:val="00047C8C"/>
    <w:rsid w:val="00051655"/>
    <w:rsid w:val="000608A8"/>
    <w:rsid w:val="00061BA4"/>
    <w:rsid w:val="000624A4"/>
    <w:rsid w:val="000634CA"/>
    <w:rsid w:val="000645F5"/>
    <w:rsid w:val="00064FCD"/>
    <w:rsid w:val="000652CA"/>
    <w:rsid w:val="00065D05"/>
    <w:rsid w:val="000661B3"/>
    <w:rsid w:val="000735D6"/>
    <w:rsid w:val="000748EA"/>
    <w:rsid w:val="00082C26"/>
    <w:rsid w:val="00082D9B"/>
    <w:rsid w:val="00083C1C"/>
    <w:rsid w:val="00083FB0"/>
    <w:rsid w:val="000843F8"/>
    <w:rsid w:val="00085B58"/>
    <w:rsid w:val="00086E2B"/>
    <w:rsid w:val="00090ADF"/>
    <w:rsid w:val="00090FAF"/>
    <w:rsid w:val="000926CB"/>
    <w:rsid w:val="00093407"/>
    <w:rsid w:val="00094C73"/>
    <w:rsid w:val="00095183"/>
    <w:rsid w:val="00095592"/>
    <w:rsid w:val="000A0B0F"/>
    <w:rsid w:val="000A1BD5"/>
    <w:rsid w:val="000A3CD3"/>
    <w:rsid w:val="000A42AC"/>
    <w:rsid w:val="000A581D"/>
    <w:rsid w:val="000A5CBC"/>
    <w:rsid w:val="000A673C"/>
    <w:rsid w:val="000A6E44"/>
    <w:rsid w:val="000B0AEC"/>
    <w:rsid w:val="000B3D37"/>
    <w:rsid w:val="000B5506"/>
    <w:rsid w:val="000B5B37"/>
    <w:rsid w:val="000B6A11"/>
    <w:rsid w:val="000B7C09"/>
    <w:rsid w:val="000C0BDE"/>
    <w:rsid w:val="000C3E39"/>
    <w:rsid w:val="000C7424"/>
    <w:rsid w:val="000C7D90"/>
    <w:rsid w:val="000D13B1"/>
    <w:rsid w:val="000D398C"/>
    <w:rsid w:val="000D6161"/>
    <w:rsid w:val="000E043C"/>
    <w:rsid w:val="000E110F"/>
    <w:rsid w:val="000E1C2F"/>
    <w:rsid w:val="000E3618"/>
    <w:rsid w:val="000E37FC"/>
    <w:rsid w:val="000E50B3"/>
    <w:rsid w:val="000E590A"/>
    <w:rsid w:val="000E677E"/>
    <w:rsid w:val="000F42F4"/>
    <w:rsid w:val="000F4671"/>
    <w:rsid w:val="00100F5B"/>
    <w:rsid w:val="00106961"/>
    <w:rsid w:val="00107E58"/>
    <w:rsid w:val="0011059F"/>
    <w:rsid w:val="001112D4"/>
    <w:rsid w:val="00111449"/>
    <w:rsid w:val="00111BD5"/>
    <w:rsid w:val="001125B1"/>
    <w:rsid w:val="00117BCC"/>
    <w:rsid w:val="0012026E"/>
    <w:rsid w:val="00121478"/>
    <w:rsid w:val="00121E7A"/>
    <w:rsid w:val="00123E39"/>
    <w:rsid w:val="00124C11"/>
    <w:rsid w:val="00127B56"/>
    <w:rsid w:val="00127C13"/>
    <w:rsid w:val="00130B30"/>
    <w:rsid w:val="00131D47"/>
    <w:rsid w:val="0014034B"/>
    <w:rsid w:val="00142C84"/>
    <w:rsid w:val="00142EE1"/>
    <w:rsid w:val="0014398E"/>
    <w:rsid w:val="0014602F"/>
    <w:rsid w:val="00146B9B"/>
    <w:rsid w:val="00146BD6"/>
    <w:rsid w:val="0014750E"/>
    <w:rsid w:val="00150373"/>
    <w:rsid w:val="001524A9"/>
    <w:rsid w:val="0015290D"/>
    <w:rsid w:val="00153358"/>
    <w:rsid w:val="00155567"/>
    <w:rsid w:val="001610BF"/>
    <w:rsid w:val="00167455"/>
    <w:rsid w:val="0016794B"/>
    <w:rsid w:val="0017032A"/>
    <w:rsid w:val="001737DA"/>
    <w:rsid w:val="00173ED3"/>
    <w:rsid w:val="0017531B"/>
    <w:rsid w:val="00175CF3"/>
    <w:rsid w:val="00182272"/>
    <w:rsid w:val="00183846"/>
    <w:rsid w:val="00185722"/>
    <w:rsid w:val="00185758"/>
    <w:rsid w:val="00187002"/>
    <w:rsid w:val="00191D14"/>
    <w:rsid w:val="0019241A"/>
    <w:rsid w:val="0019390F"/>
    <w:rsid w:val="00194422"/>
    <w:rsid w:val="001950B1"/>
    <w:rsid w:val="001954E8"/>
    <w:rsid w:val="00196009"/>
    <w:rsid w:val="0019797A"/>
    <w:rsid w:val="001A105A"/>
    <w:rsid w:val="001A1AC0"/>
    <w:rsid w:val="001A1B32"/>
    <w:rsid w:val="001A39AF"/>
    <w:rsid w:val="001A45CA"/>
    <w:rsid w:val="001B0E19"/>
    <w:rsid w:val="001B22B3"/>
    <w:rsid w:val="001B2788"/>
    <w:rsid w:val="001B3543"/>
    <w:rsid w:val="001B3A1A"/>
    <w:rsid w:val="001B416F"/>
    <w:rsid w:val="001B4BC1"/>
    <w:rsid w:val="001B763E"/>
    <w:rsid w:val="001C001D"/>
    <w:rsid w:val="001C1216"/>
    <w:rsid w:val="001C22FE"/>
    <w:rsid w:val="001C4063"/>
    <w:rsid w:val="001C7344"/>
    <w:rsid w:val="001C7C95"/>
    <w:rsid w:val="001D0059"/>
    <w:rsid w:val="001D023A"/>
    <w:rsid w:val="001D3F89"/>
    <w:rsid w:val="001D49C0"/>
    <w:rsid w:val="001E0C10"/>
    <w:rsid w:val="001E2A56"/>
    <w:rsid w:val="001E54A7"/>
    <w:rsid w:val="001E6CC8"/>
    <w:rsid w:val="001F264B"/>
    <w:rsid w:val="001F65D0"/>
    <w:rsid w:val="001F77B1"/>
    <w:rsid w:val="001F782E"/>
    <w:rsid w:val="0020088F"/>
    <w:rsid w:val="00201E2E"/>
    <w:rsid w:val="00207C18"/>
    <w:rsid w:val="002104F2"/>
    <w:rsid w:val="0021155E"/>
    <w:rsid w:val="00211A49"/>
    <w:rsid w:val="00211D49"/>
    <w:rsid w:val="00211D75"/>
    <w:rsid w:val="0021403B"/>
    <w:rsid w:val="0021406D"/>
    <w:rsid w:val="002157DE"/>
    <w:rsid w:val="00216358"/>
    <w:rsid w:val="00220745"/>
    <w:rsid w:val="0022183B"/>
    <w:rsid w:val="002219EF"/>
    <w:rsid w:val="0022227C"/>
    <w:rsid w:val="00224379"/>
    <w:rsid w:val="0022521D"/>
    <w:rsid w:val="0022774D"/>
    <w:rsid w:val="002311A4"/>
    <w:rsid w:val="0023405D"/>
    <w:rsid w:val="00234352"/>
    <w:rsid w:val="00234CCB"/>
    <w:rsid w:val="00235C97"/>
    <w:rsid w:val="00240C18"/>
    <w:rsid w:val="0024269F"/>
    <w:rsid w:val="0024768A"/>
    <w:rsid w:val="00251456"/>
    <w:rsid w:val="0025192F"/>
    <w:rsid w:val="00253AE1"/>
    <w:rsid w:val="00253DDB"/>
    <w:rsid w:val="002553A1"/>
    <w:rsid w:val="0025569C"/>
    <w:rsid w:val="002562F2"/>
    <w:rsid w:val="00261820"/>
    <w:rsid w:val="0026656E"/>
    <w:rsid w:val="00266F48"/>
    <w:rsid w:val="00267097"/>
    <w:rsid w:val="002729E7"/>
    <w:rsid w:val="002743FF"/>
    <w:rsid w:val="0027643F"/>
    <w:rsid w:val="00282365"/>
    <w:rsid w:val="00283147"/>
    <w:rsid w:val="00283B74"/>
    <w:rsid w:val="00284351"/>
    <w:rsid w:val="00284880"/>
    <w:rsid w:val="002952FE"/>
    <w:rsid w:val="00296423"/>
    <w:rsid w:val="002A0AFC"/>
    <w:rsid w:val="002A2544"/>
    <w:rsid w:val="002A3D86"/>
    <w:rsid w:val="002A507D"/>
    <w:rsid w:val="002A579C"/>
    <w:rsid w:val="002B0057"/>
    <w:rsid w:val="002B101C"/>
    <w:rsid w:val="002B19F9"/>
    <w:rsid w:val="002B3029"/>
    <w:rsid w:val="002B3A01"/>
    <w:rsid w:val="002B4AE7"/>
    <w:rsid w:val="002B4EB8"/>
    <w:rsid w:val="002B5717"/>
    <w:rsid w:val="002B79CF"/>
    <w:rsid w:val="002C2523"/>
    <w:rsid w:val="002C3A35"/>
    <w:rsid w:val="002C4788"/>
    <w:rsid w:val="002C62D2"/>
    <w:rsid w:val="002D08A4"/>
    <w:rsid w:val="002D15A6"/>
    <w:rsid w:val="002D1C55"/>
    <w:rsid w:val="002D2A40"/>
    <w:rsid w:val="002D3883"/>
    <w:rsid w:val="002D4C85"/>
    <w:rsid w:val="002D56A5"/>
    <w:rsid w:val="002D5DB0"/>
    <w:rsid w:val="002D6DCC"/>
    <w:rsid w:val="002D6F47"/>
    <w:rsid w:val="002E033C"/>
    <w:rsid w:val="002E545F"/>
    <w:rsid w:val="002F0FC8"/>
    <w:rsid w:val="002F1359"/>
    <w:rsid w:val="002F2931"/>
    <w:rsid w:val="002F2C0F"/>
    <w:rsid w:val="002F30E1"/>
    <w:rsid w:val="002F387D"/>
    <w:rsid w:val="002F7710"/>
    <w:rsid w:val="002F7E16"/>
    <w:rsid w:val="00301420"/>
    <w:rsid w:val="0030165B"/>
    <w:rsid w:val="00304472"/>
    <w:rsid w:val="003072C1"/>
    <w:rsid w:val="00307C7B"/>
    <w:rsid w:val="00307DC6"/>
    <w:rsid w:val="003105B9"/>
    <w:rsid w:val="00310C41"/>
    <w:rsid w:val="00311C64"/>
    <w:rsid w:val="00312D1B"/>
    <w:rsid w:val="003130A1"/>
    <w:rsid w:val="00313E95"/>
    <w:rsid w:val="00314A15"/>
    <w:rsid w:val="0031534E"/>
    <w:rsid w:val="00315D63"/>
    <w:rsid w:val="003164E2"/>
    <w:rsid w:val="00317848"/>
    <w:rsid w:val="003179A2"/>
    <w:rsid w:val="0032007C"/>
    <w:rsid w:val="00320CAD"/>
    <w:rsid w:val="00321885"/>
    <w:rsid w:val="00321FD5"/>
    <w:rsid w:val="00322EDE"/>
    <w:rsid w:val="00326F5E"/>
    <w:rsid w:val="00327735"/>
    <w:rsid w:val="003324D9"/>
    <w:rsid w:val="003334B7"/>
    <w:rsid w:val="00333897"/>
    <w:rsid w:val="00333E26"/>
    <w:rsid w:val="00334C1F"/>
    <w:rsid w:val="003351BB"/>
    <w:rsid w:val="003353FA"/>
    <w:rsid w:val="0033615A"/>
    <w:rsid w:val="003367A0"/>
    <w:rsid w:val="0033737E"/>
    <w:rsid w:val="00341BA1"/>
    <w:rsid w:val="00350BD1"/>
    <w:rsid w:val="0035176B"/>
    <w:rsid w:val="003519F3"/>
    <w:rsid w:val="00351BE1"/>
    <w:rsid w:val="00351EB2"/>
    <w:rsid w:val="00352645"/>
    <w:rsid w:val="00352874"/>
    <w:rsid w:val="003540BD"/>
    <w:rsid w:val="0035426B"/>
    <w:rsid w:val="00354FAD"/>
    <w:rsid w:val="00357213"/>
    <w:rsid w:val="003579C8"/>
    <w:rsid w:val="003613F7"/>
    <w:rsid w:val="003634E4"/>
    <w:rsid w:val="00364401"/>
    <w:rsid w:val="00366D3A"/>
    <w:rsid w:val="00367CC7"/>
    <w:rsid w:val="00370776"/>
    <w:rsid w:val="0037077C"/>
    <w:rsid w:val="00371281"/>
    <w:rsid w:val="003717DC"/>
    <w:rsid w:val="0037289F"/>
    <w:rsid w:val="00380C03"/>
    <w:rsid w:val="0038190E"/>
    <w:rsid w:val="00381F14"/>
    <w:rsid w:val="003827C3"/>
    <w:rsid w:val="00385857"/>
    <w:rsid w:val="0038669F"/>
    <w:rsid w:val="00386A98"/>
    <w:rsid w:val="0038735B"/>
    <w:rsid w:val="00390304"/>
    <w:rsid w:val="0039158A"/>
    <w:rsid w:val="00392256"/>
    <w:rsid w:val="00392C86"/>
    <w:rsid w:val="003938CC"/>
    <w:rsid w:val="00394636"/>
    <w:rsid w:val="00394988"/>
    <w:rsid w:val="00395B22"/>
    <w:rsid w:val="003968DD"/>
    <w:rsid w:val="00396930"/>
    <w:rsid w:val="00396CC5"/>
    <w:rsid w:val="00396D67"/>
    <w:rsid w:val="003A1DA5"/>
    <w:rsid w:val="003A5EE2"/>
    <w:rsid w:val="003A63B2"/>
    <w:rsid w:val="003A656C"/>
    <w:rsid w:val="003A74C2"/>
    <w:rsid w:val="003B1109"/>
    <w:rsid w:val="003B3F09"/>
    <w:rsid w:val="003C0030"/>
    <w:rsid w:val="003C0668"/>
    <w:rsid w:val="003C3094"/>
    <w:rsid w:val="003C3BBB"/>
    <w:rsid w:val="003C4F8E"/>
    <w:rsid w:val="003C5B48"/>
    <w:rsid w:val="003C6F80"/>
    <w:rsid w:val="003C79BE"/>
    <w:rsid w:val="003D072E"/>
    <w:rsid w:val="003D1621"/>
    <w:rsid w:val="003D1FBC"/>
    <w:rsid w:val="003D2AC8"/>
    <w:rsid w:val="003D2D4A"/>
    <w:rsid w:val="003D42C9"/>
    <w:rsid w:val="003D7B4F"/>
    <w:rsid w:val="003E0B77"/>
    <w:rsid w:val="003E1DA2"/>
    <w:rsid w:val="003E2A5B"/>
    <w:rsid w:val="003E6FC9"/>
    <w:rsid w:val="003F1BA6"/>
    <w:rsid w:val="003F1EE5"/>
    <w:rsid w:val="003F2543"/>
    <w:rsid w:val="003F2AEA"/>
    <w:rsid w:val="003F2BCB"/>
    <w:rsid w:val="003F4F30"/>
    <w:rsid w:val="003F50D1"/>
    <w:rsid w:val="003F55D5"/>
    <w:rsid w:val="003F6868"/>
    <w:rsid w:val="003F6D4F"/>
    <w:rsid w:val="003F6ECC"/>
    <w:rsid w:val="003F7AD9"/>
    <w:rsid w:val="0040004E"/>
    <w:rsid w:val="004025B9"/>
    <w:rsid w:val="0040313A"/>
    <w:rsid w:val="00403829"/>
    <w:rsid w:val="004039EA"/>
    <w:rsid w:val="0040619D"/>
    <w:rsid w:val="00410109"/>
    <w:rsid w:val="004112D6"/>
    <w:rsid w:val="00411CDA"/>
    <w:rsid w:val="0041269F"/>
    <w:rsid w:val="004148E2"/>
    <w:rsid w:val="00415624"/>
    <w:rsid w:val="004165FE"/>
    <w:rsid w:val="00416AA6"/>
    <w:rsid w:val="00416B51"/>
    <w:rsid w:val="00417322"/>
    <w:rsid w:val="004178C4"/>
    <w:rsid w:val="00421376"/>
    <w:rsid w:val="00422480"/>
    <w:rsid w:val="00422DC3"/>
    <w:rsid w:val="00423239"/>
    <w:rsid w:val="004240C2"/>
    <w:rsid w:val="00424650"/>
    <w:rsid w:val="00424F1E"/>
    <w:rsid w:val="00425BF6"/>
    <w:rsid w:val="00432097"/>
    <w:rsid w:val="00433E8D"/>
    <w:rsid w:val="00434174"/>
    <w:rsid w:val="00435848"/>
    <w:rsid w:val="00435BB7"/>
    <w:rsid w:val="00436011"/>
    <w:rsid w:val="004377EE"/>
    <w:rsid w:val="00440936"/>
    <w:rsid w:val="00440BBC"/>
    <w:rsid w:val="00442A93"/>
    <w:rsid w:val="0044394C"/>
    <w:rsid w:val="0044400A"/>
    <w:rsid w:val="00444C32"/>
    <w:rsid w:val="0044517C"/>
    <w:rsid w:val="004514BB"/>
    <w:rsid w:val="00451A4E"/>
    <w:rsid w:val="00451DBD"/>
    <w:rsid w:val="00452091"/>
    <w:rsid w:val="0045532C"/>
    <w:rsid w:val="00461A02"/>
    <w:rsid w:val="00464225"/>
    <w:rsid w:val="00464740"/>
    <w:rsid w:val="004649B5"/>
    <w:rsid w:val="004677B3"/>
    <w:rsid w:val="00472883"/>
    <w:rsid w:val="00472994"/>
    <w:rsid w:val="004754C5"/>
    <w:rsid w:val="00476DE3"/>
    <w:rsid w:val="00480717"/>
    <w:rsid w:val="004814BC"/>
    <w:rsid w:val="004823CB"/>
    <w:rsid w:val="00482DA3"/>
    <w:rsid w:val="004850F8"/>
    <w:rsid w:val="0049056B"/>
    <w:rsid w:val="004907DE"/>
    <w:rsid w:val="00491004"/>
    <w:rsid w:val="004918A4"/>
    <w:rsid w:val="00494EE0"/>
    <w:rsid w:val="00496E5A"/>
    <w:rsid w:val="00497439"/>
    <w:rsid w:val="004A3785"/>
    <w:rsid w:val="004A5DC7"/>
    <w:rsid w:val="004A7E20"/>
    <w:rsid w:val="004B01E0"/>
    <w:rsid w:val="004B2DBB"/>
    <w:rsid w:val="004B661F"/>
    <w:rsid w:val="004B6EB8"/>
    <w:rsid w:val="004B77F7"/>
    <w:rsid w:val="004C05BF"/>
    <w:rsid w:val="004C201D"/>
    <w:rsid w:val="004C2138"/>
    <w:rsid w:val="004C3B71"/>
    <w:rsid w:val="004C3F57"/>
    <w:rsid w:val="004C43A0"/>
    <w:rsid w:val="004C7FBD"/>
    <w:rsid w:val="004D0626"/>
    <w:rsid w:val="004D24D3"/>
    <w:rsid w:val="004D76DE"/>
    <w:rsid w:val="004E1151"/>
    <w:rsid w:val="004E14FF"/>
    <w:rsid w:val="004E4E0D"/>
    <w:rsid w:val="004E51DB"/>
    <w:rsid w:val="004E7E53"/>
    <w:rsid w:val="004F0D79"/>
    <w:rsid w:val="004F4419"/>
    <w:rsid w:val="004F4848"/>
    <w:rsid w:val="004F5BE3"/>
    <w:rsid w:val="00503BE5"/>
    <w:rsid w:val="00505876"/>
    <w:rsid w:val="00505CD9"/>
    <w:rsid w:val="005105C7"/>
    <w:rsid w:val="00512DE8"/>
    <w:rsid w:val="00513348"/>
    <w:rsid w:val="0051480E"/>
    <w:rsid w:val="00514D2B"/>
    <w:rsid w:val="005172C0"/>
    <w:rsid w:val="005202DE"/>
    <w:rsid w:val="005233D5"/>
    <w:rsid w:val="005274D3"/>
    <w:rsid w:val="0053125E"/>
    <w:rsid w:val="00531EE2"/>
    <w:rsid w:val="0053333D"/>
    <w:rsid w:val="0053365C"/>
    <w:rsid w:val="00535D10"/>
    <w:rsid w:val="00537005"/>
    <w:rsid w:val="00537333"/>
    <w:rsid w:val="00537739"/>
    <w:rsid w:val="00540201"/>
    <w:rsid w:val="00540BDF"/>
    <w:rsid w:val="0054178D"/>
    <w:rsid w:val="005417FC"/>
    <w:rsid w:val="00541B0D"/>
    <w:rsid w:val="00543117"/>
    <w:rsid w:val="00543501"/>
    <w:rsid w:val="005443CE"/>
    <w:rsid w:val="005444E9"/>
    <w:rsid w:val="00544C0F"/>
    <w:rsid w:val="00545091"/>
    <w:rsid w:val="00547381"/>
    <w:rsid w:val="0054740C"/>
    <w:rsid w:val="00554327"/>
    <w:rsid w:val="00554CE5"/>
    <w:rsid w:val="00554E74"/>
    <w:rsid w:val="00562942"/>
    <w:rsid w:val="00565238"/>
    <w:rsid w:val="005654C3"/>
    <w:rsid w:val="00565A1F"/>
    <w:rsid w:val="005666B9"/>
    <w:rsid w:val="005670F8"/>
    <w:rsid w:val="005743E7"/>
    <w:rsid w:val="00576664"/>
    <w:rsid w:val="005766F7"/>
    <w:rsid w:val="00577539"/>
    <w:rsid w:val="0058037C"/>
    <w:rsid w:val="00583A54"/>
    <w:rsid w:val="00584EE7"/>
    <w:rsid w:val="00586642"/>
    <w:rsid w:val="00587DC2"/>
    <w:rsid w:val="00591D54"/>
    <w:rsid w:val="00594CFF"/>
    <w:rsid w:val="005977A9"/>
    <w:rsid w:val="005A2F74"/>
    <w:rsid w:val="005A3720"/>
    <w:rsid w:val="005A4026"/>
    <w:rsid w:val="005A5AF1"/>
    <w:rsid w:val="005A6109"/>
    <w:rsid w:val="005A610B"/>
    <w:rsid w:val="005B0390"/>
    <w:rsid w:val="005B0451"/>
    <w:rsid w:val="005B131C"/>
    <w:rsid w:val="005B2DD6"/>
    <w:rsid w:val="005B428A"/>
    <w:rsid w:val="005B5A08"/>
    <w:rsid w:val="005B6365"/>
    <w:rsid w:val="005B7D40"/>
    <w:rsid w:val="005C00F0"/>
    <w:rsid w:val="005C0C64"/>
    <w:rsid w:val="005C1C95"/>
    <w:rsid w:val="005C668B"/>
    <w:rsid w:val="005C71F0"/>
    <w:rsid w:val="005D00E1"/>
    <w:rsid w:val="005D252D"/>
    <w:rsid w:val="005D2808"/>
    <w:rsid w:val="005D33C8"/>
    <w:rsid w:val="005D33E0"/>
    <w:rsid w:val="005D440A"/>
    <w:rsid w:val="005D483E"/>
    <w:rsid w:val="005D6922"/>
    <w:rsid w:val="005E0093"/>
    <w:rsid w:val="005E0BC7"/>
    <w:rsid w:val="005E3D2F"/>
    <w:rsid w:val="005E5A30"/>
    <w:rsid w:val="005E6F8D"/>
    <w:rsid w:val="005E7298"/>
    <w:rsid w:val="005E7745"/>
    <w:rsid w:val="005F03A2"/>
    <w:rsid w:val="005F56BA"/>
    <w:rsid w:val="005F5D8D"/>
    <w:rsid w:val="005F5DA8"/>
    <w:rsid w:val="005F6812"/>
    <w:rsid w:val="005F7077"/>
    <w:rsid w:val="006003DA"/>
    <w:rsid w:val="0060120B"/>
    <w:rsid w:val="0060349B"/>
    <w:rsid w:val="00604518"/>
    <w:rsid w:val="0060535B"/>
    <w:rsid w:val="00606203"/>
    <w:rsid w:val="00606979"/>
    <w:rsid w:val="006072F5"/>
    <w:rsid w:val="00610268"/>
    <w:rsid w:val="006106AB"/>
    <w:rsid w:val="00610BC3"/>
    <w:rsid w:val="0061158A"/>
    <w:rsid w:val="00611FB4"/>
    <w:rsid w:val="006120B0"/>
    <w:rsid w:val="00612A2B"/>
    <w:rsid w:val="006143D4"/>
    <w:rsid w:val="00614C4B"/>
    <w:rsid w:val="00615279"/>
    <w:rsid w:val="006173B6"/>
    <w:rsid w:val="00617A8C"/>
    <w:rsid w:val="00617D2B"/>
    <w:rsid w:val="00620C71"/>
    <w:rsid w:val="006213D9"/>
    <w:rsid w:val="00621AE0"/>
    <w:rsid w:val="00622F58"/>
    <w:rsid w:val="00624FE8"/>
    <w:rsid w:val="006274C1"/>
    <w:rsid w:val="006311CC"/>
    <w:rsid w:val="00632338"/>
    <w:rsid w:val="00633000"/>
    <w:rsid w:val="0063346A"/>
    <w:rsid w:val="00634360"/>
    <w:rsid w:val="0063445F"/>
    <w:rsid w:val="00634D6E"/>
    <w:rsid w:val="00635C2A"/>
    <w:rsid w:val="0063699F"/>
    <w:rsid w:val="00636BDE"/>
    <w:rsid w:val="00636DE5"/>
    <w:rsid w:val="0063713C"/>
    <w:rsid w:val="0063794E"/>
    <w:rsid w:val="00637EDD"/>
    <w:rsid w:val="006409D7"/>
    <w:rsid w:val="00641D04"/>
    <w:rsid w:val="00642878"/>
    <w:rsid w:val="00642CC4"/>
    <w:rsid w:val="006447F9"/>
    <w:rsid w:val="00644B0A"/>
    <w:rsid w:val="00646576"/>
    <w:rsid w:val="0064735B"/>
    <w:rsid w:val="00647694"/>
    <w:rsid w:val="00650833"/>
    <w:rsid w:val="006532EA"/>
    <w:rsid w:val="006555E4"/>
    <w:rsid w:val="0065579A"/>
    <w:rsid w:val="00655B6A"/>
    <w:rsid w:val="006564D2"/>
    <w:rsid w:val="006622A3"/>
    <w:rsid w:val="006625DA"/>
    <w:rsid w:val="00662CCD"/>
    <w:rsid w:val="00664F5A"/>
    <w:rsid w:val="00664FD9"/>
    <w:rsid w:val="006650F2"/>
    <w:rsid w:val="006660B3"/>
    <w:rsid w:val="00667127"/>
    <w:rsid w:val="00667469"/>
    <w:rsid w:val="00667B92"/>
    <w:rsid w:val="0067216E"/>
    <w:rsid w:val="00672356"/>
    <w:rsid w:val="00672393"/>
    <w:rsid w:val="0067258D"/>
    <w:rsid w:val="00672D08"/>
    <w:rsid w:val="0067372D"/>
    <w:rsid w:val="00673DB9"/>
    <w:rsid w:val="0067579D"/>
    <w:rsid w:val="00680C0E"/>
    <w:rsid w:val="006845EA"/>
    <w:rsid w:val="00686EAE"/>
    <w:rsid w:val="006923EB"/>
    <w:rsid w:val="0069519F"/>
    <w:rsid w:val="006A0123"/>
    <w:rsid w:val="006A0252"/>
    <w:rsid w:val="006A0750"/>
    <w:rsid w:val="006A0B96"/>
    <w:rsid w:val="006A167C"/>
    <w:rsid w:val="006A16E3"/>
    <w:rsid w:val="006A1C02"/>
    <w:rsid w:val="006A2A69"/>
    <w:rsid w:val="006A31F4"/>
    <w:rsid w:val="006A410F"/>
    <w:rsid w:val="006A4405"/>
    <w:rsid w:val="006A4A4C"/>
    <w:rsid w:val="006B0A0F"/>
    <w:rsid w:val="006B17F5"/>
    <w:rsid w:val="006B2B41"/>
    <w:rsid w:val="006B4282"/>
    <w:rsid w:val="006B46B1"/>
    <w:rsid w:val="006B4AB0"/>
    <w:rsid w:val="006B7471"/>
    <w:rsid w:val="006C2A6A"/>
    <w:rsid w:val="006C59FE"/>
    <w:rsid w:val="006C5B8A"/>
    <w:rsid w:val="006C5E3B"/>
    <w:rsid w:val="006C62F6"/>
    <w:rsid w:val="006C68C1"/>
    <w:rsid w:val="006D0E12"/>
    <w:rsid w:val="006D1679"/>
    <w:rsid w:val="006D3E1C"/>
    <w:rsid w:val="006D420C"/>
    <w:rsid w:val="006D55BE"/>
    <w:rsid w:val="006D5944"/>
    <w:rsid w:val="006D72FA"/>
    <w:rsid w:val="006E2370"/>
    <w:rsid w:val="006E2F2B"/>
    <w:rsid w:val="006E4F77"/>
    <w:rsid w:val="006E7D31"/>
    <w:rsid w:val="006F0977"/>
    <w:rsid w:val="006F2B54"/>
    <w:rsid w:val="006F3170"/>
    <w:rsid w:val="006F3612"/>
    <w:rsid w:val="006F3763"/>
    <w:rsid w:val="006F4B65"/>
    <w:rsid w:val="006F4CF1"/>
    <w:rsid w:val="006F53D3"/>
    <w:rsid w:val="006F67A4"/>
    <w:rsid w:val="006F68CE"/>
    <w:rsid w:val="006F736E"/>
    <w:rsid w:val="006F7D24"/>
    <w:rsid w:val="00702714"/>
    <w:rsid w:val="00703489"/>
    <w:rsid w:val="0070462C"/>
    <w:rsid w:val="0070734C"/>
    <w:rsid w:val="00711A39"/>
    <w:rsid w:val="00713903"/>
    <w:rsid w:val="00721233"/>
    <w:rsid w:val="0072428D"/>
    <w:rsid w:val="00725344"/>
    <w:rsid w:val="00725720"/>
    <w:rsid w:val="00730163"/>
    <w:rsid w:val="0073176F"/>
    <w:rsid w:val="00732CC2"/>
    <w:rsid w:val="007330F0"/>
    <w:rsid w:val="0073363F"/>
    <w:rsid w:val="00733BB1"/>
    <w:rsid w:val="007348B2"/>
    <w:rsid w:val="00736BC0"/>
    <w:rsid w:val="00737871"/>
    <w:rsid w:val="00737A31"/>
    <w:rsid w:val="00740B87"/>
    <w:rsid w:val="00741C59"/>
    <w:rsid w:val="00743861"/>
    <w:rsid w:val="007446E9"/>
    <w:rsid w:val="007462BF"/>
    <w:rsid w:val="0074691D"/>
    <w:rsid w:val="00747F09"/>
    <w:rsid w:val="00751E72"/>
    <w:rsid w:val="00755BF6"/>
    <w:rsid w:val="00757785"/>
    <w:rsid w:val="00757A2F"/>
    <w:rsid w:val="00760AC4"/>
    <w:rsid w:val="007651C8"/>
    <w:rsid w:val="00765D9C"/>
    <w:rsid w:val="0076748B"/>
    <w:rsid w:val="007727AB"/>
    <w:rsid w:val="00773E92"/>
    <w:rsid w:val="00773F7C"/>
    <w:rsid w:val="007751D1"/>
    <w:rsid w:val="00777573"/>
    <w:rsid w:val="007775CE"/>
    <w:rsid w:val="0078151B"/>
    <w:rsid w:val="007820CA"/>
    <w:rsid w:val="00782C72"/>
    <w:rsid w:val="00782D78"/>
    <w:rsid w:val="007844AC"/>
    <w:rsid w:val="00785654"/>
    <w:rsid w:val="00792067"/>
    <w:rsid w:val="0079483A"/>
    <w:rsid w:val="00795D3F"/>
    <w:rsid w:val="0079760E"/>
    <w:rsid w:val="007A0ADA"/>
    <w:rsid w:val="007A0B73"/>
    <w:rsid w:val="007A23B2"/>
    <w:rsid w:val="007A27C9"/>
    <w:rsid w:val="007A2879"/>
    <w:rsid w:val="007A2CAF"/>
    <w:rsid w:val="007A4F32"/>
    <w:rsid w:val="007A6D2D"/>
    <w:rsid w:val="007B3EAB"/>
    <w:rsid w:val="007B6524"/>
    <w:rsid w:val="007B655F"/>
    <w:rsid w:val="007B6DA9"/>
    <w:rsid w:val="007C164D"/>
    <w:rsid w:val="007C2C7A"/>
    <w:rsid w:val="007C39E5"/>
    <w:rsid w:val="007C3E94"/>
    <w:rsid w:val="007C3FD3"/>
    <w:rsid w:val="007C4D48"/>
    <w:rsid w:val="007C5E6C"/>
    <w:rsid w:val="007C601F"/>
    <w:rsid w:val="007C6A66"/>
    <w:rsid w:val="007D0B8D"/>
    <w:rsid w:val="007D1A74"/>
    <w:rsid w:val="007D489C"/>
    <w:rsid w:val="007D5313"/>
    <w:rsid w:val="007D6133"/>
    <w:rsid w:val="007D6523"/>
    <w:rsid w:val="007D7654"/>
    <w:rsid w:val="007D7EAE"/>
    <w:rsid w:val="007E12B3"/>
    <w:rsid w:val="007E1930"/>
    <w:rsid w:val="007E1B7C"/>
    <w:rsid w:val="007E1FAC"/>
    <w:rsid w:val="007E2104"/>
    <w:rsid w:val="007E2639"/>
    <w:rsid w:val="007E2968"/>
    <w:rsid w:val="007E3CE9"/>
    <w:rsid w:val="007E635C"/>
    <w:rsid w:val="007E6776"/>
    <w:rsid w:val="007E68BC"/>
    <w:rsid w:val="007E7B15"/>
    <w:rsid w:val="007F0721"/>
    <w:rsid w:val="007F0DE7"/>
    <w:rsid w:val="007F13D6"/>
    <w:rsid w:val="007F1AF6"/>
    <w:rsid w:val="007F2357"/>
    <w:rsid w:val="007F3EBC"/>
    <w:rsid w:val="007F504F"/>
    <w:rsid w:val="007F6838"/>
    <w:rsid w:val="007F7ACE"/>
    <w:rsid w:val="00801AEA"/>
    <w:rsid w:val="00801DC5"/>
    <w:rsid w:val="00802F69"/>
    <w:rsid w:val="008052F6"/>
    <w:rsid w:val="0080630C"/>
    <w:rsid w:val="0080735C"/>
    <w:rsid w:val="00810D30"/>
    <w:rsid w:val="00811A72"/>
    <w:rsid w:val="00813584"/>
    <w:rsid w:val="00815F95"/>
    <w:rsid w:val="00816A77"/>
    <w:rsid w:val="00817509"/>
    <w:rsid w:val="008260CF"/>
    <w:rsid w:val="008264CF"/>
    <w:rsid w:val="00832B06"/>
    <w:rsid w:val="00834473"/>
    <w:rsid w:val="00835DA4"/>
    <w:rsid w:val="00841952"/>
    <w:rsid w:val="008426C1"/>
    <w:rsid w:val="00842F39"/>
    <w:rsid w:val="008437FA"/>
    <w:rsid w:val="008439E0"/>
    <w:rsid w:val="008462CC"/>
    <w:rsid w:val="008515BF"/>
    <w:rsid w:val="00851CE2"/>
    <w:rsid w:val="008525C3"/>
    <w:rsid w:val="00853855"/>
    <w:rsid w:val="00854AA8"/>
    <w:rsid w:val="00854EEC"/>
    <w:rsid w:val="00855278"/>
    <w:rsid w:val="00855926"/>
    <w:rsid w:val="00857500"/>
    <w:rsid w:val="00857984"/>
    <w:rsid w:val="00860610"/>
    <w:rsid w:val="0086133A"/>
    <w:rsid w:val="00863E60"/>
    <w:rsid w:val="008645CE"/>
    <w:rsid w:val="0086551C"/>
    <w:rsid w:val="00865B19"/>
    <w:rsid w:val="0086671D"/>
    <w:rsid w:val="008671C3"/>
    <w:rsid w:val="00867BF0"/>
    <w:rsid w:val="00867E2F"/>
    <w:rsid w:val="00870BB6"/>
    <w:rsid w:val="008714C9"/>
    <w:rsid w:val="00871505"/>
    <w:rsid w:val="00871C80"/>
    <w:rsid w:val="008724FF"/>
    <w:rsid w:val="00872752"/>
    <w:rsid w:val="00872FE4"/>
    <w:rsid w:val="0087331A"/>
    <w:rsid w:val="00873AA0"/>
    <w:rsid w:val="008740C8"/>
    <w:rsid w:val="00874F76"/>
    <w:rsid w:val="0088469E"/>
    <w:rsid w:val="0088758A"/>
    <w:rsid w:val="00896375"/>
    <w:rsid w:val="00897884"/>
    <w:rsid w:val="008A0393"/>
    <w:rsid w:val="008A0517"/>
    <w:rsid w:val="008A201B"/>
    <w:rsid w:val="008A2551"/>
    <w:rsid w:val="008A2A17"/>
    <w:rsid w:val="008A43FE"/>
    <w:rsid w:val="008B016D"/>
    <w:rsid w:val="008B3C19"/>
    <w:rsid w:val="008B6005"/>
    <w:rsid w:val="008B73D4"/>
    <w:rsid w:val="008B7497"/>
    <w:rsid w:val="008B7787"/>
    <w:rsid w:val="008C1151"/>
    <w:rsid w:val="008C2414"/>
    <w:rsid w:val="008C59B3"/>
    <w:rsid w:val="008C660F"/>
    <w:rsid w:val="008C6C59"/>
    <w:rsid w:val="008C7B93"/>
    <w:rsid w:val="008D0B97"/>
    <w:rsid w:val="008D1C6F"/>
    <w:rsid w:val="008D2ECA"/>
    <w:rsid w:val="008D51FD"/>
    <w:rsid w:val="008D5613"/>
    <w:rsid w:val="008D684E"/>
    <w:rsid w:val="008E0576"/>
    <w:rsid w:val="008E11E4"/>
    <w:rsid w:val="008E1C6A"/>
    <w:rsid w:val="008E4FE0"/>
    <w:rsid w:val="008E5D25"/>
    <w:rsid w:val="008E72AD"/>
    <w:rsid w:val="008F062E"/>
    <w:rsid w:val="008F170D"/>
    <w:rsid w:val="008F1FC1"/>
    <w:rsid w:val="008F361F"/>
    <w:rsid w:val="008F3637"/>
    <w:rsid w:val="008F3CCA"/>
    <w:rsid w:val="008F6D6C"/>
    <w:rsid w:val="008F734A"/>
    <w:rsid w:val="0090080E"/>
    <w:rsid w:val="00902104"/>
    <w:rsid w:val="0090259F"/>
    <w:rsid w:val="00903E3C"/>
    <w:rsid w:val="00904330"/>
    <w:rsid w:val="00905A99"/>
    <w:rsid w:val="009063E2"/>
    <w:rsid w:val="00906DA4"/>
    <w:rsid w:val="009078AF"/>
    <w:rsid w:val="00910105"/>
    <w:rsid w:val="00911078"/>
    <w:rsid w:val="0091300A"/>
    <w:rsid w:val="009139B9"/>
    <w:rsid w:val="009146E0"/>
    <w:rsid w:val="00914FED"/>
    <w:rsid w:val="00915D58"/>
    <w:rsid w:val="00915EE9"/>
    <w:rsid w:val="00916835"/>
    <w:rsid w:val="00924362"/>
    <w:rsid w:val="00924E20"/>
    <w:rsid w:val="00930A1B"/>
    <w:rsid w:val="009325DB"/>
    <w:rsid w:val="0093293C"/>
    <w:rsid w:val="009332BD"/>
    <w:rsid w:val="0093484A"/>
    <w:rsid w:val="00935897"/>
    <w:rsid w:val="00935D72"/>
    <w:rsid w:val="00941221"/>
    <w:rsid w:val="00941531"/>
    <w:rsid w:val="00943215"/>
    <w:rsid w:val="009437BF"/>
    <w:rsid w:val="009438B7"/>
    <w:rsid w:val="00944B62"/>
    <w:rsid w:val="00944F68"/>
    <w:rsid w:val="00945588"/>
    <w:rsid w:val="00946B52"/>
    <w:rsid w:val="0094709A"/>
    <w:rsid w:val="009503C6"/>
    <w:rsid w:val="009514E4"/>
    <w:rsid w:val="00951F62"/>
    <w:rsid w:val="009525D2"/>
    <w:rsid w:val="009535BF"/>
    <w:rsid w:val="009538CD"/>
    <w:rsid w:val="009546D2"/>
    <w:rsid w:val="0095569F"/>
    <w:rsid w:val="0095591E"/>
    <w:rsid w:val="00957070"/>
    <w:rsid w:val="00964CB8"/>
    <w:rsid w:val="00964E3F"/>
    <w:rsid w:val="009659BD"/>
    <w:rsid w:val="00967A65"/>
    <w:rsid w:val="00970AF9"/>
    <w:rsid w:val="00971A13"/>
    <w:rsid w:val="00971D0D"/>
    <w:rsid w:val="009749CA"/>
    <w:rsid w:val="009829FB"/>
    <w:rsid w:val="00984C76"/>
    <w:rsid w:val="0099109D"/>
    <w:rsid w:val="0099200A"/>
    <w:rsid w:val="00992966"/>
    <w:rsid w:val="009930B4"/>
    <w:rsid w:val="00993463"/>
    <w:rsid w:val="00993D01"/>
    <w:rsid w:val="009A0570"/>
    <w:rsid w:val="009A0911"/>
    <w:rsid w:val="009A0D29"/>
    <w:rsid w:val="009A1557"/>
    <w:rsid w:val="009A17B5"/>
    <w:rsid w:val="009A2AAC"/>
    <w:rsid w:val="009A42FE"/>
    <w:rsid w:val="009A66F6"/>
    <w:rsid w:val="009A6740"/>
    <w:rsid w:val="009C2BAD"/>
    <w:rsid w:val="009C2F2B"/>
    <w:rsid w:val="009C4BCF"/>
    <w:rsid w:val="009C4DC8"/>
    <w:rsid w:val="009C6205"/>
    <w:rsid w:val="009D0B4C"/>
    <w:rsid w:val="009D11E7"/>
    <w:rsid w:val="009D2BF7"/>
    <w:rsid w:val="009D3053"/>
    <w:rsid w:val="009D3C95"/>
    <w:rsid w:val="009D47C4"/>
    <w:rsid w:val="009D4A0F"/>
    <w:rsid w:val="009D5487"/>
    <w:rsid w:val="009D54B6"/>
    <w:rsid w:val="009D75B0"/>
    <w:rsid w:val="009E1729"/>
    <w:rsid w:val="009E1739"/>
    <w:rsid w:val="009E1A63"/>
    <w:rsid w:val="009E2501"/>
    <w:rsid w:val="009E29F4"/>
    <w:rsid w:val="009E3DAF"/>
    <w:rsid w:val="009E691F"/>
    <w:rsid w:val="009E6AD7"/>
    <w:rsid w:val="009E7390"/>
    <w:rsid w:val="009F02CE"/>
    <w:rsid w:val="009F0A0F"/>
    <w:rsid w:val="009F0DCA"/>
    <w:rsid w:val="009F255D"/>
    <w:rsid w:val="009F3208"/>
    <w:rsid w:val="009F5152"/>
    <w:rsid w:val="009F5748"/>
    <w:rsid w:val="009F5F4E"/>
    <w:rsid w:val="009F683E"/>
    <w:rsid w:val="009F7152"/>
    <w:rsid w:val="009F7847"/>
    <w:rsid w:val="009F7E12"/>
    <w:rsid w:val="00A018BA"/>
    <w:rsid w:val="00A051FE"/>
    <w:rsid w:val="00A05E86"/>
    <w:rsid w:val="00A11649"/>
    <w:rsid w:val="00A11BF6"/>
    <w:rsid w:val="00A15968"/>
    <w:rsid w:val="00A159EF"/>
    <w:rsid w:val="00A170D4"/>
    <w:rsid w:val="00A17E64"/>
    <w:rsid w:val="00A21C38"/>
    <w:rsid w:val="00A2270D"/>
    <w:rsid w:val="00A24087"/>
    <w:rsid w:val="00A26E5F"/>
    <w:rsid w:val="00A30057"/>
    <w:rsid w:val="00A303D7"/>
    <w:rsid w:val="00A3347B"/>
    <w:rsid w:val="00A33F8C"/>
    <w:rsid w:val="00A369F5"/>
    <w:rsid w:val="00A40BF3"/>
    <w:rsid w:val="00A43EA2"/>
    <w:rsid w:val="00A44AC1"/>
    <w:rsid w:val="00A46A68"/>
    <w:rsid w:val="00A517CE"/>
    <w:rsid w:val="00A52D52"/>
    <w:rsid w:val="00A57B55"/>
    <w:rsid w:val="00A648C3"/>
    <w:rsid w:val="00A700B2"/>
    <w:rsid w:val="00A7141D"/>
    <w:rsid w:val="00A72CB4"/>
    <w:rsid w:val="00A77D4A"/>
    <w:rsid w:val="00A811B6"/>
    <w:rsid w:val="00A815FF"/>
    <w:rsid w:val="00A81C45"/>
    <w:rsid w:val="00A860A3"/>
    <w:rsid w:val="00A86A8E"/>
    <w:rsid w:val="00A90385"/>
    <w:rsid w:val="00A9046C"/>
    <w:rsid w:val="00A9071D"/>
    <w:rsid w:val="00A96C89"/>
    <w:rsid w:val="00A97D9A"/>
    <w:rsid w:val="00AA0040"/>
    <w:rsid w:val="00AA2F6A"/>
    <w:rsid w:val="00AA4D7E"/>
    <w:rsid w:val="00AA65B0"/>
    <w:rsid w:val="00AA77F0"/>
    <w:rsid w:val="00AB2129"/>
    <w:rsid w:val="00AB30C1"/>
    <w:rsid w:val="00AB4887"/>
    <w:rsid w:val="00AB5235"/>
    <w:rsid w:val="00AB78FE"/>
    <w:rsid w:val="00AB7BC1"/>
    <w:rsid w:val="00AC006D"/>
    <w:rsid w:val="00AC178C"/>
    <w:rsid w:val="00AC4015"/>
    <w:rsid w:val="00AC7104"/>
    <w:rsid w:val="00AC71AE"/>
    <w:rsid w:val="00AC7D6E"/>
    <w:rsid w:val="00AC7FE7"/>
    <w:rsid w:val="00AD068E"/>
    <w:rsid w:val="00AD0C08"/>
    <w:rsid w:val="00AD1390"/>
    <w:rsid w:val="00AD279F"/>
    <w:rsid w:val="00AD2DED"/>
    <w:rsid w:val="00AD4A71"/>
    <w:rsid w:val="00AE10FC"/>
    <w:rsid w:val="00AE49DE"/>
    <w:rsid w:val="00AE5123"/>
    <w:rsid w:val="00AE63EC"/>
    <w:rsid w:val="00AE6AA0"/>
    <w:rsid w:val="00AE7E8A"/>
    <w:rsid w:val="00AF237A"/>
    <w:rsid w:val="00AF4782"/>
    <w:rsid w:val="00AF5CB7"/>
    <w:rsid w:val="00AF6F62"/>
    <w:rsid w:val="00AF737A"/>
    <w:rsid w:val="00B0157B"/>
    <w:rsid w:val="00B01B1D"/>
    <w:rsid w:val="00B04C07"/>
    <w:rsid w:val="00B04D78"/>
    <w:rsid w:val="00B05EA5"/>
    <w:rsid w:val="00B06178"/>
    <w:rsid w:val="00B065C1"/>
    <w:rsid w:val="00B07119"/>
    <w:rsid w:val="00B12A6A"/>
    <w:rsid w:val="00B12F3F"/>
    <w:rsid w:val="00B130C3"/>
    <w:rsid w:val="00B1332F"/>
    <w:rsid w:val="00B15BFC"/>
    <w:rsid w:val="00B15D1B"/>
    <w:rsid w:val="00B17E87"/>
    <w:rsid w:val="00B21930"/>
    <w:rsid w:val="00B252F1"/>
    <w:rsid w:val="00B259DE"/>
    <w:rsid w:val="00B2782B"/>
    <w:rsid w:val="00B27900"/>
    <w:rsid w:val="00B300AE"/>
    <w:rsid w:val="00B3145E"/>
    <w:rsid w:val="00B3203C"/>
    <w:rsid w:val="00B33732"/>
    <w:rsid w:val="00B36FB0"/>
    <w:rsid w:val="00B41C7A"/>
    <w:rsid w:val="00B472A4"/>
    <w:rsid w:val="00B50544"/>
    <w:rsid w:val="00B50D97"/>
    <w:rsid w:val="00B50E8F"/>
    <w:rsid w:val="00B5201C"/>
    <w:rsid w:val="00B52344"/>
    <w:rsid w:val="00B525DE"/>
    <w:rsid w:val="00B545A3"/>
    <w:rsid w:val="00B54948"/>
    <w:rsid w:val="00B564D9"/>
    <w:rsid w:val="00B56636"/>
    <w:rsid w:val="00B56C14"/>
    <w:rsid w:val="00B56DE3"/>
    <w:rsid w:val="00B5712B"/>
    <w:rsid w:val="00B60071"/>
    <w:rsid w:val="00B60EBE"/>
    <w:rsid w:val="00B635B7"/>
    <w:rsid w:val="00B6471A"/>
    <w:rsid w:val="00B711CD"/>
    <w:rsid w:val="00B71AC9"/>
    <w:rsid w:val="00B72271"/>
    <w:rsid w:val="00B74505"/>
    <w:rsid w:val="00B76436"/>
    <w:rsid w:val="00B80F9B"/>
    <w:rsid w:val="00B811E6"/>
    <w:rsid w:val="00B83E28"/>
    <w:rsid w:val="00B85B3F"/>
    <w:rsid w:val="00B870B8"/>
    <w:rsid w:val="00B90D29"/>
    <w:rsid w:val="00B91747"/>
    <w:rsid w:val="00B92108"/>
    <w:rsid w:val="00B92E76"/>
    <w:rsid w:val="00B936AF"/>
    <w:rsid w:val="00B94633"/>
    <w:rsid w:val="00B94F64"/>
    <w:rsid w:val="00B96842"/>
    <w:rsid w:val="00B9756F"/>
    <w:rsid w:val="00BA1208"/>
    <w:rsid w:val="00BA3D56"/>
    <w:rsid w:val="00BA403A"/>
    <w:rsid w:val="00BA4B50"/>
    <w:rsid w:val="00BA68AA"/>
    <w:rsid w:val="00BA6CD6"/>
    <w:rsid w:val="00BB1380"/>
    <w:rsid w:val="00BB1550"/>
    <w:rsid w:val="00BB4858"/>
    <w:rsid w:val="00BB4B02"/>
    <w:rsid w:val="00BB589E"/>
    <w:rsid w:val="00BB7592"/>
    <w:rsid w:val="00BB76C4"/>
    <w:rsid w:val="00BC015C"/>
    <w:rsid w:val="00BC1B2E"/>
    <w:rsid w:val="00BC1D02"/>
    <w:rsid w:val="00BC1D67"/>
    <w:rsid w:val="00BC4400"/>
    <w:rsid w:val="00BC5500"/>
    <w:rsid w:val="00BC5D66"/>
    <w:rsid w:val="00BC6EB2"/>
    <w:rsid w:val="00BC7106"/>
    <w:rsid w:val="00BC7FFB"/>
    <w:rsid w:val="00BD0068"/>
    <w:rsid w:val="00BD0B1A"/>
    <w:rsid w:val="00BD2E40"/>
    <w:rsid w:val="00BD4A6B"/>
    <w:rsid w:val="00BD5560"/>
    <w:rsid w:val="00BD59D8"/>
    <w:rsid w:val="00BD67D6"/>
    <w:rsid w:val="00BD6EA8"/>
    <w:rsid w:val="00BD6EF8"/>
    <w:rsid w:val="00BE251D"/>
    <w:rsid w:val="00BE4597"/>
    <w:rsid w:val="00BF0201"/>
    <w:rsid w:val="00BF1F55"/>
    <w:rsid w:val="00BF2235"/>
    <w:rsid w:val="00BF448F"/>
    <w:rsid w:val="00BF68A1"/>
    <w:rsid w:val="00BF6E00"/>
    <w:rsid w:val="00BF6E6B"/>
    <w:rsid w:val="00BF7724"/>
    <w:rsid w:val="00C0247B"/>
    <w:rsid w:val="00C02BA0"/>
    <w:rsid w:val="00C05820"/>
    <w:rsid w:val="00C14304"/>
    <w:rsid w:val="00C212F6"/>
    <w:rsid w:val="00C22D71"/>
    <w:rsid w:val="00C24083"/>
    <w:rsid w:val="00C25E00"/>
    <w:rsid w:val="00C26EDB"/>
    <w:rsid w:val="00C30459"/>
    <w:rsid w:val="00C309E9"/>
    <w:rsid w:val="00C364B8"/>
    <w:rsid w:val="00C37580"/>
    <w:rsid w:val="00C376FE"/>
    <w:rsid w:val="00C37BD0"/>
    <w:rsid w:val="00C37C4B"/>
    <w:rsid w:val="00C37D42"/>
    <w:rsid w:val="00C4361E"/>
    <w:rsid w:val="00C43AF1"/>
    <w:rsid w:val="00C4499B"/>
    <w:rsid w:val="00C45B15"/>
    <w:rsid w:val="00C46E23"/>
    <w:rsid w:val="00C47011"/>
    <w:rsid w:val="00C515D2"/>
    <w:rsid w:val="00C5305E"/>
    <w:rsid w:val="00C5307E"/>
    <w:rsid w:val="00C534E3"/>
    <w:rsid w:val="00C548A6"/>
    <w:rsid w:val="00C55FAA"/>
    <w:rsid w:val="00C56EEF"/>
    <w:rsid w:val="00C5732B"/>
    <w:rsid w:val="00C576B7"/>
    <w:rsid w:val="00C5779B"/>
    <w:rsid w:val="00C57BEC"/>
    <w:rsid w:val="00C616EF"/>
    <w:rsid w:val="00C62EE5"/>
    <w:rsid w:val="00C6473E"/>
    <w:rsid w:val="00C66FFA"/>
    <w:rsid w:val="00C72BEB"/>
    <w:rsid w:val="00C77672"/>
    <w:rsid w:val="00C80905"/>
    <w:rsid w:val="00C827F9"/>
    <w:rsid w:val="00C82C5B"/>
    <w:rsid w:val="00C8541A"/>
    <w:rsid w:val="00C874D3"/>
    <w:rsid w:val="00C87DFE"/>
    <w:rsid w:val="00C905B2"/>
    <w:rsid w:val="00C92FE4"/>
    <w:rsid w:val="00C9491C"/>
    <w:rsid w:val="00CA0F36"/>
    <w:rsid w:val="00CA2213"/>
    <w:rsid w:val="00CA5EBD"/>
    <w:rsid w:val="00CA6ABF"/>
    <w:rsid w:val="00CA70C8"/>
    <w:rsid w:val="00CA7A58"/>
    <w:rsid w:val="00CB0165"/>
    <w:rsid w:val="00CB06AB"/>
    <w:rsid w:val="00CB32E9"/>
    <w:rsid w:val="00CB43CB"/>
    <w:rsid w:val="00CB7962"/>
    <w:rsid w:val="00CB7FB1"/>
    <w:rsid w:val="00CC053E"/>
    <w:rsid w:val="00CC284C"/>
    <w:rsid w:val="00CC36A6"/>
    <w:rsid w:val="00CC4782"/>
    <w:rsid w:val="00CD1A9F"/>
    <w:rsid w:val="00CD1C70"/>
    <w:rsid w:val="00CD5432"/>
    <w:rsid w:val="00CD578A"/>
    <w:rsid w:val="00CD62DC"/>
    <w:rsid w:val="00CD69D5"/>
    <w:rsid w:val="00CD77E4"/>
    <w:rsid w:val="00CE01B2"/>
    <w:rsid w:val="00CE1956"/>
    <w:rsid w:val="00CE1D6B"/>
    <w:rsid w:val="00CE2134"/>
    <w:rsid w:val="00CE38CF"/>
    <w:rsid w:val="00CE46D7"/>
    <w:rsid w:val="00CE7305"/>
    <w:rsid w:val="00CE7EF2"/>
    <w:rsid w:val="00CF1379"/>
    <w:rsid w:val="00CF3B22"/>
    <w:rsid w:val="00CF481D"/>
    <w:rsid w:val="00D02505"/>
    <w:rsid w:val="00D0281F"/>
    <w:rsid w:val="00D06161"/>
    <w:rsid w:val="00D0744F"/>
    <w:rsid w:val="00D07C5F"/>
    <w:rsid w:val="00D10098"/>
    <w:rsid w:val="00D111A9"/>
    <w:rsid w:val="00D116D0"/>
    <w:rsid w:val="00D12008"/>
    <w:rsid w:val="00D13989"/>
    <w:rsid w:val="00D13D02"/>
    <w:rsid w:val="00D20790"/>
    <w:rsid w:val="00D20E55"/>
    <w:rsid w:val="00D21209"/>
    <w:rsid w:val="00D2301D"/>
    <w:rsid w:val="00D23792"/>
    <w:rsid w:val="00D247FF"/>
    <w:rsid w:val="00D24D8D"/>
    <w:rsid w:val="00D27DC9"/>
    <w:rsid w:val="00D30774"/>
    <w:rsid w:val="00D32881"/>
    <w:rsid w:val="00D3298F"/>
    <w:rsid w:val="00D330BF"/>
    <w:rsid w:val="00D33D49"/>
    <w:rsid w:val="00D34E6D"/>
    <w:rsid w:val="00D430C1"/>
    <w:rsid w:val="00D434F9"/>
    <w:rsid w:val="00D44281"/>
    <w:rsid w:val="00D46B11"/>
    <w:rsid w:val="00D46BBF"/>
    <w:rsid w:val="00D46D1F"/>
    <w:rsid w:val="00D504D5"/>
    <w:rsid w:val="00D5323F"/>
    <w:rsid w:val="00D54391"/>
    <w:rsid w:val="00D5729F"/>
    <w:rsid w:val="00D57B0A"/>
    <w:rsid w:val="00D61D30"/>
    <w:rsid w:val="00D62A31"/>
    <w:rsid w:val="00D65938"/>
    <w:rsid w:val="00D70204"/>
    <w:rsid w:val="00D70471"/>
    <w:rsid w:val="00D71C5A"/>
    <w:rsid w:val="00D72D77"/>
    <w:rsid w:val="00D73DAC"/>
    <w:rsid w:val="00D768BF"/>
    <w:rsid w:val="00D7768F"/>
    <w:rsid w:val="00D80BEC"/>
    <w:rsid w:val="00D85543"/>
    <w:rsid w:val="00D87CB2"/>
    <w:rsid w:val="00D9057F"/>
    <w:rsid w:val="00D908E5"/>
    <w:rsid w:val="00D9162B"/>
    <w:rsid w:val="00D92508"/>
    <w:rsid w:val="00D927ED"/>
    <w:rsid w:val="00D944EC"/>
    <w:rsid w:val="00D967D6"/>
    <w:rsid w:val="00D97CF2"/>
    <w:rsid w:val="00DA2AC6"/>
    <w:rsid w:val="00DA3EA3"/>
    <w:rsid w:val="00DA3F1D"/>
    <w:rsid w:val="00DA4844"/>
    <w:rsid w:val="00DA6E0D"/>
    <w:rsid w:val="00DA7AE6"/>
    <w:rsid w:val="00DB1941"/>
    <w:rsid w:val="00DB215E"/>
    <w:rsid w:val="00DB4513"/>
    <w:rsid w:val="00DB538B"/>
    <w:rsid w:val="00DB5A80"/>
    <w:rsid w:val="00DB7517"/>
    <w:rsid w:val="00DB79C2"/>
    <w:rsid w:val="00DB7CF3"/>
    <w:rsid w:val="00DC13B4"/>
    <w:rsid w:val="00DC2905"/>
    <w:rsid w:val="00DC322C"/>
    <w:rsid w:val="00DC3716"/>
    <w:rsid w:val="00DC468F"/>
    <w:rsid w:val="00DC6295"/>
    <w:rsid w:val="00DC7893"/>
    <w:rsid w:val="00DC789D"/>
    <w:rsid w:val="00DD05FD"/>
    <w:rsid w:val="00DD0693"/>
    <w:rsid w:val="00DD0F0C"/>
    <w:rsid w:val="00DD59E7"/>
    <w:rsid w:val="00DD767E"/>
    <w:rsid w:val="00DD7AE0"/>
    <w:rsid w:val="00DE0D95"/>
    <w:rsid w:val="00DE1B3F"/>
    <w:rsid w:val="00DE25CA"/>
    <w:rsid w:val="00DE3F21"/>
    <w:rsid w:val="00DE54B0"/>
    <w:rsid w:val="00DE71AE"/>
    <w:rsid w:val="00DE7F68"/>
    <w:rsid w:val="00DF0685"/>
    <w:rsid w:val="00DF4FBB"/>
    <w:rsid w:val="00E01017"/>
    <w:rsid w:val="00E01F1B"/>
    <w:rsid w:val="00E04004"/>
    <w:rsid w:val="00E04DE1"/>
    <w:rsid w:val="00E064B7"/>
    <w:rsid w:val="00E07BBB"/>
    <w:rsid w:val="00E111F7"/>
    <w:rsid w:val="00E1179B"/>
    <w:rsid w:val="00E1226C"/>
    <w:rsid w:val="00E14C8A"/>
    <w:rsid w:val="00E14F52"/>
    <w:rsid w:val="00E15268"/>
    <w:rsid w:val="00E155B8"/>
    <w:rsid w:val="00E16A4B"/>
    <w:rsid w:val="00E2065F"/>
    <w:rsid w:val="00E21D83"/>
    <w:rsid w:val="00E23370"/>
    <w:rsid w:val="00E242E0"/>
    <w:rsid w:val="00E25181"/>
    <w:rsid w:val="00E25526"/>
    <w:rsid w:val="00E27794"/>
    <w:rsid w:val="00E3220F"/>
    <w:rsid w:val="00E329C7"/>
    <w:rsid w:val="00E35284"/>
    <w:rsid w:val="00E3606A"/>
    <w:rsid w:val="00E415F4"/>
    <w:rsid w:val="00E42DDB"/>
    <w:rsid w:val="00E44148"/>
    <w:rsid w:val="00E50106"/>
    <w:rsid w:val="00E5034D"/>
    <w:rsid w:val="00E531AE"/>
    <w:rsid w:val="00E57557"/>
    <w:rsid w:val="00E57A48"/>
    <w:rsid w:val="00E6013D"/>
    <w:rsid w:val="00E60521"/>
    <w:rsid w:val="00E60EE9"/>
    <w:rsid w:val="00E622B2"/>
    <w:rsid w:val="00E629A6"/>
    <w:rsid w:val="00E64AB1"/>
    <w:rsid w:val="00E665D8"/>
    <w:rsid w:val="00E7025B"/>
    <w:rsid w:val="00E70C48"/>
    <w:rsid w:val="00E71492"/>
    <w:rsid w:val="00E7192A"/>
    <w:rsid w:val="00E73A3B"/>
    <w:rsid w:val="00E75C34"/>
    <w:rsid w:val="00E80477"/>
    <w:rsid w:val="00E82209"/>
    <w:rsid w:val="00E82754"/>
    <w:rsid w:val="00E82801"/>
    <w:rsid w:val="00E82A73"/>
    <w:rsid w:val="00E83A0C"/>
    <w:rsid w:val="00E862AA"/>
    <w:rsid w:val="00E86541"/>
    <w:rsid w:val="00E86DDB"/>
    <w:rsid w:val="00E87C75"/>
    <w:rsid w:val="00E9016F"/>
    <w:rsid w:val="00E915B0"/>
    <w:rsid w:val="00E91B1D"/>
    <w:rsid w:val="00E92457"/>
    <w:rsid w:val="00E93764"/>
    <w:rsid w:val="00E94A8F"/>
    <w:rsid w:val="00E9518F"/>
    <w:rsid w:val="00E9589C"/>
    <w:rsid w:val="00E95E69"/>
    <w:rsid w:val="00E9623B"/>
    <w:rsid w:val="00E96669"/>
    <w:rsid w:val="00E97487"/>
    <w:rsid w:val="00EA067E"/>
    <w:rsid w:val="00EA0AAA"/>
    <w:rsid w:val="00EA209F"/>
    <w:rsid w:val="00EA20C4"/>
    <w:rsid w:val="00EA34D5"/>
    <w:rsid w:val="00EA4B3D"/>
    <w:rsid w:val="00EA7206"/>
    <w:rsid w:val="00EA7805"/>
    <w:rsid w:val="00EA7C89"/>
    <w:rsid w:val="00EB072A"/>
    <w:rsid w:val="00EB1D57"/>
    <w:rsid w:val="00EB2309"/>
    <w:rsid w:val="00EB2B65"/>
    <w:rsid w:val="00EB36A7"/>
    <w:rsid w:val="00EB55A5"/>
    <w:rsid w:val="00EB61E8"/>
    <w:rsid w:val="00EC114C"/>
    <w:rsid w:val="00EC1A91"/>
    <w:rsid w:val="00EC2304"/>
    <w:rsid w:val="00EC3078"/>
    <w:rsid w:val="00EC69A4"/>
    <w:rsid w:val="00EC6ECD"/>
    <w:rsid w:val="00EC78C0"/>
    <w:rsid w:val="00EC7DBD"/>
    <w:rsid w:val="00ED11CC"/>
    <w:rsid w:val="00ED1E68"/>
    <w:rsid w:val="00ED5F1B"/>
    <w:rsid w:val="00ED7CEA"/>
    <w:rsid w:val="00EE1C94"/>
    <w:rsid w:val="00EE1E3E"/>
    <w:rsid w:val="00EE2286"/>
    <w:rsid w:val="00EE277D"/>
    <w:rsid w:val="00EE334C"/>
    <w:rsid w:val="00EE5142"/>
    <w:rsid w:val="00EF0A23"/>
    <w:rsid w:val="00EF1A2F"/>
    <w:rsid w:val="00EF20C8"/>
    <w:rsid w:val="00EF25FA"/>
    <w:rsid w:val="00EF5861"/>
    <w:rsid w:val="00F0182C"/>
    <w:rsid w:val="00F04C20"/>
    <w:rsid w:val="00F05CF1"/>
    <w:rsid w:val="00F1099F"/>
    <w:rsid w:val="00F109FC"/>
    <w:rsid w:val="00F123A0"/>
    <w:rsid w:val="00F134CD"/>
    <w:rsid w:val="00F1371F"/>
    <w:rsid w:val="00F13B5E"/>
    <w:rsid w:val="00F14AAD"/>
    <w:rsid w:val="00F15D31"/>
    <w:rsid w:val="00F16CFE"/>
    <w:rsid w:val="00F22556"/>
    <w:rsid w:val="00F23B8B"/>
    <w:rsid w:val="00F23E74"/>
    <w:rsid w:val="00F24182"/>
    <w:rsid w:val="00F241AB"/>
    <w:rsid w:val="00F25117"/>
    <w:rsid w:val="00F25558"/>
    <w:rsid w:val="00F2649E"/>
    <w:rsid w:val="00F27341"/>
    <w:rsid w:val="00F2735C"/>
    <w:rsid w:val="00F27437"/>
    <w:rsid w:val="00F3062A"/>
    <w:rsid w:val="00F3238D"/>
    <w:rsid w:val="00F37CB4"/>
    <w:rsid w:val="00F408B4"/>
    <w:rsid w:val="00F408E8"/>
    <w:rsid w:val="00F445A1"/>
    <w:rsid w:val="00F462AF"/>
    <w:rsid w:val="00F52375"/>
    <w:rsid w:val="00F54ABB"/>
    <w:rsid w:val="00F54BCF"/>
    <w:rsid w:val="00F55B11"/>
    <w:rsid w:val="00F56FAE"/>
    <w:rsid w:val="00F57ADC"/>
    <w:rsid w:val="00F60972"/>
    <w:rsid w:val="00F60983"/>
    <w:rsid w:val="00F637D6"/>
    <w:rsid w:val="00F652C2"/>
    <w:rsid w:val="00F6760D"/>
    <w:rsid w:val="00F67B68"/>
    <w:rsid w:val="00F701BE"/>
    <w:rsid w:val="00F7155B"/>
    <w:rsid w:val="00F73E81"/>
    <w:rsid w:val="00F74C0C"/>
    <w:rsid w:val="00F75EEA"/>
    <w:rsid w:val="00F76418"/>
    <w:rsid w:val="00F76459"/>
    <w:rsid w:val="00F817C8"/>
    <w:rsid w:val="00F82EF7"/>
    <w:rsid w:val="00F863F3"/>
    <w:rsid w:val="00F87783"/>
    <w:rsid w:val="00F913CA"/>
    <w:rsid w:val="00F916BD"/>
    <w:rsid w:val="00F9299E"/>
    <w:rsid w:val="00F92B16"/>
    <w:rsid w:val="00F93E9A"/>
    <w:rsid w:val="00F94B40"/>
    <w:rsid w:val="00F9541C"/>
    <w:rsid w:val="00F96103"/>
    <w:rsid w:val="00F968DA"/>
    <w:rsid w:val="00F970F3"/>
    <w:rsid w:val="00FA041D"/>
    <w:rsid w:val="00FA1B87"/>
    <w:rsid w:val="00FA40A1"/>
    <w:rsid w:val="00FA4391"/>
    <w:rsid w:val="00FA4574"/>
    <w:rsid w:val="00FA5837"/>
    <w:rsid w:val="00FA7405"/>
    <w:rsid w:val="00FA7437"/>
    <w:rsid w:val="00FA7D0F"/>
    <w:rsid w:val="00FA7F03"/>
    <w:rsid w:val="00FB3A1E"/>
    <w:rsid w:val="00FB5DDB"/>
    <w:rsid w:val="00FC0C5F"/>
    <w:rsid w:val="00FC29A5"/>
    <w:rsid w:val="00FC2B9E"/>
    <w:rsid w:val="00FC2CB9"/>
    <w:rsid w:val="00FC400E"/>
    <w:rsid w:val="00FC5CBA"/>
    <w:rsid w:val="00FC5E6C"/>
    <w:rsid w:val="00FC6E90"/>
    <w:rsid w:val="00FC7557"/>
    <w:rsid w:val="00FD05A4"/>
    <w:rsid w:val="00FD3225"/>
    <w:rsid w:val="00FD3C9B"/>
    <w:rsid w:val="00FD4023"/>
    <w:rsid w:val="00FD5115"/>
    <w:rsid w:val="00FD52B9"/>
    <w:rsid w:val="00FD7497"/>
    <w:rsid w:val="00FD7D1F"/>
    <w:rsid w:val="00FE0385"/>
    <w:rsid w:val="00FE0439"/>
    <w:rsid w:val="00FE120C"/>
    <w:rsid w:val="00FE2E6A"/>
    <w:rsid w:val="00FE46A7"/>
    <w:rsid w:val="00FE5E4D"/>
    <w:rsid w:val="00FE6F59"/>
    <w:rsid w:val="00FE7225"/>
    <w:rsid w:val="00FF04B9"/>
    <w:rsid w:val="00FF1024"/>
    <w:rsid w:val="00FF105B"/>
    <w:rsid w:val="00FF124A"/>
    <w:rsid w:val="00FF1B9A"/>
    <w:rsid w:val="00FF1C80"/>
    <w:rsid w:val="00FF4AED"/>
    <w:rsid w:val="00FF60F7"/>
    <w:rsid w:val="00FF6BD2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EA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2C"/>
    <w:pPr>
      <w:spacing w:before="60" w:after="6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E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F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F1FC1"/>
    <w:pPr>
      <w:keepNext w:val="0"/>
      <w:keepLines w:val="0"/>
      <w:numPr>
        <w:ilvl w:val="2"/>
        <w:numId w:val="2"/>
      </w:numPr>
      <w:spacing w:before="60" w:after="60" w:line="240" w:lineRule="auto"/>
      <w:outlineLvl w:val="2"/>
    </w:pPr>
    <w:rPr>
      <w:rFonts w:ascii="EYInterstate Light" w:eastAsiaTheme="minorHAnsi" w:hAnsi="EYInterstate Light" w:cstheme="minorBidi"/>
      <w:b w:val="0"/>
      <w:bCs w:val="0"/>
      <w:color w:val="auto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76F"/>
  </w:style>
  <w:style w:type="paragraph" w:styleId="Pieddepage">
    <w:name w:val="footer"/>
    <w:basedOn w:val="Normal"/>
    <w:link w:val="Pieddepag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76F"/>
  </w:style>
  <w:style w:type="paragraph" w:styleId="Paragraphedeliste">
    <w:name w:val="List Paragraph"/>
    <w:basedOn w:val="Normal"/>
    <w:uiPriority w:val="34"/>
    <w:qFormat/>
    <w:rsid w:val="00E23370"/>
    <w:pPr>
      <w:ind w:left="720"/>
      <w:contextualSpacing/>
    </w:pPr>
  </w:style>
  <w:style w:type="paragraph" w:customStyle="1" w:styleId="Default">
    <w:name w:val="Default"/>
    <w:rsid w:val="00B36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7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3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F1FC1"/>
    <w:rPr>
      <w:rFonts w:ascii="EYInterstate Light" w:hAnsi="EYInterstate Light"/>
      <w:sz w:val="16"/>
      <w:szCs w:val="16"/>
    </w:rPr>
  </w:style>
  <w:style w:type="numbering" w:customStyle="1" w:styleId="ListePP">
    <w:name w:val="Liste PP"/>
    <w:uiPriority w:val="99"/>
    <w:rsid w:val="008F1FC1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8F1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">
    <w:name w:val="Bullet"/>
    <w:basedOn w:val="Paragraphedeliste"/>
    <w:qFormat/>
    <w:rsid w:val="00FF105B"/>
    <w:pPr>
      <w:numPr>
        <w:numId w:val="3"/>
      </w:numPr>
      <w:spacing w:line="240" w:lineRule="auto"/>
      <w:contextualSpacing w:val="0"/>
    </w:pPr>
    <w:rPr>
      <w:rFonts w:cs="Arial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BBC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BB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BBC"/>
    <w:rPr>
      <w:vertAlign w:val="superscript"/>
    </w:rPr>
  </w:style>
  <w:style w:type="paragraph" w:customStyle="1" w:styleId="FINMAStandardAbsatz">
    <w:name w:val="FINMA Standard Absatz"/>
    <w:basedOn w:val="Normal"/>
    <w:qFormat/>
    <w:rsid w:val="00394988"/>
    <w:pPr>
      <w:spacing w:before="260" w:after="260" w:line="260" w:lineRule="atLeast"/>
      <w:jc w:val="both"/>
    </w:pPr>
    <w:rPr>
      <w:rFonts w:eastAsia="Times New Roman" w:cs="Times New Roman"/>
      <w:szCs w:val="20"/>
      <w:lang w:val="de-CH" w:bidi="ar-SA"/>
    </w:rPr>
  </w:style>
  <w:style w:type="paragraph" w:styleId="Rvision">
    <w:name w:val="Revision"/>
    <w:hidden/>
    <w:uiPriority w:val="99"/>
    <w:semiHidden/>
    <w:rsid w:val="009F7152"/>
    <w:pPr>
      <w:spacing w:after="0" w:line="240" w:lineRule="auto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E3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nhideWhenUsed/>
    <w:qFormat/>
    <w:rsid w:val="007E3CE9"/>
    <w:pPr>
      <w:spacing w:before="0" w:after="240" w:line="240" w:lineRule="atLeast"/>
    </w:pPr>
    <w:rPr>
      <w:rFonts w:ascii="Georgia" w:hAnsi="Georgia"/>
      <w:szCs w:val="20"/>
      <w:lang w:val="en-GB" w:eastAsia="en-US" w:bidi="ar-SA"/>
    </w:rPr>
  </w:style>
  <w:style w:type="character" w:customStyle="1" w:styleId="CorpsdetexteCar">
    <w:name w:val="Corps de texte Car"/>
    <w:basedOn w:val="Policepardfaut"/>
    <w:link w:val="Corpsdetexte"/>
    <w:rsid w:val="007E3CE9"/>
    <w:rPr>
      <w:rFonts w:ascii="Georgia" w:hAnsi="Georgia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8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9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22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1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7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81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2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2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76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8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6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7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6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71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7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9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2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5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4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2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52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24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89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1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7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5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8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0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9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5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3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853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41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4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7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7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2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17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14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4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7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3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8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30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1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0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9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5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6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48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40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9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1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2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0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40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0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8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74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2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762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8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21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3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1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18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1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7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28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48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32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2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7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25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50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71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18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77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7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5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1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4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1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6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89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74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50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Dok Document" ma:contentTypeID="0x0101003A499141982C43AFAF241BDE541C18D50000519DF5795C73439C3BCF439616D716" ma:contentTypeVersion="18" ma:contentTypeDescription="Create a new document." ma:contentTypeScope="" ma:versionID="5c381630b871acccce22cacbe09e4f12">
  <xsd:schema xmlns:xsd="http://www.w3.org/2001/XMLSchema" xmlns:xs="http://www.w3.org/2001/XMLSchema" xmlns:p="http://schemas.microsoft.com/office/2006/metadata/properties" xmlns:ns2="6a69bcf4-53cf-403b-9048-936b1531f1ad" targetNamespace="http://schemas.microsoft.com/office/2006/metadata/properties" ma:root="true" ma:fieldsID="61a41c9784fa14edb8dbfd47816df8c4" ns2:_="">
    <xsd:import namespace="6a69bcf4-53cf-403b-9048-936b1531f1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maDocumentDate" minOccurs="0"/>
                <xsd:element ref="ns2:FinmaCaseDescription" minOccurs="0"/>
                <xsd:element ref="ns2:f6ac7f7711e24d149a1ab98f6cfad432" minOccurs="0"/>
                <xsd:element ref="ns2:TaxCatchAll" minOccurs="0"/>
                <xsd:element ref="ns2:TaxCatchAllLabel" minOccurs="0"/>
                <xsd:element ref="ns2:FinmaCaseID" minOccurs="0"/>
                <xsd:element ref="ns2:g1c9cab47ab34847b4ac830bba5063b0" minOccurs="0"/>
                <xsd:element ref="ns2:h5452bf913d342ef967d06fb0970c0a5" minOccurs="0"/>
                <xsd:element ref="ns2:n1f5c6536ac648a38ad663cdf8bd44e6" minOccurs="0"/>
                <xsd:element ref="ns2:FinmaPasswordProtected" minOccurs="0"/>
                <xsd:element ref="ns2:FinmaValidationDate" minOccurs="0"/>
                <xsd:element ref="ns2:FinmaValidationResult" minOccurs="0"/>
                <xsd:element ref="ns2:FinmaObjectId" minOccurs="0"/>
                <xsd:element ref="ns2:FinmaObjectName" minOccurs="0"/>
                <xsd:element ref="ns2:Aktionsw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bcf4-53cf-403b-9048-936b1531f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maDocumentDate" ma:index="11" nillable="true" ma:displayName="Dokument Datum" ma:format="DateOnly" ma:internalName="FinmaDocumentDate">
      <xsd:simpleType>
        <xsd:restriction base="dms:DateTime"/>
      </xsd:simpleType>
    </xsd:element>
    <xsd:element name="FinmaCaseDescription" ma:index="12" nillable="true" ma:displayName="Geschäfts Bezeichnung" ma:default="Prüfpunkte (G01315675)" ma:internalName="FinmaCaseDescription">
      <xsd:simpleType>
        <xsd:restriction base="dms:Text">
          <xsd:maxLength value="255"/>
        </xsd:restriction>
      </xsd:simpleType>
    </xsd:element>
    <xsd:element name="f6ac7f7711e24d149a1ab98f6cfad432" ma:index="13" nillable="true" ma:taxonomy="true" ma:internalName="f6ac7f7711e24d149a1ab98f6cfad432" ma:taxonomyFieldName="FinmaCaseStatus" ma:displayName="Geschäfts Status" ma:default="1;#Aktiv|7439e81f-a110-4e88-a7af-acf8d4806223" ma:fieldId="{f6ac7f77-11e2-4d14-9a1a-b98f6cfad432}" ma:sspId="1614e331-078d-4830-aac2-889f77d1de05" ma:termSetId="fbd22871-fe11-4cfd-b99d-0f5fc7eae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1d897c7-6512-47f2-a160-da422b0663e8}" ma:internalName="TaxCatchAll" ma:showField="CatchAllData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1d897c7-6512-47f2-a160-da422b0663e8}" ma:internalName="TaxCatchAllLabel" ma:readOnly="true" ma:showField="CatchAllDataLabel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maCaseID" ma:index="17" nillable="true" ma:displayName="Geschäfts ID" ma:default="G01315675" ma:internalName="FinmaCaseID">
      <xsd:simpleType>
        <xsd:restriction base="dms:Text">
          <xsd:maxLength value="255"/>
        </xsd:restriction>
      </xsd:simpleType>
    </xsd:element>
    <xsd:element name="g1c9cab47ab34847b4ac830bba5063b0" ma:index="18" nillable="true" ma:taxonomy="true" ma:internalName="g1c9cab47ab34847b4ac830bba5063b0" ma:taxonomyFieldName="FinmaCatchphrases" ma:displayName="Schlagwort" ma:fieldId="{01c9cab4-7ab3-4847-b4ac-830bba5063b0}" ma:taxonomyMulti="true" ma:sspId="1614e331-078d-4830-aac2-889f77d1de05" ma:termSetId="35ed469d-bfb4-4e58-83fd-01918edae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452bf913d342ef967d06fb0970c0a5" ma:index="20" nillable="true" ma:taxonomy="true" ma:internalName="h5452bf913d342ef967d06fb0970c0a5" ma:taxonomyFieldName="FinmaCategory" ma:displayName="Kategorie" ma:fieldId="{15452bf9-13d3-42ef-967d-06fb0970c0a5}" ma:sspId="1614e331-078d-4830-aac2-889f77d1de05" ma:termSetId="76a2fa96-3e9b-4d62-901d-d1895154867f" ma:anchorId="de8e377e-5092-4bcb-9739-6ef0d154a6b9" ma:open="false" ma:isKeyword="false">
      <xsd:complexType>
        <xsd:sequence>
          <xsd:element ref="pc:Terms" minOccurs="0" maxOccurs="1"/>
        </xsd:sequence>
      </xsd:complexType>
    </xsd:element>
    <xsd:element name="n1f5c6536ac648a38ad663cdf8bd44e6" ma:index="22" nillable="true" ma:taxonomy="true" ma:internalName="n1f5c6536ac648a38ad663cdf8bd44e6" ma:taxonomyFieldName="FinmaCrmEntityIDs" ma:displayName="CRM Verknüpfung IDs" ma:fieldId="{71f5c653-6ac6-48a3-8ad6-63cdf8bd44e6}" ma:taxonomyMulti="true" ma:sspId="1614e331-078d-4830-aac2-889f77d1de05" ma:termSetId="82dd8aca-48d0-4b35-8214-4412d12ff6a5" ma:anchorId="014b0467-8825-4d4f-8a01-d04ca28bebe8" ma:open="false" ma:isKeyword="false">
      <xsd:complexType>
        <xsd:sequence>
          <xsd:element ref="pc:Terms" minOccurs="0" maxOccurs="1"/>
        </xsd:sequence>
      </xsd:complexType>
    </xsd:element>
    <xsd:element name="FinmaPasswordProtected" ma:index="24" nillable="true" ma:displayName="Passwortgeschützt" ma:internalName="FinmaPasswordProtected">
      <xsd:simpleType>
        <xsd:restriction base="dms:Boolean"/>
      </xsd:simpleType>
    </xsd:element>
    <xsd:element name="FinmaValidationDate" ma:index="25" nillable="true" ma:displayName="Prüfzeitpunkt" ma:format="DateTime" ma:internalName="FinmaValidationDate">
      <xsd:simpleType>
        <xsd:restriction base="dms:DateTime"/>
      </xsd:simpleType>
    </xsd:element>
    <xsd:element name="FinmaValidationResult" ma:index="27" nillable="true" ma:displayName="ValidationResults" ma:internalName="FinmaValidationResult">
      <xsd:simpleType>
        <xsd:restriction base="dms:Note">
          <xsd:maxLength value="255"/>
        </xsd:restriction>
      </xsd:simpleType>
    </xsd:element>
    <xsd:element name="FinmaObjectId" ma:index="28" nillable="true" ma:displayName="Finma Objekt ID" ma:default="F00164912" ma:internalName="FinmaObjectId">
      <xsd:simpleType>
        <xsd:restriction base="dms:Text">
          <xsd:maxLength value="255"/>
        </xsd:restriction>
      </xsd:simpleType>
    </xsd:element>
    <xsd:element name="FinmaObjectName" ma:index="29" nillable="true" ma:displayName="Finma Objekt Bezeichnung" ma:default="Eidgenössische Finanzmarktaufsicht FINMA (F00164912)" ma:internalName="FinmaObjectName">
      <xsd:simpleType>
        <xsd:restriction base="dms:Text">
          <xsd:maxLength value="255"/>
        </xsd:restriction>
      </xsd:simpleType>
    </xsd:element>
    <xsd:element name="Aktionswert" ma:index="30" nillable="true" ma:displayName="Aktionswert" ma:hidden="true" ma:internalName="Aktionswer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9bcf4-53cf-403b-9048-936b1531f1ad">
      <Value>1</Value>
    </TaxCatchAll>
    <Aktionswert xmlns="6a69bcf4-53cf-403b-9048-936b1531f1ad" xsi:nil="true"/>
    <_dlc_DocId xmlns="6a69bcf4-53cf-403b-9048-936b1531f1ad">G01315675-000146</_dlc_DocId>
    <_dlc_DocIdUrl xmlns="6a69bcf4-53cf-403b-9048-936b1531f1ad">
      <Url>https://gdok.finma.ch/container/1446/_layouts/15/DocIdRedir.aspx?ID=G01315675-000146</Url>
      <Description>G01315675-000146</Description>
    </_dlc_DocIdUrl>
    <FinmaPasswordProtected xmlns="6a69bcf4-53cf-403b-9048-936b1531f1ad">false</FinmaPasswordProtected>
    <f6ac7f7711e24d149a1ab98f6cfad432 xmlns="6a69bcf4-53cf-403b-9048-936b1531f1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7439e81f-a110-4e88-a7af-acf8d4806223</TermId>
        </TermInfo>
      </Terms>
    </f6ac7f7711e24d149a1ab98f6cfad432>
    <FinmaValidationDate xmlns="6a69bcf4-53cf-403b-9048-936b1531f1ad">2025-02-26T12:55:24+00:00</FinmaValidationDate>
    <FinmaDocumentDate xmlns="6a69bcf4-53cf-403b-9048-936b1531f1ad">2019-10-21T09:47:30+00:00</FinmaDocumentDate>
    <FinmaValidationResult xmlns="6a69bcf4-53cf-403b-9048-936b1531f1ad" xsi:nil="true"/>
    <FinmaObjectName xmlns="6a69bcf4-53cf-403b-9048-936b1531f1ad">Eidgenössische Finanzmarktaufsicht FINMA (F00164912)</FinmaObjectName>
    <h5452bf913d342ef967d06fb0970c0a5 xmlns="6a69bcf4-53cf-403b-9048-936b1531f1ad">
      <Terms xmlns="http://schemas.microsoft.com/office/infopath/2007/PartnerControls"/>
    </h5452bf913d342ef967d06fb0970c0a5>
    <g1c9cab47ab34847b4ac830bba5063b0 xmlns="6a69bcf4-53cf-403b-9048-936b1531f1ad">
      <Terms xmlns="http://schemas.microsoft.com/office/infopath/2007/PartnerControls"/>
    </g1c9cab47ab34847b4ac830bba5063b0>
    <FinmaCaseDescription xmlns="6a69bcf4-53cf-403b-9048-936b1531f1ad">Prüfpunkte (G01315675)</FinmaCaseDescription>
    <FinmaCaseID xmlns="6a69bcf4-53cf-403b-9048-936b1531f1ad">G01315675</FinmaCaseID>
    <n1f5c6536ac648a38ad663cdf8bd44e6 xmlns="6a69bcf4-53cf-403b-9048-936b1531f1ad">
      <Terms xmlns="http://schemas.microsoft.com/office/infopath/2007/PartnerControls"/>
    </n1f5c6536ac648a38ad663cdf8bd44e6>
    <FinmaObjectId xmlns="6a69bcf4-53cf-403b-9048-936b1531f1ad">F00164912</FinmaObjectId>
  </documentManagement>
</p:properties>
</file>

<file path=customXml/itemProps1.xml><?xml version="1.0" encoding="utf-8"?>
<ds:datastoreItem xmlns:ds="http://schemas.openxmlformats.org/officeDocument/2006/customXml" ds:itemID="{E5F9CC2A-9D11-442F-BBAF-75C4DDE8B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F8798-3669-4961-9CCA-9FD6E846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7504A-870E-4EAA-8410-DAB4D75A4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9bcf4-53cf-403b-9048-936b1531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49E2D-B463-4804-A97B-AA569C9D07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9F1C2D-3A5A-49ED-9B1E-7BAFC32284A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69bcf4-53cf-403b-9048-936b1531f1a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9</ap:Pages>
  <ap:Words>2233</ap:Words>
  <ap:Characters>14072</ap:Characters>
  <ap:DocSecurity>0</ap:DocSecurity>
  <ap:Lines>117</ap:Lines>
  <ap:Paragraphs>32</ap:Paragraphs>
  <ap:ScaleCrop>false</ap:ScaleCrop>
  <ap:HeadingPairs>
    <vt:vector baseType="variant" size="4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16273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dcterms:created xsi:type="dcterms:W3CDTF">2025-02-26T12:55:00.0000000Z</dcterms:created>
  <dcterms:modified xsi:type="dcterms:W3CDTF">2025-03-24T13:52:00.0000000Z</dcterms:modified>
  <dc:subject/>
  <category/>
  <keywords/>
  <dc:description/>
  <contentType/>
  <contentStatus/>
  <version/>
  <revision/>
  <dc:language/>
  <dc:identifier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Ordnungsposition">
    <vt:lpwstr>18</vt:lpwstr>
  </op:property>
  <op:property fmtid="{D5CDD505-2E9C-101B-9397-08002B2CF9AE}" pid="4" name="Schlagwort">
    <vt:lpwstr/>
  </op:property>
  <op:property fmtid="{D5CDD505-2E9C-101B-9397-08002B2CF9AE}" pid="5" name="_dlc_DocIdItemGuid">
    <vt:lpwstr>39967bc3-3a5d-4044-ab90-d092776e3840</vt:lpwstr>
  </op:property>
  <op:property fmtid="{D5CDD505-2E9C-101B-9397-08002B2CF9AE}" pid="6" name="Schlagwort KategorieTaxHTField0">
    <vt:lpwstr/>
  </op:property>
  <op:property fmtid="{D5CDD505-2E9C-101B-9397-08002B2CF9AE}" pid="7" name="FinmaReceiver">
    <vt:lpwstr/>
  </op:property>
  <op:property fmtid="{D5CDD505-2E9C-101B-9397-08002B2CF9AE}" pid="8" name="FinmaSender">
    <vt:lpwstr/>
  </op:property>
  <op:property fmtid="{D5CDD505-2E9C-101B-9397-08002B2CF9AE}" pid="9" name="FinmaCrmEntityIDs">
    <vt:lpwstr/>
  </op:property>
  <op:property fmtid="{D5CDD505-2E9C-101B-9397-08002B2CF9AE}" pid="10" name="Schlagwort Kategorie">
    <vt:lpwstr/>
  </op:property>
  <op:property fmtid="{D5CDD505-2E9C-101B-9397-08002B2CF9AE}" pid="11" name="FinmaCatchphrases">
    <vt:lpwstr/>
  </op:property>
  <op:property fmtid="{D5CDD505-2E9C-101B-9397-08002B2CF9AE}" pid="12" name="FinmaCaseStatus">
    <vt:lpwstr>1;#Aktiv|7439e81f-a110-4e88-a7af-acf8d4806223</vt:lpwstr>
  </op:property>
  <op:property fmtid="{D5CDD505-2E9C-101B-9397-08002B2CF9AE}" pid="13" name="FinmaCategory">
    <vt:lpwstr/>
  </op:property>
  <op:property fmtid="{D5CDD505-2E9C-101B-9397-08002B2CF9AE}" pid="14" name="Dossier Typ">
    <vt:lpwstr/>
  </op:property>
  <op:property fmtid="{D5CDD505-2E9C-101B-9397-08002B2CF9AE}" pid="15" name="Kategorie">
    <vt:lpwstr/>
  </op:property>
</op:Properties>
</file>