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od_000"/>
    <w:p w14:paraId="412CF36D" w14:textId="1E867B55" w:rsidR="00501862" w:rsidRPr="00003E26" w:rsidRDefault="00AB2652" w:rsidP="008362E0">
      <w:pPr>
        <w:spacing w:before="120" w:after="120" w:line="240" w:lineRule="auto"/>
        <w:rPr>
          <w:rFonts w:cs="Arial"/>
          <w:b/>
          <w:sz w:val="28"/>
          <w:szCs w:val="28"/>
        </w:rPr>
      </w:pPr>
      <w:r>
        <w:rPr>
          <w:b/>
          <w:sz w:val="28"/>
        </w:rPr>
        <w:t xml:space="preserve">Points d’audit concernant les autres risques en lien avec les questions de </w:t>
      </w:r>
      <w:r w:rsidRPr="00431C62">
        <w:rPr>
          <w:b/>
          <w:i/>
          <w:iCs/>
          <w:sz w:val="28"/>
        </w:rPr>
        <w:t>compliance</w:t>
      </w:r>
    </w:p>
    <w:p w14:paraId="74837E87" w14:textId="77777777" w:rsidR="00501862" w:rsidRPr="00DB7CF3" w:rsidRDefault="00501862" w:rsidP="008362E0">
      <w:pPr>
        <w:spacing w:before="120" w:after="120" w:line="240" w:lineRule="auto"/>
        <w:rPr>
          <w:rFonts w:cs="Arial"/>
          <w:b/>
        </w:rPr>
      </w:pPr>
      <w:r>
        <w:rPr>
          <w:b/>
        </w:rPr>
        <w:t>Vue d'ensemble</w:t>
      </w:r>
    </w:p>
    <w:tbl>
      <w:tblPr>
        <w:tblStyle w:val="Tabellenraster"/>
        <w:tblW w:w="0" w:type="auto"/>
        <w:tblInd w:w="108" w:type="dxa"/>
        <w:tblLook w:val="04A0" w:firstRow="1" w:lastRow="0" w:firstColumn="1" w:lastColumn="0" w:noHBand="0" w:noVBand="1"/>
      </w:tblPr>
      <w:tblGrid>
        <w:gridCol w:w="2597"/>
        <w:gridCol w:w="11288"/>
      </w:tblGrid>
      <w:tr w:rsidR="00501862" w:rsidRPr="00AF6AA5" w14:paraId="13CDA181" w14:textId="77777777" w:rsidTr="008D43E0">
        <w:tc>
          <w:tcPr>
            <w:tcW w:w="2597" w:type="dxa"/>
            <w:shd w:val="pct10" w:color="auto" w:fill="auto"/>
          </w:tcPr>
          <w:p w14:paraId="7399EA64" w14:textId="77777777" w:rsidR="00501862" w:rsidRPr="009D4673" w:rsidRDefault="00501862" w:rsidP="008362E0">
            <w:pPr>
              <w:tabs>
                <w:tab w:val="left" w:pos="1418"/>
              </w:tabs>
              <w:spacing w:before="60" w:after="60" w:line="240" w:lineRule="auto"/>
              <w:rPr>
                <w:rFonts w:cs="Arial"/>
                <w:b/>
              </w:rPr>
            </w:pPr>
            <w:r>
              <w:rPr>
                <w:b/>
              </w:rPr>
              <w:t>Sujet :</w:t>
            </w:r>
          </w:p>
        </w:tc>
        <w:tc>
          <w:tcPr>
            <w:tcW w:w="11288" w:type="dxa"/>
            <w:shd w:val="pct10" w:color="auto" w:fill="auto"/>
          </w:tcPr>
          <w:p w14:paraId="72C1E726" w14:textId="77777777" w:rsidR="00501862" w:rsidRPr="009D4673" w:rsidRDefault="00501862" w:rsidP="008362E0">
            <w:pPr>
              <w:tabs>
                <w:tab w:val="left" w:pos="1859"/>
              </w:tabs>
              <w:spacing w:before="60" w:after="60" w:line="240" w:lineRule="auto"/>
              <w:rPr>
                <w:rFonts w:cs="Arial"/>
                <w:b/>
              </w:rPr>
            </w:pPr>
            <w:r>
              <w:rPr>
                <w:b/>
              </w:rPr>
              <w:t xml:space="preserve">Risques d'affaires – gestion des risques : autres risques en lien avec les questions de </w:t>
            </w:r>
            <w:r>
              <w:rPr>
                <w:b/>
                <w:i/>
              </w:rPr>
              <w:t>compliance</w:t>
            </w:r>
          </w:p>
        </w:tc>
      </w:tr>
      <w:tr w:rsidR="00501862" w:rsidRPr="009D4673" w14:paraId="10AA12B3" w14:textId="77777777" w:rsidTr="008D43E0">
        <w:tc>
          <w:tcPr>
            <w:tcW w:w="2597" w:type="dxa"/>
            <w:shd w:val="pct10" w:color="auto" w:fill="auto"/>
          </w:tcPr>
          <w:p w14:paraId="52B99FB7" w14:textId="77777777" w:rsidR="00501862" w:rsidRPr="009D4673" w:rsidRDefault="00501862" w:rsidP="008362E0">
            <w:pPr>
              <w:tabs>
                <w:tab w:val="left" w:pos="1418"/>
              </w:tabs>
              <w:spacing w:before="60" w:after="60" w:line="240" w:lineRule="auto"/>
              <w:rPr>
                <w:rFonts w:cs="Arial"/>
                <w:b/>
              </w:rPr>
            </w:pPr>
            <w:r>
              <w:rPr>
                <w:b/>
              </w:rPr>
              <w:t>Etendue d'audit :</w:t>
            </w:r>
          </w:p>
        </w:tc>
        <w:tc>
          <w:tcPr>
            <w:tcW w:w="11288" w:type="dxa"/>
            <w:shd w:val="pct10" w:color="auto" w:fill="auto"/>
          </w:tcPr>
          <w:p w14:paraId="3630FEC1" w14:textId="427432B9" w:rsidR="00501862" w:rsidRPr="009D4673" w:rsidRDefault="00501862" w:rsidP="008362E0">
            <w:pPr>
              <w:tabs>
                <w:tab w:val="left" w:pos="1859"/>
              </w:tabs>
              <w:spacing w:before="60" w:after="60" w:line="240" w:lineRule="auto"/>
              <w:rPr>
                <w:rFonts w:cs="Arial"/>
              </w:rPr>
            </w:pPr>
            <w:r>
              <w:rPr>
                <w:highlight w:val="yellow"/>
              </w:rPr>
              <w:t>[Audit / Revue critique]</w:t>
            </w:r>
            <w:r w:rsidR="00AB2652">
              <w:rPr>
                <w:rStyle w:val="Funotenzeichen"/>
                <w:highlight w:val="yellow"/>
              </w:rPr>
              <w:footnoteReference w:id="1"/>
            </w:r>
          </w:p>
        </w:tc>
      </w:tr>
      <w:tr w:rsidR="00501862" w:rsidRPr="00AF6AA5" w14:paraId="115CA965" w14:textId="77777777" w:rsidTr="008D43E0">
        <w:tc>
          <w:tcPr>
            <w:tcW w:w="2597" w:type="dxa"/>
          </w:tcPr>
          <w:p w14:paraId="6BACA2C1" w14:textId="77777777" w:rsidR="00500041" w:rsidRPr="00EB30C0" w:rsidRDefault="00500041" w:rsidP="00500041">
            <w:pPr>
              <w:tabs>
                <w:tab w:val="left" w:pos="1418"/>
              </w:tabs>
              <w:spacing w:before="60" w:after="60" w:line="240" w:lineRule="auto"/>
              <w:rPr>
                <w:rFonts w:cs="Arial"/>
                <w:b/>
              </w:rPr>
            </w:pPr>
            <w:r>
              <w:rPr>
                <w:b/>
              </w:rPr>
              <w:t>Bases légales</w:t>
            </w:r>
          </w:p>
          <w:p w14:paraId="69F84D9C" w14:textId="58ECAE7D" w:rsidR="00501862" w:rsidRPr="00500041" w:rsidRDefault="00500041" w:rsidP="00500041">
            <w:pPr>
              <w:tabs>
                <w:tab w:val="left" w:pos="1418"/>
              </w:tabs>
              <w:spacing w:before="60" w:after="60" w:line="240" w:lineRule="auto"/>
              <w:rPr>
                <w:rFonts w:cs="Arial"/>
              </w:rPr>
            </w:pPr>
            <w:r>
              <w:t>(liste non exhaustive)</w:t>
            </w:r>
          </w:p>
        </w:tc>
        <w:tc>
          <w:tcPr>
            <w:tcW w:w="11288" w:type="dxa"/>
          </w:tcPr>
          <w:p w14:paraId="03E35316" w14:textId="77777777" w:rsidR="00AB2652" w:rsidRDefault="00AB2652" w:rsidP="008362E0">
            <w:pPr>
              <w:tabs>
                <w:tab w:val="left" w:pos="1859"/>
              </w:tabs>
              <w:spacing w:before="60" w:after="60" w:line="240" w:lineRule="auto"/>
            </w:pPr>
            <w:r>
              <w:t>Art. 3 al. 2 let. </w:t>
            </w:r>
            <w:proofErr w:type="gramStart"/>
            <w:r>
              <w:t>a</w:t>
            </w:r>
            <w:proofErr w:type="gramEnd"/>
            <w:r>
              <w:t xml:space="preserve"> de la loi sur les banques (LB)</w:t>
            </w:r>
          </w:p>
          <w:p w14:paraId="2EC78022" w14:textId="77777777" w:rsidR="00AB2652" w:rsidRDefault="00AB2652" w:rsidP="008362E0">
            <w:pPr>
              <w:tabs>
                <w:tab w:val="left" w:pos="1859"/>
              </w:tabs>
              <w:spacing w:before="60" w:after="60" w:line="240" w:lineRule="auto"/>
            </w:pPr>
            <w:r>
              <w:t>Art. 9 de la loi sur les établissements financiers (</w:t>
            </w:r>
            <w:proofErr w:type="spellStart"/>
            <w:r>
              <w:t>LEFin</w:t>
            </w:r>
            <w:proofErr w:type="spellEnd"/>
            <w:r>
              <w:t>)</w:t>
            </w:r>
          </w:p>
          <w:p w14:paraId="75C6499D" w14:textId="24C82F33" w:rsidR="00501862" w:rsidRPr="009D4673" w:rsidRDefault="00501862" w:rsidP="008362E0">
            <w:pPr>
              <w:tabs>
                <w:tab w:val="left" w:pos="1859"/>
              </w:tabs>
              <w:spacing w:before="60" w:after="60" w:line="240" w:lineRule="auto"/>
              <w:rPr>
                <w:rFonts w:cs="Arial"/>
              </w:rPr>
            </w:pPr>
            <w:r>
              <w:t>Art. 12 de l'ordonnance sur les banques (OB)</w:t>
            </w:r>
          </w:p>
          <w:p w14:paraId="7A4B80B4" w14:textId="77777777" w:rsidR="00AB2652" w:rsidRDefault="00AB2652" w:rsidP="008362E0">
            <w:pPr>
              <w:tabs>
                <w:tab w:val="left" w:pos="1859"/>
              </w:tabs>
              <w:spacing w:before="60" w:after="60" w:line="240" w:lineRule="auto"/>
            </w:pPr>
            <w:r>
              <w:t>Art. 12 et 66-68 de l’ordonnance sur les établissements financiers (</w:t>
            </w:r>
            <w:proofErr w:type="spellStart"/>
            <w:r>
              <w:t>OEFin</w:t>
            </w:r>
            <w:proofErr w:type="spellEnd"/>
            <w:r>
              <w:t>)</w:t>
            </w:r>
          </w:p>
          <w:p w14:paraId="2FB091E7" w14:textId="42C6BFFC" w:rsidR="00EB262A" w:rsidRPr="00EB262A" w:rsidRDefault="00EB262A" w:rsidP="008362E0">
            <w:pPr>
              <w:tabs>
                <w:tab w:val="left" w:pos="1859"/>
              </w:tabs>
              <w:spacing w:before="60" w:after="60" w:line="240" w:lineRule="auto"/>
              <w:rPr>
                <w:rFonts w:cs="Arial"/>
              </w:rPr>
            </w:pPr>
            <w:r w:rsidRPr="00EB262A">
              <w:t>Art. 12 al. 2</w:t>
            </w:r>
            <w:r w:rsidRPr="008D43E0">
              <w:rPr>
                <w:vertAlign w:val="superscript"/>
              </w:rPr>
              <w:t>bis</w:t>
            </w:r>
            <w:r w:rsidRPr="00EB262A">
              <w:t xml:space="preserve"> </w:t>
            </w:r>
            <w:r w:rsidR="00AB2652">
              <w:t xml:space="preserve">OB </w:t>
            </w:r>
            <w:r w:rsidRPr="00EB262A">
              <w:t>en re</w:t>
            </w:r>
            <w:r w:rsidRPr="008D43E0">
              <w:t>lation avec les a</w:t>
            </w:r>
            <w:r>
              <w:t>rt. 56 et 61a de l'ordonnance-FINMA sur l'insolvabilité bancaire (OIB-FINMA)</w:t>
            </w:r>
          </w:p>
          <w:p w14:paraId="4D53C597" w14:textId="329925F0" w:rsidR="007715B7" w:rsidRDefault="007715B7" w:rsidP="008362E0">
            <w:pPr>
              <w:tabs>
                <w:tab w:val="left" w:pos="1859"/>
              </w:tabs>
              <w:spacing w:before="60" w:after="60" w:line="240" w:lineRule="auto"/>
              <w:rPr>
                <w:rFonts w:cs="Arial"/>
              </w:rPr>
            </w:pPr>
            <w:r>
              <w:rPr>
                <w:rFonts w:cs="Arial"/>
              </w:rPr>
              <w:t>Circulaire FINMA 2008/</w:t>
            </w:r>
            <w:proofErr w:type="gramStart"/>
            <w:r>
              <w:rPr>
                <w:rFonts w:cs="Arial"/>
              </w:rPr>
              <w:t xml:space="preserve">21 </w:t>
            </w:r>
            <w:r w:rsidR="005763DC">
              <w:rPr>
                <w:rFonts w:cs="Arial"/>
              </w:rPr>
              <w:t> «</w:t>
            </w:r>
            <w:proofErr w:type="gramEnd"/>
            <w:r w:rsidR="005763DC">
              <w:rPr>
                <w:rFonts w:cs="Arial"/>
              </w:rPr>
              <w:t> </w:t>
            </w:r>
            <w:r>
              <w:rPr>
                <w:rFonts w:cs="Arial"/>
              </w:rPr>
              <w:t>Risques opérationnels – banques</w:t>
            </w:r>
            <w:r w:rsidR="005763DC">
              <w:rPr>
                <w:rFonts w:cs="Arial"/>
              </w:rPr>
              <w:t xml:space="preserve"> » </w:t>
            </w:r>
            <w:r>
              <w:rPr>
                <w:rFonts w:cs="Arial"/>
              </w:rPr>
              <w:t>(</w:t>
            </w:r>
            <w:proofErr w:type="spellStart"/>
            <w:r>
              <w:rPr>
                <w:rFonts w:cs="Arial"/>
              </w:rPr>
              <w:t>Circ.-FINMA</w:t>
            </w:r>
            <w:proofErr w:type="spellEnd"/>
            <w:r>
              <w:rPr>
                <w:rFonts w:cs="Arial"/>
              </w:rPr>
              <w:t xml:space="preserve"> 08/21, Cm 136.2 – 136.5) </w:t>
            </w:r>
          </w:p>
          <w:p w14:paraId="6136E0D8" w14:textId="1F7BC26F" w:rsidR="007715B7" w:rsidRPr="009D4673" w:rsidRDefault="007715B7" w:rsidP="00EB262A">
            <w:pPr>
              <w:tabs>
                <w:tab w:val="left" w:pos="1859"/>
              </w:tabs>
              <w:spacing w:before="60" w:after="60" w:line="240" w:lineRule="auto"/>
              <w:rPr>
                <w:rFonts w:cs="Arial"/>
              </w:rPr>
            </w:pPr>
            <w:r>
              <w:rPr>
                <w:rFonts w:cs="Arial"/>
              </w:rPr>
              <w:t xml:space="preserve">Circulaire FINMA 2017/6 </w:t>
            </w:r>
            <w:r w:rsidR="005763DC">
              <w:rPr>
                <w:rFonts w:cs="Arial"/>
              </w:rPr>
              <w:t> « </w:t>
            </w:r>
            <w:r>
              <w:rPr>
                <w:rFonts w:cs="Arial"/>
              </w:rPr>
              <w:t>Transmission directe</w:t>
            </w:r>
            <w:r w:rsidR="005763DC">
              <w:rPr>
                <w:rFonts w:cs="Arial"/>
              </w:rPr>
              <w:t> »</w:t>
            </w:r>
            <w:r>
              <w:rPr>
                <w:rFonts w:cs="Arial"/>
              </w:rPr>
              <w:t xml:space="preserve"> </w:t>
            </w:r>
            <w:r w:rsidR="00DD76F5">
              <w:rPr>
                <w:rFonts w:cs="Arial"/>
              </w:rPr>
              <w:t>(</w:t>
            </w:r>
            <w:proofErr w:type="spellStart"/>
            <w:r w:rsidR="00DD76F5">
              <w:rPr>
                <w:rFonts w:cs="Arial"/>
              </w:rPr>
              <w:t>Circ.-FINMA</w:t>
            </w:r>
            <w:proofErr w:type="spellEnd"/>
            <w:r w:rsidR="00DD76F5">
              <w:rPr>
                <w:rFonts w:cs="Arial"/>
              </w:rPr>
              <w:t xml:space="preserve"> 17/6) </w:t>
            </w:r>
          </w:p>
        </w:tc>
      </w:tr>
      <w:tr w:rsidR="00501862" w:rsidRPr="009D4673" w14:paraId="31D74366" w14:textId="77777777" w:rsidTr="008D43E0">
        <w:trPr>
          <w:trHeight w:val="2160"/>
        </w:trPr>
        <w:tc>
          <w:tcPr>
            <w:tcW w:w="2597" w:type="dxa"/>
          </w:tcPr>
          <w:p w14:paraId="6994A5DD" w14:textId="77777777" w:rsidR="00501862" w:rsidRDefault="00501862" w:rsidP="008362E0">
            <w:pPr>
              <w:tabs>
                <w:tab w:val="left" w:pos="1418"/>
              </w:tabs>
              <w:spacing w:before="60" w:after="60" w:line="240" w:lineRule="auto"/>
              <w:rPr>
                <w:rFonts w:cs="Arial"/>
                <w:b/>
              </w:rPr>
            </w:pPr>
            <w:r>
              <w:rPr>
                <w:b/>
              </w:rPr>
              <w:t>Visas :</w:t>
            </w:r>
          </w:p>
          <w:p w14:paraId="728EB892" w14:textId="77777777" w:rsidR="009448DA" w:rsidRDefault="009448DA" w:rsidP="008362E0">
            <w:pPr>
              <w:tabs>
                <w:tab w:val="left" w:pos="1418"/>
              </w:tabs>
              <w:spacing w:before="60" w:after="60" w:line="240" w:lineRule="auto"/>
              <w:rPr>
                <w:rFonts w:cs="Arial"/>
                <w:b/>
              </w:rPr>
            </w:pPr>
          </w:p>
          <w:p w14:paraId="24608D7C" w14:textId="77777777" w:rsidR="009448DA" w:rsidRDefault="009448DA" w:rsidP="008362E0">
            <w:pPr>
              <w:tabs>
                <w:tab w:val="left" w:pos="1418"/>
              </w:tabs>
              <w:spacing w:before="60" w:after="60" w:line="240" w:lineRule="auto"/>
              <w:rPr>
                <w:rFonts w:cs="Arial"/>
                <w:b/>
              </w:rPr>
            </w:pPr>
          </w:p>
          <w:p w14:paraId="10CE24DE" w14:textId="77777777" w:rsidR="009448DA" w:rsidRDefault="009448DA" w:rsidP="008362E0">
            <w:pPr>
              <w:tabs>
                <w:tab w:val="left" w:pos="1418"/>
              </w:tabs>
              <w:spacing w:before="60" w:after="60" w:line="240" w:lineRule="auto"/>
              <w:rPr>
                <w:rFonts w:cs="Arial"/>
                <w:b/>
              </w:rPr>
            </w:pPr>
          </w:p>
          <w:p w14:paraId="16351FCF" w14:textId="77777777" w:rsidR="009448DA" w:rsidRDefault="009448DA" w:rsidP="008362E0">
            <w:pPr>
              <w:tabs>
                <w:tab w:val="left" w:pos="1418"/>
              </w:tabs>
              <w:spacing w:before="60" w:after="60" w:line="240" w:lineRule="auto"/>
              <w:rPr>
                <w:rFonts w:cs="Arial"/>
                <w:b/>
              </w:rPr>
            </w:pPr>
          </w:p>
          <w:p w14:paraId="79EE8E49" w14:textId="77777777" w:rsidR="009448DA" w:rsidRDefault="009448DA" w:rsidP="008362E0">
            <w:pPr>
              <w:tabs>
                <w:tab w:val="left" w:pos="1418"/>
              </w:tabs>
              <w:spacing w:before="60" w:after="60" w:line="240" w:lineRule="auto"/>
              <w:rPr>
                <w:rFonts w:cs="Arial"/>
                <w:b/>
              </w:rPr>
            </w:pPr>
          </w:p>
          <w:p w14:paraId="7FB490CE" w14:textId="4C4B259B" w:rsidR="009448DA" w:rsidRPr="009D4673" w:rsidRDefault="009448DA" w:rsidP="008362E0">
            <w:pPr>
              <w:tabs>
                <w:tab w:val="left" w:pos="1418"/>
              </w:tabs>
              <w:spacing w:before="60" w:after="60" w:line="240" w:lineRule="auto"/>
              <w:rPr>
                <w:rFonts w:cs="Arial"/>
                <w:b/>
              </w:rPr>
            </w:pPr>
          </w:p>
        </w:tc>
        <w:tc>
          <w:tcPr>
            <w:tcW w:w="11288" w:type="dxa"/>
          </w:tcPr>
          <w:p w14:paraId="4D243B2D" w14:textId="77777777" w:rsidR="00501862" w:rsidRPr="009D4673" w:rsidRDefault="00501862" w:rsidP="008362E0">
            <w:pPr>
              <w:tabs>
                <w:tab w:val="left" w:pos="1859"/>
              </w:tabs>
              <w:spacing w:before="60" w:after="60" w:line="240" w:lineRule="auto"/>
              <w:rPr>
                <w:rFonts w:cs="Arial"/>
              </w:rPr>
            </w:pPr>
          </w:p>
          <w:tbl>
            <w:tblPr>
              <w:tblStyle w:val="Tabellenraster"/>
              <w:tblW w:w="0" w:type="auto"/>
              <w:tblLook w:val="04A0" w:firstRow="1" w:lastRow="0" w:firstColumn="1" w:lastColumn="0" w:noHBand="0" w:noVBand="1"/>
            </w:tblPr>
            <w:tblGrid>
              <w:gridCol w:w="1942"/>
              <w:gridCol w:w="3535"/>
              <w:gridCol w:w="3400"/>
              <w:gridCol w:w="2185"/>
            </w:tblGrid>
            <w:tr w:rsidR="00501862" w:rsidRPr="009D4673" w14:paraId="37FC7FC6" w14:textId="77777777" w:rsidTr="001139E7">
              <w:tc>
                <w:tcPr>
                  <w:tcW w:w="2013" w:type="dxa"/>
                  <w:shd w:val="clear" w:color="auto" w:fill="D9D9D9" w:themeFill="background1" w:themeFillShade="D9"/>
                </w:tcPr>
                <w:p w14:paraId="01FF0F6F" w14:textId="77777777" w:rsidR="00501862" w:rsidRPr="009D4673" w:rsidRDefault="00501862" w:rsidP="008362E0">
                  <w:pPr>
                    <w:tabs>
                      <w:tab w:val="left" w:pos="1859"/>
                    </w:tabs>
                    <w:spacing w:before="60" w:after="60" w:line="240" w:lineRule="auto"/>
                    <w:rPr>
                      <w:rFonts w:cs="Arial"/>
                      <w:b/>
                      <w:sz w:val="18"/>
                      <w:szCs w:val="18"/>
                    </w:rPr>
                  </w:pPr>
                  <w:r>
                    <w:rPr>
                      <w:b/>
                      <w:sz w:val="18"/>
                    </w:rPr>
                    <w:t>Visas :</w:t>
                  </w:r>
                </w:p>
              </w:tc>
              <w:tc>
                <w:tcPr>
                  <w:tcW w:w="3685" w:type="dxa"/>
                  <w:shd w:val="clear" w:color="auto" w:fill="D9D9D9" w:themeFill="background1" w:themeFillShade="D9"/>
                </w:tcPr>
                <w:p w14:paraId="30FFBFE2"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Nom :</w:t>
                  </w:r>
                </w:p>
              </w:tc>
              <w:tc>
                <w:tcPr>
                  <w:tcW w:w="3544" w:type="dxa"/>
                  <w:shd w:val="clear" w:color="auto" w:fill="D9D9D9" w:themeFill="background1" w:themeFillShade="D9"/>
                </w:tcPr>
                <w:p w14:paraId="5E712189"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Fonction :</w:t>
                  </w:r>
                </w:p>
              </w:tc>
              <w:tc>
                <w:tcPr>
                  <w:tcW w:w="2228" w:type="dxa"/>
                  <w:shd w:val="clear" w:color="auto" w:fill="D9D9D9" w:themeFill="background1" w:themeFillShade="D9"/>
                </w:tcPr>
                <w:p w14:paraId="35206CD9"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Date :</w:t>
                  </w:r>
                </w:p>
              </w:tc>
            </w:tr>
            <w:tr w:rsidR="00501862" w:rsidRPr="009D4673" w14:paraId="55DA769B" w14:textId="77777777" w:rsidTr="001139E7">
              <w:tc>
                <w:tcPr>
                  <w:tcW w:w="2013" w:type="dxa"/>
                </w:tcPr>
                <w:p w14:paraId="6CBE9895" w14:textId="77777777" w:rsidR="00501862" w:rsidRPr="009D4673" w:rsidRDefault="00501862" w:rsidP="008362E0">
                  <w:pPr>
                    <w:tabs>
                      <w:tab w:val="left" w:pos="1859"/>
                    </w:tabs>
                    <w:spacing w:before="60" w:after="60" w:line="240" w:lineRule="auto"/>
                    <w:rPr>
                      <w:rFonts w:cs="Arial"/>
                      <w:sz w:val="18"/>
                      <w:szCs w:val="18"/>
                    </w:rPr>
                  </w:pPr>
                  <w:r>
                    <w:rPr>
                      <w:sz w:val="18"/>
                    </w:rPr>
                    <w:t xml:space="preserve">Préparateur : </w:t>
                  </w:r>
                </w:p>
              </w:tc>
              <w:tc>
                <w:tcPr>
                  <w:tcW w:w="3685" w:type="dxa"/>
                </w:tcPr>
                <w:p w14:paraId="66F07B2C"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[Nom]</w:t>
                  </w:r>
                </w:p>
              </w:tc>
              <w:tc>
                <w:tcPr>
                  <w:tcW w:w="3544" w:type="dxa"/>
                </w:tcPr>
                <w:p w14:paraId="32B22851" w14:textId="6A2E1DFE" w:rsidR="00501862" w:rsidRPr="009D4673" w:rsidRDefault="00501862" w:rsidP="00AD20F6">
                  <w:pPr>
                    <w:tabs>
                      <w:tab w:val="left" w:pos="1859"/>
                    </w:tabs>
                    <w:spacing w:before="60" w:after="60" w:line="240" w:lineRule="auto"/>
                    <w:jc w:val="center"/>
                    <w:rPr>
                      <w:rFonts w:cs="Arial"/>
                      <w:sz w:val="18"/>
                      <w:szCs w:val="18"/>
                    </w:rPr>
                  </w:pPr>
                  <w:r>
                    <w:rPr>
                      <w:sz w:val="18"/>
                      <w:highlight w:val="yellow"/>
                    </w:rPr>
                    <w:t xml:space="preserve">[Assistant / Senior / Manager / Senior Manager / </w:t>
                  </w:r>
                  <w:r w:rsidR="00AD20F6">
                    <w:rPr>
                      <w:sz w:val="18"/>
                      <w:highlight w:val="yellow"/>
                    </w:rPr>
                    <w:t>Partner</w:t>
                  </w:r>
                  <w:r>
                    <w:rPr>
                      <w:sz w:val="18"/>
                      <w:highlight w:val="yellow"/>
                    </w:rPr>
                    <w:t>]</w:t>
                  </w:r>
                </w:p>
              </w:tc>
              <w:tc>
                <w:tcPr>
                  <w:tcW w:w="2228" w:type="dxa"/>
                </w:tcPr>
                <w:p w14:paraId="77C18363"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[JJ.MM.AAAA]</w:t>
                  </w:r>
                </w:p>
              </w:tc>
            </w:tr>
            <w:tr w:rsidR="00501862" w:rsidRPr="009D4673" w14:paraId="07EE5F66" w14:textId="77777777" w:rsidTr="001139E7">
              <w:tc>
                <w:tcPr>
                  <w:tcW w:w="2013" w:type="dxa"/>
                </w:tcPr>
                <w:p w14:paraId="39050C13" w14:textId="77777777" w:rsidR="00501862" w:rsidRPr="009D4673" w:rsidRDefault="00501862" w:rsidP="008362E0">
                  <w:pPr>
                    <w:tabs>
                      <w:tab w:val="left" w:pos="1859"/>
                    </w:tabs>
                    <w:spacing w:before="60" w:after="60" w:line="240" w:lineRule="auto"/>
                    <w:rPr>
                      <w:rFonts w:cs="Arial"/>
                      <w:sz w:val="18"/>
                      <w:szCs w:val="18"/>
                    </w:rPr>
                  </w:pPr>
                  <w:proofErr w:type="spellStart"/>
                  <w:r>
                    <w:rPr>
                      <w:sz w:val="18"/>
                    </w:rPr>
                    <w:t>Reviewer</w:t>
                  </w:r>
                  <w:proofErr w:type="spellEnd"/>
                  <w:r>
                    <w:rPr>
                      <w:sz w:val="18"/>
                    </w:rPr>
                    <w:t> :</w:t>
                  </w:r>
                </w:p>
              </w:tc>
              <w:tc>
                <w:tcPr>
                  <w:tcW w:w="3685" w:type="dxa"/>
                </w:tcPr>
                <w:p w14:paraId="11AD00BC"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[Nom]</w:t>
                  </w:r>
                </w:p>
              </w:tc>
              <w:tc>
                <w:tcPr>
                  <w:tcW w:w="3544" w:type="dxa"/>
                </w:tcPr>
                <w:p w14:paraId="3501D8E1" w14:textId="0641888C" w:rsidR="00501862" w:rsidRPr="00431C62" w:rsidRDefault="00501862" w:rsidP="00AD20F6">
                  <w:pPr>
                    <w:tabs>
                      <w:tab w:val="left" w:pos="1859"/>
                    </w:tabs>
                    <w:spacing w:before="60" w:after="60" w:line="240" w:lineRule="auto"/>
                    <w:jc w:val="center"/>
                    <w:rPr>
                      <w:rFonts w:cs="Arial"/>
                      <w:sz w:val="18"/>
                      <w:szCs w:val="18"/>
                      <w:highlight w:val="yellow"/>
                      <w:lang w:val="de-CH"/>
                    </w:rPr>
                  </w:pPr>
                  <w:r w:rsidRPr="00431C62">
                    <w:rPr>
                      <w:sz w:val="18"/>
                      <w:highlight w:val="yellow"/>
                      <w:lang w:val="de-CH"/>
                    </w:rPr>
                    <w:t xml:space="preserve">[Senior / Manager / Senior Manager </w:t>
                  </w:r>
                  <w:r w:rsidRPr="00431C62">
                    <w:rPr>
                      <w:rFonts w:cs="Arial"/>
                      <w:sz w:val="18"/>
                      <w:szCs w:val="18"/>
                      <w:highlight w:val="yellow"/>
                      <w:lang w:val="de-CH"/>
                    </w:rPr>
                    <w:br/>
                  </w:r>
                  <w:r w:rsidRPr="00431C62">
                    <w:rPr>
                      <w:sz w:val="18"/>
                      <w:highlight w:val="yellow"/>
                      <w:lang w:val="de-CH"/>
                    </w:rPr>
                    <w:t xml:space="preserve">/ </w:t>
                  </w:r>
                  <w:r w:rsidR="00AD20F6" w:rsidRPr="00431C62">
                    <w:rPr>
                      <w:sz w:val="18"/>
                      <w:highlight w:val="yellow"/>
                      <w:lang w:val="de-CH"/>
                    </w:rPr>
                    <w:t>Partner</w:t>
                  </w:r>
                  <w:r w:rsidRPr="00431C62">
                    <w:rPr>
                      <w:sz w:val="18"/>
                      <w:highlight w:val="yellow"/>
                      <w:lang w:val="de-CH"/>
                    </w:rPr>
                    <w:t>]</w:t>
                  </w:r>
                </w:p>
              </w:tc>
              <w:tc>
                <w:tcPr>
                  <w:tcW w:w="2228" w:type="dxa"/>
                </w:tcPr>
                <w:p w14:paraId="22EA0C80"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[JJ.MM.AAAA]</w:t>
                  </w:r>
                </w:p>
              </w:tc>
            </w:tr>
          </w:tbl>
          <w:p w14:paraId="5ECE77D0" w14:textId="77777777" w:rsidR="00501862" w:rsidRPr="009D4673" w:rsidRDefault="00501862" w:rsidP="008362E0">
            <w:pPr>
              <w:tabs>
                <w:tab w:val="left" w:pos="1859"/>
              </w:tabs>
              <w:spacing w:before="60" w:after="60" w:line="240" w:lineRule="auto"/>
              <w:rPr>
                <w:rFonts w:cs="Arial"/>
              </w:rPr>
            </w:pPr>
          </w:p>
        </w:tc>
      </w:tr>
    </w:tbl>
    <w:p w14:paraId="2A417BEB" w14:textId="77777777" w:rsidR="00501862" w:rsidRPr="0045532C" w:rsidRDefault="00501862" w:rsidP="008362E0">
      <w:pPr>
        <w:spacing w:before="120" w:after="120" w:line="240" w:lineRule="auto"/>
        <w:rPr>
          <w:rFonts w:cs="Arial"/>
        </w:rPr>
      </w:pPr>
    </w:p>
    <w:p w14:paraId="66837DB8" w14:textId="26913DB8" w:rsidR="00501862" w:rsidRPr="0045532C" w:rsidRDefault="00501862" w:rsidP="008362E0">
      <w:pPr>
        <w:spacing w:before="120" w:after="120" w:line="240" w:lineRule="auto"/>
        <w:jc w:val="both"/>
        <w:rPr>
          <w:rFonts w:cs="Arial"/>
        </w:rPr>
      </w:pPr>
      <w:r>
        <w:rPr>
          <w:b/>
        </w:rPr>
        <w:t xml:space="preserve">Le présent document est un programme de travail standard </w:t>
      </w:r>
      <w:r w:rsidR="00324EEA" w:rsidRPr="00324EEA">
        <w:rPr>
          <w:b/>
        </w:rPr>
        <w:t>qui s’applique en principe lors de toute intervention dans ce champ d’audit conformément à la stratégie en la matière (</w:t>
      </w:r>
      <w:proofErr w:type="spellStart"/>
      <w:r w:rsidR="005763DC" w:rsidRPr="005763DC">
        <w:rPr>
          <w:b/>
        </w:rPr>
        <w:t>Circ.-FINMA</w:t>
      </w:r>
      <w:proofErr w:type="spellEnd"/>
      <w:r w:rsidR="005763DC" w:rsidRPr="005763DC">
        <w:rPr>
          <w:b/>
        </w:rPr>
        <w:t xml:space="preserve"> 13/3, Cm 28 </w:t>
      </w:r>
      <w:proofErr w:type="spellStart"/>
      <w:r w:rsidR="005763DC" w:rsidRPr="005763DC">
        <w:rPr>
          <w:b/>
        </w:rPr>
        <w:t>ss</w:t>
      </w:r>
      <w:proofErr w:type="spellEnd"/>
      <w:proofErr w:type="gramStart"/>
      <w:r w:rsidR="00324EEA" w:rsidRPr="00324EEA">
        <w:rPr>
          <w:b/>
        </w:rPr>
        <w:t>).</w:t>
      </w:r>
      <w:r>
        <w:rPr>
          <w:b/>
        </w:rPr>
        <w:t>.</w:t>
      </w:r>
      <w:proofErr w:type="gramEnd"/>
      <w:r>
        <w:rPr>
          <w:b/>
        </w:rPr>
        <w:t xml:space="preserve"> Il est de la responsabilité de l'équipe d'audit d'adapter le programme de travail standard </w:t>
      </w:r>
      <w:proofErr w:type="gramStart"/>
      <w:r>
        <w:rPr>
          <w:b/>
        </w:rPr>
        <w:t>à</w:t>
      </w:r>
      <w:proofErr w:type="gramEnd"/>
      <w:r>
        <w:rPr>
          <w:b/>
        </w:rPr>
        <w:t xml:space="preserve"> la situation de chaque établissement audité (taille, modèle d'affaires, organisation, processus, exposition aux risques, etc.). Si le contrôle effectué ne prend pas en compte toutes les procédures </w:t>
      </w:r>
      <w:r w:rsidR="00324EEA">
        <w:rPr>
          <w:b/>
        </w:rPr>
        <w:t>prescrites</w:t>
      </w:r>
      <w:r>
        <w:rPr>
          <w:b/>
        </w:rPr>
        <w:t>, une justification doit être fournie dans le document de travail.</w:t>
      </w:r>
      <w:r w:rsidR="00324EEA">
        <w:rPr>
          <w:b/>
        </w:rPr>
        <w:t xml:space="preserve"> </w:t>
      </w:r>
      <w:r w:rsidR="00324EEA" w:rsidRPr="00324EEA">
        <w:rPr>
          <w:b/>
        </w:rPr>
        <w:t>Les points d’audit marqués d’un astérisque (*) ne s’appliquent pas aux banques des catégories de surveillance 4 et 5.</w:t>
      </w:r>
      <w:r>
        <w:br w:type="page"/>
      </w:r>
    </w:p>
    <w:p w14:paraId="5D7AFA8C" w14:textId="77777777" w:rsidR="00501862" w:rsidRPr="00003E26" w:rsidRDefault="00501862" w:rsidP="008362E0">
      <w:pPr>
        <w:spacing w:before="120" w:after="120" w:line="240" w:lineRule="auto"/>
        <w:rPr>
          <w:rFonts w:cs="Arial"/>
          <w:b/>
        </w:rPr>
      </w:pPr>
      <w:r>
        <w:rPr>
          <w:b/>
        </w:rPr>
        <w:lastRenderedPageBreak/>
        <w:t>Conclusion globale</w:t>
      </w:r>
    </w:p>
    <w:tbl>
      <w:tblPr>
        <w:tblStyle w:val="Tabellenraster"/>
        <w:tblW w:w="0" w:type="auto"/>
        <w:tblInd w:w="108" w:type="dxa"/>
        <w:tblLook w:val="04A0" w:firstRow="1" w:lastRow="0" w:firstColumn="1" w:lastColumn="0" w:noHBand="0" w:noVBand="1"/>
      </w:tblPr>
      <w:tblGrid>
        <w:gridCol w:w="2762"/>
        <w:gridCol w:w="11123"/>
      </w:tblGrid>
      <w:tr w:rsidR="00501862" w:rsidRPr="0045532C" w14:paraId="4A6B43C7" w14:textId="77777777" w:rsidTr="001139E7">
        <w:trPr>
          <w:trHeight w:val="552"/>
          <w:tblHeader/>
        </w:trPr>
        <w:tc>
          <w:tcPr>
            <w:tcW w:w="2835" w:type="dxa"/>
            <w:shd w:val="pct15" w:color="auto" w:fill="auto"/>
          </w:tcPr>
          <w:p w14:paraId="51EAAC9E" w14:textId="77777777" w:rsidR="00501862" w:rsidRPr="0045532C" w:rsidRDefault="00501862" w:rsidP="008362E0">
            <w:pPr>
              <w:tabs>
                <w:tab w:val="left" w:pos="1418"/>
              </w:tabs>
              <w:spacing w:before="120" w:after="120" w:line="240" w:lineRule="auto"/>
              <w:rPr>
                <w:rFonts w:cs="Arial"/>
                <w:b/>
                <w:sz w:val="16"/>
                <w:szCs w:val="16"/>
              </w:rPr>
            </w:pPr>
            <w:r>
              <w:rPr>
                <w:b/>
                <w:sz w:val="16"/>
              </w:rPr>
              <w:t>Thème :</w:t>
            </w:r>
          </w:p>
        </w:tc>
        <w:tc>
          <w:tcPr>
            <w:tcW w:w="11482" w:type="dxa"/>
            <w:shd w:val="pct15" w:color="auto" w:fill="auto"/>
          </w:tcPr>
          <w:p w14:paraId="32ED087C" w14:textId="77777777" w:rsidR="00501862" w:rsidRPr="0045532C" w:rsidRDefault="00501862" w:rsidP="008362E0">
            <w:pPr>
              <w:tabs>
                <w:tab w:val="left" w:pos="1859"/>
              </w:tabs>
              <w:spacing w:before="120" w:after="120" w:line="240" w:lineRule="auto"/>
              <w:rPr>
                <w:rFonts w:cs="Arial"/>
                <w:b/>
                <w:sz w:val="16"/>
                <w:szCs w:val="16"/>
              </w:rPr>
            </w:pPr>
            <w:r>
              <w:rPr>
                <w:b/>
                <w:sz w:val="16"/>
              </w:rPr>
              <w:t>Information / Description :</w:t>
            </w:r>
          </w:p>
        </w:tc>
      </w:tr>
      <w:tr w:rsidR="00501862" w:rsidRPr="00AF6AA5" w14:paraId="10DA7E89" w14:textId="77777777" w:rsidTr="001139E7">
        <w:trPr>
          <w:trHeight w:val="1774"/>
        </w:trPr>
        <w:tc>
          <w:tcPr>
            <w:tcW w:w="2835" w:type="dxa"/>
          </w:tcPr>
          <w:p w14:paraId="2EF68E0C" w14:textId="77777777" w:rsidR="00501862" w:rsidRDefault="00501862" w:rsidP="008362E0">
            <w:pPr>
              <w:tabs>
                <w:tab w:val="left" w:pos="1418"/>
              </w:tabs>
              <w:spacing w:before="120" w:after="120" w:line="240" w:lineRule="auto"/>
              <w:rPr>
                <w:rFonts w:cs="Arial"/>
                <w:sz w:val="16"/>
                <w:szCs w:val="16"/>
              </w:rPr>
            </w:pPr>
            <w:r>
              <w:rPr>
                <w:sz w:val="16"/>
              </w:rPr>
              <w:t>Conclusion globale</w:t>
            </w:r>
          </w:p>
          <w:p w14:paraId="168A8423" w14:textId="77777777" w:rsidR="0039072C" w:rsidRDefault="0039072C" w:rsidP="008362E0">
            <w:pPr>
              <w:tabs>
                <w:tab w:val="left" w:pos="1418"/>
              </w:tabs>
              <w:spacing w:before="120" w:after="120" w:line="240" w:lineRule="auto"/>
              <w:rPr>
                <w:rFonts w:cs="Arial"/>
                <w:sz w:val="16"/>
                <w:szCs w:val="16"/>
              </w:rPr>
            </w:pPr>
          </w:p>
          <w:p w14:paraId="219872AC" w14:textId="77777777" w:rsidR="0039072C" w:rsidRDefault="0039072C" w:rsidP="008362E0">
            <w:pPr>
              <w:tabs>
                <w:tab w:val="left" w:pos="1418"/>
              </w:tabs>
              <w:spacing w:before="120" w:after="120" w:line="240" w:lineRule="auto"/>
              <w:rPr>
                <w:rFonts w:cs="Arial"/>
                <w:sz w:val="16"/>
                <w:szCs w:val="16"/>
              </w:rPr>
            </w:pPr>
          </w:p>
          <w:p w14:paraId="18540E36" w14:textId="77777777" w:rsidR="0039072C" w:rsidRDefault="0039072C" w:rsidP="008362E0">
            <w:pPr>
              <w:tabs>
                <w:tab w:val="left" w:pos="1418"/>
              </w:tabs>
              <w:spacing w:before="120" w:after="120" w:line="240" w:lineRule="auto"/>
              <w:rPr>
                <w:rFonts w:cs="Arial"/>
                <w:sz w:val="16"/>
                <w:szCs w:val="16"/>
              </w:rPr>
            </w:pPr>
          </w:p>
          <w:p w14:paraId="6AE091A9" w14:textId="77777777" w:rsidR="0039072C" w:rsidRDefault="0039072C" w:rsidP="008362E0">
            <w:pPr>
              <w:tabs>
                <w:tab w:val="left" w:pos="1418"/>
              </w:tabs>
              <w:spacing w:before="120" w:after="120" w:line="240" w:lineRule="auto"/>
              <w:rPr>
                <w:rFonts w:cs="Arial"/>
                <w:sz w:val="16"/>
                <w:szCs w:val="16"/>
              </w:rPr>
            </w:pPr>
          </w:p>
          <w:p w14:paraId="1014151E" w14:textId="1AD14F6C" w:rsidR="0039072C" w:rsidRPr="0045532C" w:rsidRDefault="0039072C" w:rsidP="008362E0">
            <w:pPr>
              <w:tabs>
                <w:tab w:val="left" w:pos="1418"/>
              </w:tabs>
              <w:spacing w:before="120" w:after="120" w:line="240" w:lineRule="auto"/>
              <w:rPr>
                <w:rFonts w:cs="Arial"/>
                <w:sz w:val="16"/>
                <w:szCs w:val="16"/>
              </w:rPr>
            </w:pPr>
          </w:p>
        </w:tc>
        <w:tc>
          <w:tcPr>
            <w:tcW w:w="11482" w:type="dxa"/>
          </w:tcPr>
          <w:p w14:paraId="6D7AE1FC" w14:textId="77777777" w:rsidR="00501862" w:rsidRPr="00E60F3F" w:rsidRDefault="00501862" w:rsidP="008362E0">
            <w:pPr>
              <w:spacing w:before="120" w:after="120" w:line="240" w:lineRule="auto"/>
              <w:rPr>
                <w:rFonts w:cs="Arial"/>
                <w:sz w:val="6"/>
                <w:szCs w:val="6"/>
                <w:highlight w:val="yellow"/>
              </w:rPr>
            </w:pPr>
          </w:p>
          <w:tbl>
            <w:tblPr>
              <w:tblStyle w:val="Tabellenraster"/>
              <w:tblW w:w="0" w:type="auto"/>
              <w:tblLook w:val="04A0" w:firstRow="1" w:lastRow="0" w:firstColumn="1" w:lastColumn="0" w:noHBand="0" w:noVBand="1"/>
            </w:tblPr>
            <w:tblGrid>
              <w:gridCol w:w="5501"/>
              <w:gridCol w:w="5396"/>
            </w:tblGrid>
            <w:tr w:rsidR="00501862" w:rsidRPr="00E60F3F" w14:paraId="29FA53E3" w14:textId="77777777" w:rsidTr="001139E7">
              <w:tc>
                <w:tcPr>
                  <w:tcW w:w="5681" w:type="dxa"/>
                  <w:shd w:val="clear" w:color="auto" w:fill="D9D9D9" w:themeFill="background1" w:themeFillShade="D9"/>
                  <w:tcMar>
                    <w:left w:w="0" w:type="dxa"/>
                  </w:tcMar>
                </w:tcPr>
                <w:p w14:paraId="1E3C6255" w14:textId="77777777" w:rsidR="00501862" w:rsidRPr="00E60F3F" w:rsidRDefault="00501862" w:rsidP="008362E0">
                  <w:pPr>
                    <w:tabs>
                      <w:tab w:val="left" w:pos="1859"/>
                    </w:tabs>
                    <w:spacing w:before="120" w:after="120" w:line="240" w:lineRule="auto"/>
                    <w:ind w:left="34"/>
                    <w:rPr>
                      <w:rFonts w:cs="Arial"/>
                      <w:b/>
                      <w:sz w:val="16"/>
                      <w:szCs w:val="16"/>
                    </w:rPr>
                  </w:pPr>
                  <w:r>
                    <w:rPr>
                      <w:b/>
                      <w:sz w:val="16"/>
                    </w:rPr>
                    <w:t>Confirmation dans le rapport d'audit :</w:t>
                  </w:r>
                </w:p>
              </w:tc>
              <w:tc>
                <w:tcPr>
                  <w:tcW w:w="5575" w:type="dxa"/>
                  <w:shd w:val="clear" w:color="auto" w:fill="D9D9D9" w:themeFill="background1" w:themeFillShade="D9"/>
                </w:tcPr>
                <w:p w14:paraId="0D950C02" w14:textId="77777777" w:rsidR="00501862" w:rsidRPr="00E60F3F" w:rsidRDefault="00501862" w:rsidP="008362E0">
                  <w:pPr>
                    <w:tabs>
                      <w:tab w:val="left" w:pos="1859"/>
                    </w:tabs>
                    <w:spacing w:before="120" w:after="120" w:line="240" w:lineRule="auto"/>
                    <w:rPr>
                      <w:rFonts w:cs="Arial"/>
                      <w:b/>
                      <w:sz w:val="16"/>
                      <w:szCs w:val="16"/>
                    </w:rPr>
                  </w:pPr>
                  <w:r>
                    <w:rPr>
                      <w:b/>
                      <w:sz w:val="16"/>
                    </w:rPr>
                    <w:t>Conclusion :</w:t>
                  </w:r>
                </w:p>
              </w:tc>
            </w:tr>
            <w:tr w:rsidR="00501862" w:rsidRPr="00AF6AA5" w14:paraId="40DEE21C" w14:textId="77777777" w:rsidTr="001139E7">
              <w:tc>
                <w:tcPr>
                  <w:tcW w:w="5681" w:type="dxa"/>
                  <w:tcMar>
                    <w:left w:w="0" w:type="dxa"/>
                  </w:tcMar>
                </w:tcPr>
                <w:p w14:paraId="0370F6EC" w14:textId="77777777" w:rsidR="00501862" w:rsidRPr="00A449F0" w:rsidRDefault="00501862" w:rsidP="008362E0">
                  <w:pPr>
                    <w:spacing w:before="120" w:after="120" w:line="240" w:lineRule="auto"/>
                    <w:ind w:left="34"/>
                    <w:rPr>
                      <w:rFonts w:cs="Arial"/>
                      <w:sz w:val="16"/>
                      <w:szCs w:val="16"/>
                    </w:rPr>
                  </w:pPr>
                  <w:r>
                    <w:rPr>
                      <w:sz w:val="16"/>
                    </w:rPr>
                    <w:t xml:space="preserve">Confirmation que les méthodes / processus d'identification, de mesure, de gestion et de surveillance d'autres risques en lien avec les questions de </w:t>
                  </w:r>
                  <w:r>
                    <w:rPr>
                      <w:i/>
                      <w:sz w:val="16"/>
                    </w:rPr>
                    <w:t>compliance</w:t>
                  </w:r>
                  <w:r>
                    <w:rPr>
                      <w:sz w:val="16"/>
                    </w:rPr>
                    <w:t xml:space="preserve"> étaient appropriés et, en cas d'étendue d'audit « audit », ont été effectivement appliqués.</w:t>
                  </w:r>
                </w:p>
              </w:tc>
              <w:tc>
                <w:tcPr>
                  <w:tcW w:w="5575" w:type="dxa"/>
                </w:tcPr>
                <w:p w14:paraId="1FBD6BD7" w14:textId="77777777" w:rsidR="00501862" w:rsidRPr="00E60F3F" w:rsidRDefault="00501862" w:rsidP="008362E0">
                  <w:pPr>
                    <w:tabs>
                      <w:tab w:val="left" w:pos="1859"/>
                    </w:tabs>
                    <w:spacing w:before="120" w:after="120" w:line="240" w:lineRule="auto"/>
                    <w:rPr>
                      <w:rFonts w:cs="Arial"/>
                      <w:i/>
                      <w:sz w:val="16"/>
                      <w:szCs w:val="16"/>
                    </w:rPr>
                  </w:pPr>
                  <w:r>
                    <w:rPr>
                      <w:b/>
                      <w:i/>
                      <w:sz w:val="16"/>
                      <w:highlight w:val="yellow"/>
                    </w:rPr>
                    <w:t>Oui</w:t>
                  </w:r>
                  <w:r>
                    <w:rPr>
                      <w:i/>
                      <w:sz w:val="16"/>
                      <w:highlight w:val="yellow"/>
                    </w:rPr>
                    <w:t xml:space="preserve"> (Audit / Revue critique) / </w:t>
                  </w:r>
                  <w:r>
                    <w:rPr>
                      <w:b/>
                      <w:i/>
                      <w:sz w:val="16"/>
                      <w:highlight w:val="yellow"/>
                    </w:rPr>
                    <w:t>non</w:t>
                  </w:r>
                </w:p>
              </w:tc>
            </w:tr>
          </w:tbl>
          <w:p w14:paraId="41951F31" w14:textId="77777777" w:rsidR="00501862" w:rsidRPr="003613F7" w:rsidRDefault="00501862" w:rsidP="008362E0">
            <w:pPr>
              <w:tabs>
                <w:tab w:val="left" w:pos="1859"/>
              </w:tabs>
              <w:spacing w:before="120" w:after="120" w:line="240" w:lineRule="auto"/>
              <w:rPr>
                <w:rFonts w:cs="Arial"/>
                <w:sz w:val="16"/>
                <w:szCs w:val="16"/>
              </w:rPr>
            </w:pPr>
          </w:p>
        </w:tc>
      </w:tr>
      <w:tr w:rsidR="00501862" w:rsidRPr="0045532C" w14:paraId="5C16FD91" w14:textId="77777777" w:rsidTr="001139E7">
        <w:trPr>
          <w:trHeight w:val="561"/>
        </w:trPr>
        <w:tc>
          <w:tcPr>
            <w:tcW w:w="2835" w:type="dxa"/>
          </w:tcPr>
          <w:p w14:paraId="2934F82E" w14:textId="77777777" w:rsidR="00501862" w:rsidRPr="0045532C" w:rsidRDefault="00501862" w:rsidP="008362E0">
            <w:pPr>
              <w:tabs>
                <w:tab w:val="left" w:pos="1418"/>
              </w:tabs>
              <w:spacing w:before="120" w:after="120" w:line="240" w:lineRule="auto"/>
              <w:rPr>
                <w:rFonts w:cs="Arial"/>
                <w:sz w:val="16"/>
                <w:szCs w:val="16"/>
              </w:rPr>
            </w:pPr>
            <w:r>
              <w:rPr>
                <w:sz w:val="16"/>
              </w:rPr>
              <w:t xml:space="preserve">Résumé des résultats de l'audit / irrégularités et recommandations </w:t>
            </w:r>
            <w:r>
              <w:rPr>
                <w:sz w:val="12"/>
              </w:rPr>
              <w:t>(voir détails ci-dessous)</w:t>
            </w:r>
          </w:p>
        </w:tc>
        <w:tc>
          <w:tcPr>
            <w:tcW w:w="11482" w:type="dxa"/>
          </w:tcPr>
          <w:p w14:paraId="7021CF34" w14:textId="77777777" w:rsidR="00501862" w:rsidRPr="0045532C" w:rsidRDefault="00501862" w:rsidP="008362E0">
            <w:pPr>
              <w:tabs>
                <w:tab w:val="left" w:pos="1859"/>
              </w:tabs>
              <w:spacing w:before="120" w:after="120" w:line="240" w:lineRule="auto"/>
              <w:rPr>
                <w:rFonts w:cs="Arial"/>
                <w:sz w:val="16"/>
                <w:szCs w:val="16"/>
                <w:highlight w:val="yellow"/>
              </w:rPr>
            </w:pPr>
            <w:r>
              <w:rPr>
                <w:sz w:val="16"/>
                <w:highlight w:val="yellow"/>
              </w:rPr>
              <w:t>[Résumé des résultats de l'audit / irrégularités et recommandations]</w:t>
            </w:r>
          </w:p>
        </w:tc>
      </w:tr>
      <w:tr w:rsidR="00501862" w:rsidRPr="0045532C" w14:paraId="0FD4C0CD" w14:textId="77777777" w:rsidTr="001139E7">
        <w:trPr>
          <w:trHeight w:val="561"/>
        </w:trPr>
        <w:tc>
          <w:tcPr>
            <w:tcW w:w="2835" w:type="dxa"/>
          </w:tcPr>
          <w:p w14:paraId="790A914B" w14:textId="77777777" w:rsidR="00501862" w:rsidRPr="0045532C" w:rsidRDefault="00501862" w:rsidP="008362E0">
            <w:pPr>
              <w:tabs>
                <w:tab w:val="left" w:pos="1418"/>
              </w:tabs>
              <w:spacing w:before="120" w:after="120" w:line="240" w:lineRule="auto"/>
              <w:rPr>
                <w:rFonts w:cs="Arial"/>
                <w:sz w:val="16"/>
                <w:szCs w:val="16"/>
              </w:rPr>
            </w:pPr>
            <w:r>
              <w:rPr>
                <w:sz w:val="16"/>
              </w:rPr>
              <w:t>Domaines d'audit, résultats et travaux de la révision interne utilisés par la société d'audit (y compris la propre évaluation de la société d'audit)</w:t>
            </w:r>
          </w:p>
        </w:tc>
        <w:tc>
          <w:tcPr>
            <w:tcW w:w="11482" w:type="dxa"/>
          </w:tcPr>
          <w:p w14:paraId="2574E07C" w14:textId="77777777" w:rsidR="00501862" w:rsidRPr="0045532C" w:rsidRDefault="00501862" w:rsidP="008362E0">
            <w:pPr>
              <w:spacing w:before="120" w:after="120" w:line="240" w:lineRule="auto"/>
              <w:rPr>
                <w:rFonts w:cs="Arial"/>
                <w:sz w:val="16"/>
                <w:szCs w:val="16"/>
                <w:highlight w:val="yellow"/>
              </w:rPr>
            </w:pPr>
            <w:r>
              <w:rPr>
                <w:sz w:val="16"/>
                <w:highlight w:val="yellow"/>
              </w:rPr>
              <w:t>[Description]</w:t>
            </w:r>
          </w:p>
        </w:tc>
      </w:tr>
    </w:tbl>
    <w:p w14:paraId="6FF54473" w14:textId="77777777" w:rsidR="00501862" w:rsidRPr="0045532C" w:rsidRDefault="00501862" w:rsidP="008362E0">
      <w:pPr>
        <w:spacing w:before="120" w:after="120" w:line="240" w:lineRule="auto"/>
        <w:rPr>
          <w:rFonts w:cs="Arial"/>
        </w:rPr>
      </w:pPr>
      <w:r>
        <w:br w:type="page"/>
      </w:r>
    </w:p>
    <w:p w14:paraId="2F4FD0A9" w14:textId="77777777" w:rsidR="00501862" w:rsidRPr="00163FB7" w:rsidRDefault="00501862" w:rsidP="008362E0">
      <w:pPr>
        <w:spacing w:before="120" w:after="120" w:line="240" w:lineRule="auto"/>
        <w:rPr>
          <w:rFonts w:cs="Arial"/>
          <w:u w:val="single"/>
        </w:rPr>
      </w:pPr>
      <w:r>
        <w:rPr>
          <w:b/>
        </w:rPr>
        <w:lastRenderedPageBreak/>
        <w:t xml:space="preserve">Programme de travail – </w:t>
      </w:r>
      <w:r>
        <w:rPr>
          <w:b/>
          <w:u w:val="single"/>
        </w:rPr>
        <w:t xml:space="preserve">Autres risques liés à des questions de </w:t>
      </w:r>
      <w:r>
        <w:rPr>
          <w:b/>
          <w:i/>
          <w:u w:val="single"/>
        </w:rPr>
        <w:t>compliance</w:t>
      </w:r>
      <w:r>
        <w:rPr>
          <w:b/>
          <w:u w:val="single"/>
        </w:rPr>
        <w:t xml:space="preserve"> </w:t>
      </w:r>
      <w:r>
        <w:rPr>
          <w:u w:val="single"/>
        </w:rPr>
        <w:t>– « </w:t>
      </w:r>
      <w:r>
        <w:rPr>
          <w:i/>
          <w:u w:val="single"/>
        </w:rPr>
        <w:t>change management</w:t>
      </w:r>
      <w:r>
        <w:rPr>
          <w:u w:val="single"/>
        </w:rPr>
        <w:t>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969"/>
        <w:gridCol w:w="3827"/>
        <w:gridCol w:w="3402"/>
        <w:gridCol w:w="992"/>
      </w:tblGrid>
      <w:tr w:rsidR="00501862" w:rsidRPr="00DB7CF3" w14:paraId="0289B84C" w14:textId="77777777" w:rsidTr="00F17892">
        <w:trPr>
          <w:tblHeader/>
        </w:trPr>
        <w:tc>
          <w:tcPr>
            <w:tcW w:w="531" w:type="dxa"/>
            <w:tcBorders>
              <w:bottom w:val="single" w:sz="4" w:space="0" w:color="auto"/>
            </w:tcBorders>
            <w:shd w:val="pct20" w:color="auto" w:fill="auto"/>
          </w:tcPr>
          <w:p w14:paraId="2404B7FE" w14:textId="77777777" w:rsidR="00501862" w:rsidRPr="00DB7CF3" w:rsidRDefault="00501862" w:rsidP="008362E0">
            <w:pPr>
              <w:spacing w:before="120" w:after="120" w:line="240" w:lineRule="auto"/>
              <w:rPr>
                <w:rFonts w:cs="Arial"/>
                <w:b/>
                <w:sz w:val="16"/>
                <w:szCs w:val="16"/>
              </w:rPr>
            </w:pPr>
            <w:r>
              <w:rPr>
                <w:b/>
                <w:sz w:val="16"/>
              </w:rPr>
              <w:t>N°</w:t>
            </w:r>
          </w:p>
        </w:tc>
        <w:tc>
          <w:tcPr>
            <w:tcW w:w="1596" w:type="dxa"/>
            <w:tcBorders>
              <w:bottom w:val="single" w:sz="4" w:space="0" w:color="auto"/>
            </w:tcBorders>
            <w:shd w:val="pct20" w:color="auto" w:fill="auto"/>
          </w:tcPr>
          <w:p w14:paraId="64134185" w14:textId="77777777" w:rsidR="00501862" w:rsidRPr="00DB7CF3" w:rsidRDefault="00501862" w:rsidP="008362E0">
            <w:pPr>
              <w:spacing w:before="120" w:after="120" w:line="240" w:lineRule="auto"/>
              <w:rPr>
                <w:rFonts w:cs="Arial"/>
                <w:b/>
                <w:sz w:val="16"/>
                <w:szCs w:val="16"/>
              </w:rPr>
            </w:pPr>
            <w:r>
              <w:rPr>
                <w:b/>
                <w:sz w:val="16"/>
              </w:rPr>
              <w:t>Thème :</w:t>
            </w:r>
          </w:p>
        </w:tc>
        <w:tc>
          <w:tcPr>
            <w:tcW w:w="3969" w:type="dxa"/>
            <w:tcBorders>
              <w:bottom w:val="single" w:sz="4" w:space="0" w:color="auto"/>
            </w:tcBorders>
            <w:shd w:val="pct20" w:color="auto" w:fill="auto"/>
          </w:tcPr>
          <w:p w14:paraId="51C578A3" w14:textId="2CF99143" w:rsidR="00501862" w:rsidRPr="00DB7CF3" w:rsidRDefault="00501862" w:rsidP="008362E0">
            <w:pPr>
              <w:spacing w:before="120" w:after="120" w:line="240" w:lineRule="auto"/>
              <w:rPr>
                <w:rFonts w:cs="Arial"/>
                <w:b/>
                <w:sz w:val="16"/>
                <w:szCs w:val="16"/>
              </w:rPr>
            </w:pPr>
            <w:r>
              <w:rPr>
                <w:b/>
                <w:sz w:val="16"/>
              </w:rPr>
              <w:t xml:space="preserve">Procédures pour l'étendue d'audit </w:t>
            </w:r>
            <w:r w:rsidR="001139E7">
              <w:rPr>
                <w:b/>
                <w:sz w:val="16"/>
              </w:rPr>
              <w:br/>
            </w:r>
            <w:r>
              <w:rPr>
                <w:b/>
                <w:sz w:val="16"/>
              </w:rPr>
              <w:t>« revue critique » :</w:t>
            </w:r>
          </w:p>
        </w:tc>
        <w:tc>
          <w:tcPr>
            <w:tcW w:w="3827" w:type="dxa"/>
            <w:tcBorders>
              <w:bottom w:val="single" w:sz="4" w:space="0" w:color="auto"/>
            </w:tcBorders>
            <w:shd w:val="pct20" w:color="auto" w:fill="auto"/>
          </w:tcPr>
          <w:p w14:paraId="1FB1DF95" w14:textId="7D4693DF" w:rsidR="00501862" w:rsidRPr="000C04B5" w:rsidRDefault="00501862" w:rsidP="000C04B5">
            <w:pPr>
              <w:spacing w:before="120" w:after="120" w:line="240" w:lineRule="auto"/>
              <w:rPr>
                <w:rFonts w:cs="Arial"/>
                <w:b/>
                <w:sz w:val="16"/>
                <w:szCs w:val="16"/>
              </w:rPr>
            </w:pPr>
            <w:r w:rsidRPr="000C04B5">
              <w:rPr>
                <w:b/>
                <w:sz w:val="16"/>
              </w:rPr>
              <w:t xml:space="preserve">Procédures </w:t>
            </w:r>
            <w:r w:rsidRPr="000C04B5">
              <w:rPr>
                <w:b/>
                <w:sz w:val="16"/>
                <w:u w:val="single"/>
              </w:rPr>
              <w:t>supplémentaires</w:t>
            </w:r>
            <w:r w:rsidRPr="000C04B5">
              <w:rPr>
                <w:b/>
                <w:sz w:val="16"/>
              </w:rPr>
              <w:t xml:space="preserve"> pour l'étendue d'audit« audit » :</w:t>
            </w:r>
          </w:p>
        </w:tc>
        <w:tc>
          <w:tcPr>
            <w:tcW w:w="3402" w:type="dxa"/>
            <w:tcBorders>
              <w:bottom w:val="single" w:sz="4" w:space="0" w:color="auto"/>
            </w:tcBorders>
            <w:shd w:val="pct20" w:color="auto" w:fill="auto"/>
          </w:tcPr>
          <w:p w14:paraId="05DB0CDB" w14:textId="296A8289" w:rsidR="00501862" w:rsidRPr="00DB7CF3" w:rsidRDefault="00501862" w:rsidP="008362E0">
            <w:pPr>
              <w:spacing w:before="120" w:after="120" w:line="240" w:lineRule="auto"/>
              <w:rPr>
                <w:rFonts w:cs="Arial"/>
                <w:b/>
                <w:sz w:val="16"/>
                <w:szCs w:val="16"/>
              </w:rPr>
            </w:pPr>
            <w:r>
              <w:rPr>
                <w:b/>
                <w:sz w:val="16"/>
              </w:rPr>
              <w:t xml:space="preserve">Procédures mises en œuvre / </w:t>
            </w:r>
            <w:r w:rsidR="001139E7">
              <w:rPr>
                <w:b/>
                <w:sz w:val="16"/>
              </w:rPr>
              <w:br/>
            </w:r>
            <w:r>
              <w:rPr>
                <w:b/>
                <w:sz w:val="16"/>
              </w:rPr>
              <w:t>Constatations</w:t>
            </w:r>
          </w:p>
        </w:tc>
        <w:tc>
          <w:tcPr>
            <w:tcW w:w="992" w:type="dxa"/>
            <w:tcBorders>
              <w:bottom w:val="single" w:sz="4" w:space="0" w:color="auto"/>
            </w:tcBorders>
            <w:shd w:val="pct20" w:color="auto" w:fill="auto"/>
          </w:tcPr>
          <w:p w14:paraId="3F88EA1A" w14:textId="77777777" w:rsidR="00501862" w:rsidRPr="00DB7CF3" w:rsidRDefault="00501862" w:rsidP="008362E0">
            <w:pPr>
              <w:spacing w:before="120" w:after="120" w:line="240" w:lineRule="auto"/>
              <w:rPr>
                <w:rFonts w:cs="Arial"/>
                <w:b/>
                <w:sz w:val="16"/>
                <w:szCs w:val="16"/>
              </w:rPr>
            </w:pPr>
            <w:r>
              <w:rPr>
                <w:b/>
                <w:sz w:val="16"/>
              </w:rPr>
              <w:t>Réf. doc. de travail</w:t>
            </w:r>
          </w:p>
        </w:tc>
      </w:tr>
      <w:tr w:rsidR="00501862" w:rsidRPr="00AF6AA5" w14:paraId="2D3CFE64" w14:textId="77777777" w:rsidTr="001139E7">
        <w:tc>
          <w:tcPr>
            <w:tcW w:w="14317" w:type="dxa"/>
            <w:gridSpan w:val="6"/>
            <w:shd w:val="pct10" w:color="auto" w:fill="auto"/>
          </w:tcPr>
          <w:p w14:paraId="786FEEB5" w14:textId="08195ED2" w:rsidR="00501862" w:rsidRPr="001139E7" w:rsidRDefault="00501862" w:rsidP="008362E0">
            <w:pPr>
              <w:spacing w:before="120" w:after="120" w:line="240" w:lineRule="auto"/>
              <w:rPr>
                <w:rFonts w:cs="Arial"/>
                <w:i/>
                <w:sz w:val="16"/>
                <w:szCs w:val="16"/>
                <w:lang w:val="en-US"/>
              </w:rPr>
            </w:pPr>
            <w:r w:rsidRPr="000C04B5">
              <w:rPr>
                <w:i/>
                <w:sz w:val="16"/>
                <w:lang w:val="en-US"/>
              </w:rPr>
              <w:t xml:space="preserve">Confirmation that methods / processes for identification, measurement, management and monitoring of other </w:t>
            </w:r>
            <w:r w:rsidRPr="001139E7">
              <w:rPr>
                <w:i/>
                <w:sz w:val="16"/>
                <w:lang w:val="en-US"/>
              </w:rPr>
              <w:t>risks in connection with compliance issues were adequate and, in case of the audit depth “audit”, were applied effectively.</w:t>
            </w:r>
          </w:p>
          <w:p w14:paraId="7925914F" w14:textId="313953D3" w:rsidR="00501862" w:rsidRPr="001139E7" w:rsidRDefault="00501862" w:rsidP="008362E0">
            <w:pPr>
              <w:spacing w:before="120" w:after="120" w:line="240" w:lineRule="auto"/>
              <w:rPr>
                <w:bCs/>
                <w:i/>
                <w:sz w:val="16"/>
                <w:szCs w:val="16"/>
                <w:lang w:val="de-CH"/>
              </w:rPr>
            </w:pPr>
            <w:r w:rsidRPr="001139E7">
              <w:rPr>
                <w:i/>
                <w:sz w:val="16"/>
                <w:lang w:val="de-CH"/>
              </w:rPr>
              <w:t>Bestätigung, dass die Methoden / Prozesse zur Identifikation, Messung, Bewirtschaftung und Überwachung von anderen im Zusammenhang mit Compliance-Fragen Risiken angemessen waren und im Falle der Prüftiefe „Prüfung“ effektiv angewendet wurden.</w:t>
            </w:r>
          </w:p>
          <w:p w14:paraId="314488B3" w14:textId="66C93DF0" w:rsidR="00501862" w:rsidRPr="00D9081B" w:rsidRDefault="00501862" w:rsidP="008362E0">
            <w:pPr>
              <w:spacing w:before="120" w:after="120" w:line="240" w:lineRule="auto"/>
              <w:rPr>
                <w:bCs/>
                <w:i/>
                <w:sz w:val="16"/>
                <w:szCs w:val="16"/>
              </w:rPr>
            </w:pPr>
            <w:r>
              <w:rPr>
                <w:i/>
                <w:sz w:val="16"/>
              </w:rPr>
              <w:t xml:space="preserve">Confirmation que les méthodes / processus d'identification, de mesure, de gestion et de surveillance d'autres risques en lien avec les questions de </w:t>
            </w:r>
            <w:r>
              <w:rPr>
                <w:sz w:val="16"/>
              </w:rPr>
              <w:t>compliance</w:t>
            </w:r>
            <w:r>
              <w:rPr>
                <w:i/>
                <w:sz w:val="16"/>
              </w:rPr>
              <w:t xml:space="preserve"> étaient appropriés et</w:t>
            </w:r>
            <w:r w:rsidR="00AD20F6">
              <w:rPr>
                <w:i/>
                <w:sz w:val="16"/>
              </w:rPr>
              <w:t>,</w:t>
            </w:r>
            <w:r>
              <w:rPr>
                <w:i/>
                <w:sz w:val="16"/>
              </w:rPr>
              <w:t xml:space="preserve"> en cas d'étendue d'audit « audit »</w:t>
            </w:r>
            <w:r w:rsidR="00AD20F6">
              <w:rPr>
                <w:i/>
                <w:sz w:val="16"/>
              </w:rPr>
              <w:t>,</w:t>
            </w:r>
            <w:r>
              <w:rPr>
                <w:i/>
                <w:sz w:val="16"/>
              </w:rPr>
              <w:t xml:space="preserve"> ont été effectivement appliqués.</w:t>
            </w:r>
          </w:p>
        </w:tc>
      </w:tr>
      <w:tr w:rsidR="00501862" w:rsidRPr="00AF6AA5" w14:paraId="7004C0AF" w14:textId="77777777" w:rsidTr="00F17892">
        <w:tc>
          <w:tcPr>
            <w:tcW w:w="531" w:type="dxa"/>
            <w:vMerge w:val="restart"/>
            <w:shd w:val="clear" w:color="auto" w:fill="auto"/>
          </w:tcPr>
          <w:p w14:paraId="17F8011F" w14:textId="77777777" w:rsidR="00501862" w:rsidRPr="00DB7CF3" w:rsidRDefault="00501862" w:rsidP="008362E0">
            <w:pPr>
              <w:spacing w:before="120" w:after="120" w:line="240" w:lineRule="auto"/>
              <w:rPr>
                <w:rFonts w:cs="Arial"/>
                <w:sz w:val="16"/>
                <w:szCs w:val="16"/>
              </w:rPr>
            </w:pPr>
          </w:p>
        </w:tc>
        <w:tc>
          <w:tcPr>
            <w:tcW w:w="1596" w:type="dxa"/>
            <w:vMerge w:val="restart"/>
            <w:shd w:val="clear" w:color="auto" w:fill="auto"/>
          </w:tcPr>
          <w:p w14:paraId="204FBDFB" w14:textId="6DF20696" w:rsidR="00501862" w:rsidRPr="001513B6" w:rsidRDefault="00501862" w:rsidP="008362E0">
            <w:pPr>
              <w:spacing w:before="120" w:after="120" w:line="240" w:lineRule="auto"/>
              <w:rPr>
                <w:rFonts w:cs="Arial"/>
                <w:b/>
                <w:sz w:val="16"/>
                <w:szCs w:val="16"/>
              </w:rPr>
            </w:pPr>
            <w:r>
              <w:rPr>
                <w:b/>
                <w:sz w:val="16"/>
              </w:rPr>
              <w:t>Gestion des changements légaux et réglementaires (</w:t>
            </w:r>
            <w:r w:rsidRPr="001139E7">
              <w:rPr>
                <w:b/>
                <w:i/>
                <w:sz w:val="16"/>
              </w:rPr>
              <w:t>change management</w:t>
            </w:r>
            <w:r>
              <w:rPr>
                <w:b/>
                <w:sz w:val="16"/>
              </w:rPr>
              <w:t>)</w:t>
            </w:r>
            <w:r w:rsidR="0053454C">
              <w:rPr>
                <w:rStyle w:val="Funotenzeichen"/>
                <w:b/>
                <w:sz w:val="16"/>
              </w:rPr>
              <w:footnoteReference w:id="2"/>
            </w:r>
          </w:p>
        </w:tc>
        <w:tc>
          <w:tcPr>
            <w:tcW w:w="3969" w:type="dxa"/>
            <w:shd w:val="clear" w:color="auto" w:fill="auto"/>
          </w:tcPr>
          <w:p w14:paraId="2E38171C" w14:textId="77777777" w:rsidR="00501862" w:rsidRPr="00DE68E5" w:rsidRDefault="00501862" w:rsidP="008362E0">
            <w:pPr>
              <w:pStyle w:val="Bullet"/>
              <w:numPr>
                <w:ilvl w:val="0"/>
                <w:numId w:val="0"/>
              </w:numPr>
              <w:spacing w:before="120" w:after="120"/>
              <w:rPr>
                <w:i/>
              </w:rPr>
            </w:pPr>
            <w:r>
              <w:rPr>
                <w:i/>
              </w:rPr>
              <w:t xml:space="preserve">Evaluer l'adéquation des méthodes / processus d'identification, de mesure, de gestion et de surveillance des changements légaux et réglementaires ainsi que de la modification des activités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38DB473E" w14:textId="04A46435" w:rsidR="00501862" w:rsidRPr="001D46BF" w:rsidRDefault="00501862" w:rsidP="008362E0">
            <w:pPr>
              <w:pStyle w:val="Bullet"/>
              <w:numPr>
                <w:ilvl w:val="0"/>
                <w:numId w:val="0"/>
              </w:numPr>
              <w:spacing w:before="120" w:after="120"/>
            </w:pPr>
          </w:p>
        </w:tc>
        <w:tc>
          <w:tcPr>
            <w:tcW w:w="3402" w:type="dxa"/>
            <w:shd w:val="clear" w:color="auto" w:fill="auto"/>
          </w:tcPr>
          <w:p w14:paraId="4F48E69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3AC34397" w14:textId="77777777" w:rsidR="00501862" w:rsidRPr="001D46BF" w:rsidRDefault="00501862" w:rsidP="008362E0">
            <w:pPr>
              <w:spacing w:before="120" w:after="120" w:line="240" w:lineRule="auto"/>
              <w:rPr>
                <w:rFonts w:cs="Arial"/>
                <w:sz w:val="16"/>
                <w:szCs w:val="16"/>
              </w:rPr>
            </w:pPr>
          </w:p>
        </w:tc>
      </w:tr>
      <w:tr w:rsidR="00501862" w:rsidRPr="00AF6AA5" w14:paraId="658A6BA5" w14:textId="77777777" w:rsidTr="00F17892">
        <w:tc>
          <w:tcPr>
            <w:tcW w:w="531" w:type="dxa"/>
            <w:vMerge/>
            <w:shd w:val="clear" w:color="auto" w:fill="auto"/>
          </w:tcPr>
          <w:p w14:paraId="0160E8B2"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7DCBB686"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0B2625ED" w14:textId="77777777" w:rsidR="00501862" w:rsidRDefault="00501862" w:rsidP="008362E0">
            <w:pPr>
              <w:pStyle w:val="Bullet"/>
              <w:numPr>
                <w:ilvl w:val="0"/>
                <w:numId w:val="0"/>
              </w:numPr>
              <w:spacing w:before="120" w:after="120"/>
            </w:pPr>
            <w:r>
              <w:t xml:space="preserve">Evaluer l'adéquation des processus mis en œuvre par l'établissement pour </w:t>
            </w:r>
          </w:p>
          <w:p w14:paraId="51899BAF" w14:textId="77777777" w:rsidR="00501862" w:rsidRDefault="00501862" w:rsidP="008362E0">
            <w:pPr>
              <w:pStyle w:val="Bullet"/>
              <w:numPr>
                <w:ilvl w:val="0"/>
                <w:numId w:val="10"/>
              </w:numPr>
              <w:spacing w:before="120" w:after="120"/>
              <w:ind w:left="170" w:hanging="170"/>
            </w:pPr>
            <w:proofErr w:type="gramStart"/>
            <w:r>
              <w:t>la</w:t>
            </w:r>
            <w:proofErr w:type="gramEnd"/>
            <w:r>
              <w:t xml:space="preserve"> préparation, le contrôle de la qualité et l'approbation d'une vue d'ensemble périodique des changements légaux et réglementaires pertinents</w:t>
            </w:r>
          </w:p>
          <w:p w14:paraId="27267752" w14:textId="3781A460" w:rsidR="00501862" w:rsidRDefault="00501862" w:rsidP="008362E0">
            <w:pPr>
              <w:pStyle w:val="Bullet"/>
              <w:numPr>
                <w:ilvl w:val="0"/>
                <w:numId w:val="10"/>
              </w:numPr>
              <w:spacing w:before="120" w:after="120"/>
              <w:ind w:left="170" w:hanging="170"/>
            </w:pPr>
            <w:proofErr w:type="gramStart"/>
            <w:r>
              <w:t>la</w:t>
            </w:r>
            <w:proofErr w:type="gramEnd"/>
            <w:r>
              <w:t xml:space="preserve"> réalisation d'une analyse d'impact sur les </w:t>
            </w:r>
            <w:r w:rsidR="00AD20F6">
              <w:t xml:space="preserve">activités </w:t>
            </w:r>
            <w:r>
              <w:t>des changements légaux et réglementaires importants</w:t>
            </w:r>
          </w:p>
          <w:p w14:paraId="09BC4A1A" w14:textId="1C51D532" w:rsidR="00501862" w:rsidRPr="00686304" w:rsidRDefault="00501862" w:rsidP="008362E0">
            <w:pPr>
              <w:pStyle w:val="Bullet"/>
              <w:numPr>
                <w:ilvl w:val="0"/>
                <w:numId w:val="10"/>
              </w:numPr>
              <w:spacing w:before="120" w:after="120"/>
              <w:ind w:left="170" w:hanging="170"/>
            </w:pPr>
            <w:r>
              <w:t>la planification et l'engagement d'actions et de mesures en temps voulu en réponse aux changements.</w:t>
            </w:r>
          </w:p>
        </w:tc>
        <w:tc>
          <w:tcPr>
            <w:tcW w:w="3827" w:type="dxa"/>
            <w:shd w:val="clear" w:color="auto" w:fill="auto"/>
          </w:tcPr>
          <w:p w14:paraId="17737B99" w14:textId="77777777" w:rsidR="00501862" w:rsidRPr="00E802B3" w:rsidRDefault="00501862" w:rsidP="008362E0">
            <w:pPr>
              <w:pStyle w:val="Bullet"/>
              <w:numPr>
                <w:ilvl w:val="0"/>
                <w:numId w:val="0"/>
              </w:numPr>
              <w:spacing w:before="120" w:after="120"/>
            </w:pPr>
            <w:r>
              <w:t>Vérifier l'adéquation / l'exhaustivité de l'évaluation, par l'établissement, des changements légaux et réglementaires pertinents, et évaluer</w:t>
            </w:r>
          </w:p>
          <w:p w14:paraId="4459603E" w14:textId="038BBD29" w:rsidR="00501862" w:rsidRPr="00E802B3" w:rsidRDefault="00501862" w:rsidP="008362E0">
            <w:pPr>
              <w:pStyle w:val="Bullet"/>
              <w:numPr>
                <w:ilvl w:val="0"/>
                <w:numId w:val="11"/>
              </w:numPr>
              <w:spacing w:before="120" w:after="120"/>
              <w:ind w:left="170" w:hanging="170"/>
            </w:pPr>
            <w:proofErr w:type="gramStart"/>
            <w:r>
              <w:t>la</w:t>
            </w:r>
            <w:proofErr w:type="gramEnd"/>
            <w:r>
              <w:t xml:space="preserve"> façon dont l'établissement évalue l'impact desdits changements sur les </w:t>
            </w:r>
            <w:r w:rsidR="00AD20F6">
              <w:t>activités</w:t>
            </w:r>
          </w:p>
          <w:p w14:paraId="33CE0530" w14:textId="54440A25" w:rsidR="00501862" w:rsidRPr="00986A1C" w:rsidRDefault="00501862" w:rsidP="008362E0">
            <w:pPr>
              <w:pStyle w:val="Bullet"/>
              <w:numPr>
                <w:ilvl w:val="0"/>
                <w:numId w:val="11"/>
              </w:numPr>
              <w:spacing w:before="120" w:after="120"/>
              <w:ind w:left="170" w:hanging="170"/>
            </w:pPr>
            <w:r>
              <w:t>l'engagement de mesures en réponse aux changements sur la base de la compréhension par l'auditeur de ces changements.</w:t>
            </w:r>
          </w:p>
        </w:tc>
        <w:tc>
          <w:tcPr>
            <w:tcW w:w="3402" w:type="dxa"/>
            <w:shd w:val="clear" w:color="auto" w:fill="auto"/>
          </w:tcPr>
          <w:p w14:paraId="01A9D40A"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6B382FB0" w14:textId="77777777" w:rsidR="00501862" w:rsidRPr="001D46BF" w:rsidRDefault="00501862" w:rsidP="008362E0">
            <w:pPr>
              <w:spacing w:before="120" w:after="120" w:line="240" w:lineRule="auto"/>
              <w:rPr>
                <w:rFonts w:cs="Arial"/>
                <w:sz w:val="16"/>
                <w:szCs w:val="16"/>
              </w:rPr>
            </w:pPr>
          </w:p>
        </w:tc>
      </w:tr>
      <w:tr w:rsidR="00501862" w:rsidRPr="00AF6AA5" w14:paraId="714766DC" w14:textId="77777777" w:rsidTr="00F17892">
        <w:tc>
          <w:tcPr>
            <w:tcW w:w="531" w:type="dxa"/>
            <w:vMerge/>
            <w:shd w:val="clear" w:color="auto" w:fill="auto"/>
          </w:tcPr>
          <w:p w14:paraId="0A50964D"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50A2B707"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0D546415" w14:textId="4F2EE131" w:rsidR="000C04B5" w:rsidRPr="001D46BF" w:rsidRDefault="00501862" w:rsidP="008362E0">
            <w:pPr>
              <w:pStyle w:val="Bullet"/>
              <w:numPr>
                <w:ilvl w:val="0"/>
                <w:numId w:val="0"/>
              </w:numPr>
              <w:spacing w:before="120" w:after="120"/>
            </w:pPr>
            <w:r>
              <w:t xml:space="preserve">Evaluer si l'établissement a eu recours à une expertise et un savoir-faire appropriés pour identifier les changements légaux et réglementaires, y compris la </w:t>
            </w:r>
            <w:r>
              <w:lastRenderedPageBreak/>
              <w:t>méthode utilisée pour obtenir des informations sur les changements réglementaires.</w:t>
            </w:r>
          </w:p>
        </w:tc>
        <w:tc>
          <w:tcPr>
            <w:tcW w:w="3827" w:type="dxa"/>
            <w:shd w:val="clear" w:color="auto" w:fill="auto"/>
          </w:tcPr>
          <w:p w14:paraId="7990399D" w14:textId="77777777" w:rsidR="00501862" w:rsidRPr="001D46BF" w:rsidRDefault="00501862" w:rsidP="008362E0">
            <w:pPr>
              <w:pStyle w:val="Bullet"/>
              <w:numPr>
                <w:ilvl w:val="0"/>
                <w:numId w:val="0"/>
              </w:numPr>
              <w:spacing w:before="120" w:after="120"/>
            </w:pPr>
          </w:p>
        </w:tc>
        <w:tc>
          <w:tcPr>
            <w:tcW w:w="3402" w:type="dxa"/>
            <w:shd w:val="clear" w:color="auto" w:fill="auto"/>
          </w:tcPr>
          <w:p w14:paraId="2CFF40E2"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5768F9E3" w14:textId="77777777" w:rsidR="00501862" w:rsidRPr="001D46BF" w:rsidRDefault="00501862" w:rsidP="008362E0">
            <w:pPr>
              <w:spacing w:before="120" w:after="120" w:line="240" w:lineRule="auto"/>
              <w:rPr>
                <w:rFonts w:cs="Arial"/>
                <w:sz w:val="16"/>
                <w:szCs w:val="16"/>
              </w:rPr>
            </w:pPr>
          </w:p>
        </w:tc>
      </w:tr>
      <w:tr w:rsidR="00501862" w:rsidRPr="00AF6AA5" w14:paraId="0A270E89" w14:textId="77777777" w:rsidTr="00F17892">
        <w:tc>
          <w:tcPr>
            <w:tcW w:w="531" w:type="dxa"/>
            <w:vMerge/>
            <w:shd w:val="clear" w:color="auto" w:fill="auto"/>
          </w:tcPr>
          <w:p w14:paraId="5B41E741"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0A5180A8"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73C170EA" w14:textId="007BF0D1" w:rsidR="00501862" w:rsidRPr="001D46BF" w:rsidRDefault="00501862" w:rsidP="008362E0">
            <w:pPr>
              <w:pStyle w:val="Bullet"/>
              <w:numPr>
                <w:ilvl w:val="0"/>
                <w:numId w:val="0"/>
              </w:numPr>
              <w:spacing w:before="120" w:after="120"/>
            </w:pPr>
            <w:r>
              <w:t xml:space="preserve">Evaluer l'adéquation du </w:t>
            </w:r>
            <w:proofErr w:type="spellStart"/>
            <w:r>
              <w:rPr>
                <w:i/>
              </w:rPr>
              <w:t>reporting</w:t>
            </w:r>
            <w:proofErr w:type="spellEnd"/>
            <w:r>
              <w:t xml:space="preserve"> à l'intention de la direction opérationnelle et du conseil d'administration ainsi que la surveillance exercée par ceux-ci s'agissant des évolutions légales et réglementaires et des changements et des mesures consécutifs concernant les activités.</w:t>
            </w:r>
          </w:p>
        </w:tc>
        <w:tc>
          <w:tcPr>
            <w:tcW w:w="3827" w:type="dxa"/>
            <w:shd w:val="clear" w:color="auto" w:fill="auto"/>
          </w:tcPr>
          <w:p w14:paraId="5F15B093" w14:textId="77777777" w:rsidR="00501862" w:rsidRPr="001D46BF" w:rsidRDefault="00501862" w:rsidP="008362E0">
            <w:pPr>
              <w:pStyle w:val="Bullet"/>
              <w:numPr>
                <w:ilvl w:val="0"/>
                <w:numId w:val="0"/>
              </w:numPr>
              <w:spacing w:before="120" w:after="120"/>
            </w:pPr>
          </w:p>
        </w:tc>
        <w:tc>
          <w:tcPr>
            <w:tcW w:w="3402" w:type="dxa"/>
            <w:shd w:val="clear" w:color="auto" w:fill="auto"/>
          </w:tcPr>
          <w:p w14:paraId="5E23E313"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21CB2A6B" w14:textId="77777777" w:rsidR="00501862" w:rsidRPr="001D46BF" w:rsidRDefault="00501862" w:rsidP="008362E0">
            <w:pPr>
              <w:spacing w:before="120" w:after="120" w:line="240" w:lineRule="auto"/>
              <w:rPr>
                <w:rFonts w:cs="Arial"/>
                <w:sz w:val="16"/>
                <w:szCs w:val="16"/>
              </w:rPr>
            </w:pPr>
          </w:p>
        </w:tc>
      </w:tr>
      <w:tr w:rsidR="00501862" w:rsidRPr="00AF6AA5" w14:paraId="7A5A8019" w14:textId="77777777" w:rsidTr="00F17892">
        <w:trPr>
          <w:cantSplit/>
        </w:trPr>
        <w:tc>
          <w:tcPr>
            <w:tcW w:w="531" w:type="dxa"/>
            <w:vMerge w:val="restart"/>
            <w:shd w:val="clear" w:color="auto" w:fill="auto"/>
          </w:tcPr>
          <w:p w14:paraId="17655213" w14:textId="77777777" w:rsidR="00501862" w:rsidRPr="001D46BF" w:rsidRDefault="00501862" w:rsidP="008362E0">
            <w:pPr>
              <w:spacing w:before="120" w:after="120" w:line="240" w:lineRule="auto"/>
              <w:rPr>
                <w:rFonts w:cs="Arial"/>
                <w:sz w:val="16"/>
                <w:szCs w:val="16"/>
              </w:rPr>
            </w:pPr>
            <w:r>
              <w:rPr>
                <w:sz w:val="16"/>
              </w:rPr>
              <w:t xml:space="preserve"> </w:t>
            </w:r>
          </w:p>
        </w:tc>
        <w:tc>
          <w:tcPr>
            <w:tcW w:w="1596" w:type="dxa"/>
            <w:vMerge w:val="restart"/>
            <w:shd w:val="clear" w:color="auto" w:fill="auto"/>
          </w:tcPr>
          <w:p w14:paraId="250A4E23" w14:textId="77777777" w:rsidR="00501862" w:rsidRPr="001D46BF" w:rsidRDefault="00501862" w:rsidP="008362E0">
            <w:pPr>
              <w:spacing w:before="120" w:after="120" w:line="240" w:lineRule="auto"/>
              <w:rPr>
                <w:rFonts w:cs="Arial"/>
                <w:b/>
                <w:sz w:val="16"/>
                <w:szCs w:val="16"/>
              </w:rPr>
            </w:pPr>
            <w:r>
              <w:rPr>
                <w:b/>
                <w:sz w:val="16"/>
              </w:rPr>
              <w:t>Nouvelles activités, nouveaux produits et services</w:t>
            </w:r>
          </w:p>
        </w:tc>
        <w:tc>
          <w:tcPr>
            <w:tcW w:w="3969" w:type="dxa"/>
            <w:shd w:val="clear" w:color="auto" w:fill="auto"/>
          </w:tcPr>
          <w:p w14:paraId="17646724" w14:textId="77777777" w:rsidR="00501862" w:rsidRDefault="00501862" w:rsidP="008362E0">
            <w:pPr>
              <w:pStyle w:val="Bullet"/>
              <w:numPr>
                <w:ilvl w:val="0"/>
                <w:numId w:val="0"/>
              </w:numPr>
              <w:spacing w:before="120" w:after="120"/>
            </w:pPr>
            <w:r>
              <w:rPr>
                <w:i/>
              </w:rPr>
              <w:t xml:space="preserve">Evaluer l'adéquation des méthodes / processus d'identification, de mesure, de gestion et de surveillance des impacts engendrés par l'introduction ou la modification d'activités, de produits et de services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01D57C11" w14:textId="77777777" w:rsidR="00501862" w:rsidRPr="001D46BF" w:rsidRDefault="00501862" w:rsidP="008362E0">
            <w:pPr>
              <w:pStyle w:val="Bullet"/>
              <w:numPr>
                <w:ilvl w:val="0"/>
                <w:numId w:val="0"/>
              </w:numPr>
              <w:spacing w:before="120" w:after="120"/>
            </w:pPr>
          </w:p>
        </w:tc>
        <w:tc>
          <w:tcPr>
            <w:tcW w:w="3402" w:type="dxa"/>
            <w:shd w:val="clear" w:color="auto" w:fill="auto"/>
          </w:tcPr>
          <w:p w14:paraId="76053D30"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209504D" w14:textId="77777777" w:rsidR="00501862" w:rsidRPr="001D46BF" w:rsidRDefault="00501862" w:rsidP="008362E0">
            <w:pPr>
              <w:spacing w:before="120" w:after="120" w:line="240" w:lineRule="auto"/>
              <w:rPr>
                <w:rFonts w:cs="Arial"/>
                <w:sz w:val="16"/>
                <w:szCs w:val="16"/>
              </w:rPr>
            </w:pPr>
          </w:p>
        </w:tc>
      </w:tr>
      <w:tr w:rsidR="00501862" w:rsidRPr="00AF6AA5" w14:paraId="3291020A" w14:textId="77777777" w:rsidTr="00F17892">
        <w:tc>
          <w:tcPr>
            <w:tcW w:w="531" w:type="dxa"/>
            <w:vMerge/>
            <w:shd w:val="clear" w:color="auto" w:fill="auto"/>
          </w:tcPr>
          <w:p w14:paraId="7CF12F06" w14:textId="77777777" w:rsidR="00501862" w:rsidRDefault="00501862" w:rsidP="008362E0">
            <w:pPr>
              <w:spacing w:before="120" w:after="120" w:line="240" w:lineRule="auto"/>
              <w:rPr>
                <w:rFonts w:cs="Arial"/>
                <w:sz w:val="16"/>
                <w:szCs w:val="16"/>
              </w:rPr>
            </w:pPr>
          </w:p>
        </w:tc>
        <w:tc>
          <w:tcPr>
            <w:tcW w:w="1596" w:type="dxa"/>
            <w:vMerge/>
            <w:shd w:val="clear" w:color="auto" w:fill="auto"/>
          </w:tcPr>
          <w:p w14:paraId="4BA5E168" w14:textId="77777777" w:rsidR="00501862" w:rsidRDefault="00501862" w:rsidP="008362E0">
            <w:pPr>
              <w:spacing w:before="120" w:after="120" w:line="240" w:lineRule="auto"/>
              <w:rPr>
                <w:rFonts w:cs="Arial"/>
                <w:b/>
                <w:sz w:val="16"/>
                <w:szCs w:val="16"/>
              </w:rPr>
            </w:pPr>
          </w:p>
        </w:tc>
        <w:tc>
          <w:tcPr>
            <w:tcW w:w="3969" w:type="dxa"/>
            <w:shd w:val="clear" w:color="auto" w:fill="auto"/>
          </w:tcPr>
          <w:p w14:paraId="35C51FBC" w14:textId="0E069E20" w:rsidR="00501862" w:rsidRPr="00685E72" w:rsidRDefault="00501862" w:rsidP="008362E0">
            <w:pPr>
              <w:pStyle w:val="Bullet"/>
              <w:numPr>
                <w:ilvl w:val="0"/>
                <w:numId w:val="0"/>
              </w:numPr>
              <w:spacing w:before="120" w:after="120"/>
            </w:pPr>
            <w:r>
              <w:t xml:space="preserve">Evaluer l'adéquation et l'exhaustivité des processus et contrôles mis en œuvre par l'établissement pour gérer le risque de </w:t>
            </w:r>
            <w:r>
              <w:rPr>
                <w:i/>
              </w:rPr>
              <w:t>compliance</w:t>
            </w:r>
            <w:r>
              <w:t xml:space="preserve"> eu égard à l'introduction de nouvelles activités / de nouveaux produits et services et pour gérer la modification des activités, des produits et des services.</w:t>
            </w:r>
          </w:p>
        </w:tc>
        <w:tc>
          <w:tcPr>
            <w:tcW w:w="3827" w:type="dxa"/>
            <w:shd w:val="clear" w:color="auto" w:fill="auto"/>
          </w:tcPr>
          <w:p w14:paraId="665F37AD" w14:textId="77777777" w:rsidR="00501862" w:rsidRPr="001D46BF" w:rsidRDefault="00501862" w:rsidP="008362E0">
            <w:pPr>
              <w:pStyle w:val="Bullet"/>
              <w:numPr>
                <w:ilvl w:val="0"/>
                <w:numId w:val="0"/>
              </w:numPr>
              <w:spacing w:before="120" w:after="120"/>
            </w:pPr>
          </w:p>
        </w:tc>
        <w:tc>
          <w:tcPr>
            <w:tcW w:w="3402" w:type="dxa"/>
            <w:shd w:val="clear" w:color="auto" w:fill="auto"/>
          </w:tcPr>
          <w:p w14:paraId="6DE7D384"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71AA6FD4" w14:textId="77777777" w:rsidR="00501862" w:rsidRPr="001D46BF" w:rsidRDefault="00501862" w:rsidP="008362E0">
            <w:pPr>
              <w:spacing w:before="120" w:after="120" w:line="240" w:lineRule="auto"/>
              <w:rPr>
                <w:rFonts w:cs="Arial"/>
                <w:sz w:val="16"/>
                <w:szCs w:val="16"/>
              </w:rPr>
            </w:pPr>
          </w:p>
        </w:tc>
      </w:tr>
      <w:tr w:rsidR="00501862" w:rsidRPr="00AF6AA5" w14:paraId="638645D1" w14:textId="77777777" w:rsidTr="00F17892">
        <w:tc>
          <w:tcPr>
            <w:tcW w:w="531" w:type="dxa"/>
            <w:vMerge w:val="restart"/>
            <w:shd w:val="clear" w:color="auto" w:fill="auto"/>
          </w:tcPr>
          <w:p w14:paraId="00081460" w14:textId="77777777" w:rsidR="00501862" w:rsidRPr="00C04F0F" w:rsidRDefault="00501862" w:rsidP="008362E0">
            <w:pPr>
              <w:spacing w:before="120" w:after="120" w:line="240" w:lineRule="auto"/>
              <w:rPr>
                <w:rFonts w:cs="Arial"/>
                <w:sz w:val="16"/>
                <w:szCs w:val="16"/>
              </w:rPr>
            </w:pPr>
          </w:p>
        </w:tc>
        <w:tc>
          <w:tcPr>
            <w:tcW w:w="1596" w:type="dxa"/>
            <w:vMerge w:val="restart"/>
            <w:shd w:val="clear" w:color="auto" w:fill="auto"/>
          </w:tcPr>
          <w:p w14:paraId="51025914" w14:textId="31A5088A" w:rsidR="00501862" w:rsidRPr="005A0C5D" w:rsidRDefault="00501862" w:rsidP="008362E0">
            <w:pPr>
              <w:spacing w:before="120" w:after="120" w:line="240" w:lineRule="auto"/>
              <w:rPr>
                <w:rFonts w:cs="Arial"/>
                <w:b/>
                <w:sz w:val="16"/>
                <w:szCs w:val="16"/>
              </w:rPr>
            </w:pPr>
            <w:r>
              <w:rPr>
                <w:b/>
                <w:sz w:val="16"/>
              </w:rPr>
              <w:t>Politique en matière de risques</w:t>
            </w:r>
          </w:p>
        </w:tc>
        <w:tc>
          <w:tcPr>
            <w:tcW w:w="3969" w:type="dxa"/>
            <w:shd w:val="clear" w:color="auto" w:fill="auto"/>
          </w:tcPr>
          <w:p w14:paraId="62202291" w14:textId="369A8425" w:rsidR="00501862" w:rsidRPr="005139DC" w:rsidRDefault="00501862" w:rsidP="008362E0">
            <w:pPr>
              <w:pStyle w:val="Bullet"/>
              <w:numPr>
                <w:ilvl w:val="0"/>
                <w:numId w:val="0"/>
              </w:numPr>
              <w:spacing w:before="120" w:after="120"/>
              <w:rPr>
                <w:i/>
              </w:rPr>
            </w:pPr>
            <w:r>
              <w:rPr>
                <w:i/>
              </w:rPr>
              <w:t>Evaluer si la politique en matière de risques, les règlements internes, les directives, les manuels</w:t>
            </w:r>
            <w:r w:rsidR="00424136">
              <w:rPr>
                <w:i/>
              </w:rPr>
              <w:t xml:space="preserve"> </w:t>
            </w:r>
            <w:r>
              <w:rPr>
                <w:i/>
              </w:rPr>
              <w:t xml:space="preserve"> et les descriptions de poste définissent de manière adéquate les responsabilités, les pouvoirs d'approbation, les lignes de </w:t>
            </w:r>
            <w:proofErr w:type="spellStart"/>
            <w:r w:rsidRPr="00BF42C5">
              <w:rPr>
                <w:i/>
              </w:rPr>
              <w:t>reporting</w:t>
            </w:r>
            <w:proofErr w:type="spellEnd"/>
            <w:r>
              <w:rPr>
                <w:i/>
              </w:rPr>
              <w:t xml:space="preserve"> et de remontée de l'information en vue de la gestion des changements légaux et réglementaires ainsi que de la modification des activités, des produits et des services,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05DAF50A" w14:textId="77777777" w:rsidR="00501862" w:rsidRPr="005A0C5D" w:rsidRDefault="00501862" w:rsidP="008362E0">
            <w:pPr>
              <w:pStyle w:val="Bullet"/>
              <w:numPr>
                <w:ilvl w:val="0"/>
                <w:numId w:val="0"/>
              </w:numPr>
              <w:spacing w:before="120" w:after="120"/>
              <w:ind w:left="720"/>
            </w:pPr>
          </w:p>
        </w:tc>
        <w:tc>
          <w:tcPr>
            <w:tcW w:w="3402" w:type="dxa"/>
            <w:shd w:val="clear" w:color="auto" w:fill="auto"/>
          </w:tcPr>
          <w:p w14:paraId="3BF72460"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133B4301" w14:textId="77777777" w:rsidR="00501862" w:rsidRPr="00C04F0F" w:rsidRDefault="00501862" w:rsidP="008362E0">
            <w:pPr>
              <w:spacing w:before="120" w:after="120" w:line="240" w:lineRule="auto"/>
            </w:pPr>
          </w:p>
        </w:tc>
      </w:tr>
      <w:tr w:rsidR="00501862" w:rsidRPr="00AF6AA5" w14:paraId="1FDAC1BE" w14:textId="77777777" w:rsidTr="00F17892">
        <w:tc>
          <w:tcPr>
            <w:tcW w:w="531" w:type="dxa"/>
            <w:vMerge/>
            <w:shd w:val="clear" w:color="auto" w:fill="auto"/>
          </w:tcPr>
          <w:p w14:paraId="31315591"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4CAC7211" w14:textId="77777777" w:rsidR="00501862" w:rsidRPr="005A0C5D" w:rsidRDefault="00501862" w:rsidP="008362E0">
            <w:pPr>
              <w:spacing w:before="120" w:after="120" w:line="240" w:lineRule="auto"/>
              <w:rPr>
                <w:rFonts w:cs="Arial"/>
                <w:b/>
                <w:sz w:val="16"/>
                <w:szCs w:val="16"/>
              </w:rPr>
            </w:pPr>
          </w:p>
        </w:tc>
        <w:tc>
          <w:tcPr>
            <w:tcW w:w="3969" w:type="dxa"/>
            <w:shd w:val="clear" w:color="auto" w:fill="auto"/>
          </w:tcPr>
          <w:p w14:paraId="0EA0E094" w14:textId="77777777" w:rsidR="00501862" w:rsidRDefault="00501862" w:rsidP="008362E0">
            <w:pPr>
              <w:pStyle w:val="Bullet"/>
              <w:numPr>
                <w:ilvl w:val="0"/>
                <w:numId w:val="0"/>
              </w:numPr>
              <w:spacing w:before="120" w:after="120"/>
            </w:pPr>
            <w:r>
              <w:t>Evaluer l'adéquation des règles internes relatives à l'attribution des responsabilités pour :</w:t>
            </w:r>
          </w:p>
          <w:p w14:paraId="4CD43E8B" w14:textId="084CAC9C" w:rsidR="00501862" w:rsidRPr="000A2EA6" w:rsidRDefault="00501862" w:rsidP="008362E0">
            <w:pPr>
              <w:pStyle w:val="Bullet"/>
              <w:numPr>
                <w:ilvl w:val="0"/>
                <w:numId w:val="12"/>
              </w:numPr>
              <w:spacing w:before="120" w:after="120"/>
              <w:ind w:left="170" w:hanging="170"/>
            </w:pPr>
            <w:proofErr w:type="gramStart"/>
            <w:r>
              <w:t>la</w:t>
            </w:r>
            <w:proofErr w:type="gramEnd"/>
            <w:r>
              <w:t xml:space="preserve"> surveillance continue, l'identification des changements légaux et réglementaires ainsi que le </w:t>
            </w:r>
            <w:proofErr w:type="spellStart"/>
            <w:r>
              <w:rPr>
                <w:i/>
              </w:rPr>
              <w:t>reporting</w:t>
            </w:r>
            <w:proofErr w:type="spellEnd"/>
            <w:r>
              <w:t xml:space="preserve"> interne en la matière à l'intention de la direction opérationnelle</w:t>
            </w:r>
          </w:p>
          <w:p w14:paraId="05703DDB" w14:textId="77777777" w:rsidR="00501862" w:rsidRPr="005139DC" w:rsidRDefault="00501862" w:rsidP="008362E0">
            <w:pPr>
              <w:pStyle w:val="Bullet"/>
              <w:numPr>
                <w:ilvl w:val="0"/>
                <w:numId w:val="12"/>
              </w:numPr>
              <w:spacing w:before="120" w:after="120"/>
              <w:ind w:left="170" w:hanging="170"/>
            </w:pPr>
            <w:proofErr w:type="gramStart"/>
            <w:r>
              <w:t>décider</w:t>
            </w:r>
            <w:proofErr w:type="gramEnd"/>
            <w:r>
              <w:t xml:space="preserve"> si une analyse d'impact sur les affaires est nécessaire eu égard à un changement juridique ou réglementaire particulier</w:t>
            </w:r>
          </w:p>
          <w:p w14:paraId="3E01A87D" w14:textId="6297EBC8" w:rsidR="00501862" w:rsidRPr="00685E72" w:rsidRDefault="00501862" w:rsidP="008362E0">
            <w:pPr>
              <w:pStyle w:val="Bullet"/>
              <w:numPr>
                <w:ilvl w:val="0"/>
                <w:numId w:val="12"/>
              </w:numPr>
              <w:spacing w:before="120" w:after="120"/>
              <w:ind w:left="170" w:hanging="170"/>
            </w:pPr>
            <w:r>
              <w:t>approuver l'analyse d'impact sur les affaires et les plans d'actions ou de projets définis en conséquence eu égard aux changements légaux et réglementaires.</w:t>
            </w:r>
          </w:p>
        </w:tc>
        <w:tc>
          <w:tcPr>
            <w:tcW w:w="3827" w:type="dxa"/>
            <w:shd w:val="clear" w:color="auto" w:fill="auto"/>
          </w:tcPr>
          <w:p w14:paraId="60A9AA83" w14:textId="77777777" w:rsidR="00501862" w:rsidRPr="005A0C5D" w:rsidRDefault="00501862" w:rsidP="008362E0">
            <w:pPr>
              <w:spacing w:before="120" w:after="120" w:line="240" w:lineRule="auto"/>
              <w:ind w:left="33"/>
              <w:rPr>
                <w:rFonts w:cs="Arial"/>
                <w:sz w:val="16"/>
                <w:szCs w:val="16"/>
              </w:rPr>
            </w:pPr>
          </w:p>
        </w:tc>
        <w:tc>
          <w:tcPr>
            <w:tcW w:w="3402" w:type="dxa"/>
            <w:shd w:val="clear" w:color="auto" w:fill="auto"/>
          </w:tcPr>
          <w:p w14:paraId="67FF3B07"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45887AC5" w14:textId="77777777" w:rsidR="00501862" w:rsidRPr="00C04F0F" w:rsidRDefault="00501862" w:rsidP="008362E0">
            <w:pPr>
              <w:spacing w:before="120" w:after="120" w:line="240" w:lineRule="auto"/>
            </w:pPr>
          </w:p>
        </w:tc>
      </w:tr>
      <w:tr w:rsidR="00501862" w:rsidRPr="00AF6AA5" w14:paraId="3AF9142D" w14:textId="77777777" w:rsidTr="00F17892">
        <w:tc>
          <w:tcPr>
            <w:tcW w:w="531" w:type="dxa"/>
            <w:vMerge/>
            <w:shd w:val="clear" w:color="auto" w:fill="auto"/>
          </w:tcPr>
          <w:p w14:paraId="26475843"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1A11CBB3" w14:textId="77777777" w:rsidR="00501862" w:rsidRPr="005A0C5D" w:rsidRDefault="00501862" w:rsidP="008362E0">
            <w:pPr>
              <w:spacing w:before="120" w:after="120" w:line="240" w:lineRule="auto"/>
              <w:rPr>
                <w:rFonts w:cs="Arial"/>
                <w:b/>
                <w:sz w:val="16"/>
                <w:szCs w:val="16"/>
              </w:rPr>
            </w:pPr>
          </w:p>
        </w:tc>
        <w:tc>
          <w:tcPr>
            <w:tcW w:w="3969" w:type="dxa"/>
            <w:shd w:val="clear" w:color="auto" w:fill="auto"/>
          </w:tcPr>
          <w:p w14:paraId="37C03ED6" w14:textId="22E48FE9" w:rsidR="00501862" w:rsidRDefault="00501862" w:rsidP="00AD20F6">
            <w:pPr>
              <w:spacing w:before="120" w:after="120" w:line="240" w:lineRule="auto"/>
              <w:rPr>
                <w:rFonts w:cs="Arial"/>
                <w:sz w:val="16"/>
                <w:szCs w:val="16"/>
              </w:rPr>
            </w:pPr>
            <w:r>
              <w:rPr>
                <w:sz w:val="16"/>
              </w:rPr>
              <w:t xml:space="preserve">Evaluer si des </w:t>
            </w:r>
            <w:r w:rsidR="00AD20F6">
              <w:rPr>
                <w:sz w:val="16"/>
              </w:rPr>
              <w:t xml:space="preserve">compétences </w:t>
            </w:r>
            <w:r>
              <w:rPr>
                <w:sz w:val="16"/>
              </w:rPr>
              <w:t>et procédures d'approbation approprié</w:t>
            </w:r>
            <w:r w:rsidR="00AD20F6">
              <w:rPr>
                <w:sz w:val="16"/>
              </w:rPr>
              <w:t>e</w:t>
            </w:r>
            <w:r>
              <w:rPr>
                <w:sz w:val="16"/>
              </w:rPr>
              <w:t>s ont été défini</w:t>
            </w:r>
            <w:r w:rsidR="00AD20F6">
              <w:rPr>
                <w:sz w:val="16"/>
              </w:rPr>
              <w:t>e</w:t>
            </w:r>
            <w:r>
              <w:rPr>
                <w:sz w:val="16"/>
              </w:rPr>
              <w:t>s pour l'introduction de nouvelles activités / de nouveaux produits et services et des modifications subséquentes apportées à ceux-ci.</w:t>
            </w:r>
          </w:p>
        </w:tc>
        <w:tc>
          <w:tcPr>
            <w:tcW w:w="3827" w:type="dxa"/>
            <w:shd w:val="clear" w:color="auto" w:fill="auto"/>
          </w:tcPr>
          <w:p w14:paraId="6537630B" w14:textId="77777777" w:rsidR="00501862" w:rsidRPr="005A0C5D" w:rsidRDefault="00501862" w:rsidP="008362E0">
            <w:pPr>
              <w:spacing w:before="120" w:after="120" w:line="240" w:lineRule="auto"/>
              <w:ind w:left="33"/>
              <w:rPr>
                <w:rFonts w:cs="Arial"/>
                <w:sz w:val="16"/>
                <w:szCs w:val="16"/>
              </w:rPr>
            </w:pPr>
          </w:p>
        </w:tc>
        <w:tc>
          <w:tcPr>
            <w:tcW w:w="3402" w:type="dxa"/>
            <w:shd w:val="clear" w:color="auto" w:fill="auto"/>
          </w:tcPr>
          <w:p w14:paraId="18DF8BE5"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53067D13" w14:textId="77777777" w:rsidR="00501862" w:rsidRPr="00C04F0F" w:rsidRDefault="00501862" w:rsidP="008362E0">
            <w:pPr>
              <w:spacing w:before="120" w:after="120" w:line="240" w:lineRule="auto"/>
            </w:pPr>
          </w:p>
        </w:tc>
      </w:tr>
      <w:tr w:rsidR="00501862" w:rsidRPr="00AF6AA5" w14:paraId="4E5CF0D2" w14:textId="77777777" w:rsidTr="00F17892">
        <w:tc>
          <w:tcPr>
            <w:tcW w:w="531" w:type="dxa"/>
            <w:vMerge w:val="restart"/>
            <w:shd w:val="clear" w:color="auto" w:fill="auto"/>
          </w:tcPr>
          <w:p w14:paraId="133591D6"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09287A2A" w14:textId="23457452" w:rsidR="00501862" w:rsidRPr="005139DC" w:rsidRDefault="00501862" w:rsidP="008362E0">
            <w:pPr>
              <w:spacing w:before="120" w:after="120" w:line="240" w:lineRule="auto"/>
              <w:rPr>
                <w:rFonts w:cs="Arial"/>
                <w:b/>
                <w:sz w:val="16"/>
                <w:szCs w:val="16"/>
              </w:rPr>
            </w:pPr>
            <w:r>
              <w:rPr>
                <w:b/>
                <w:sz w:val="16"/>
              </w:rPr>
              <w:t>Conformité avec la politique des risques</w:t>
            </w:r>
          </w:p>
        </w:tc>
        <w:tc>
          <w:tcPr>
            <w:tcW w:w="3969" w:type="dxa"/>
            <w:shd w:val="clear" w:color="auto" w:fill="auto"/>
          </w:tcPr>
          <w:p w14:paraId="70E3524E" w14:textId="3E48A32C" w:rsidR="00501862" w:rsidRPr="001D46BF" w:rsidRDefault="00501862" w:rsidP="008362E0">
            <w:pPr>
              <w:pStyle w:val="Bullet"/>
              <w:numPr>
                <w:ilvl w:val="0"/>
                <w:numId w:val="0"/>
              </w:numPr>
              <w:spacing w:before="120" w:after="120"/>
            </w:pPr>
            <w:r>
              <w:rPr>
                <w:i/>
              </w:rPr>
              <w:t xml:space="preserve">Evaluer s'il existe un processus approprié pour s'assurer que la politique des risques relative à la gestion des changements légaux et réglementaires et aux nouvelles activités / aux nouveaux produits et services </w:t>
            </w:r>
            <w:r w:rsidR="00E862A9">
              <w:rPr>
                <w:i/>
              </w:rPr>
              <w:t xml:space="preserve">a </w:t>
            </w:r>
            <w:r>
              <w:rPr>
                <w:i/>
              </w:rPr>
              <w:t>été effectivement appliquée et respectée, notamment :</w:t>
            </w:r>
          </w:p>
        </w:tc>
        <w:tc>
          <w:tcPr>
            <w:tcW w:w="3827" w:type="dxa"/>
            <w:shd w:val="clear" w:color="auto" w:fill="auto"/>
          </w:tcPr>
          <w:p w14:paraId="5BD96B40" w14:textId="57DD8FE7" w:rsidR="00501862" w:rsidRPr="001D46BF" w:rsidRDefault="00501862" w:rsidP="008362E0">
            <w:pPr>
              <w:pStyle w:val="Bullet"/>
              <w:numPr>
                <w:ilvl w:val="0"/>
                <w:numId w:val="0"/>
              </w:numPr>
              <w:spacing w:before="120" w:after="120"/>
            </w:pPr>
            <w:r>
              <w:t>Sélectionner un échantillon d'au moins un changement légal ou réglementaire majeur ou d'au moins une activité importante nouvelle ou modifiée / un produit ou service important nouveau ou modifié et effectuer un contrôle substantif de la conformité avec les règles et les limites internes.</w:t>
            </w:r>
          </w:p>
        </w:tc>
        <w:tc>
          <w:tcPr>
            <w:tcW w:w="3402" w:type="dxa"/>
            <w:shd w:val="clear" w:color="auto" w:fill="auto"/>
          </w:tcPr>
          <w:p w14:paraId="3EF46C43"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1EA2367" w14:textId="77777777" w:rsidR="00501862" w:rsidRPr="00C04F0F" w:rsidRDefault="00501862" w:rsidP="008362E0">
            <w:pPr>
              <w:spacing w:before="120" w:after="120" w:line="240" w:lineRule="auto"/>
            </w:pPr>
          </w:p>
        </w:tc>
      </w:tr>
      <w:tr w:rsidR="00501862" w:rsidRPr="00AF6AA5" w14:paraId="47086AA9" w14:textId="77777777" w:rsidTr="00F17892">
        <w:tc>
          <w:tcPr>
            <w:tcW w:w="531" w:type="dxa"/>
            <w:vMerge/>
            <w:shd w:val="clear" w:color="auto" w:fill="auto"/>
          </w:tcPr>
          <w:p w14:paraId="5E8F904A"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449F4538"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2D2F431F" w14:textId="1ED7C1CB" w:rsidR="00501862" w:rsidRPr="00440BBC" w:rsidRDefault="00501862" w:rsidP="003C6003">
            <w:pPr>
              <w:pStyle w:val="Bullet"/>
              <w:numPr>
                <w:ilvl w:val="0"/>
                <w:numId w:val="0"/>
              </w:numPr>
              <w:spacing w:before="120" w:after="120"/>
            </w:pPr>
            <w:r>
              <w:t>Identifier et documenter les contrôles internes relatifs à la gestion des changements légaux et réglementaires et aux activités, produits et services nouveaux et modifiés, et évaluer leur</w:t>
            </w:r>
            <w:r w:rsidR="00787399">
              <w:t xml:space="preserve"> définition et</w:t>
            </w:r>
            <w:r>
              <w:t xml:space="preserve"> </w:t>
            </w:r>
            <w:r w:rsidR="003C6003">
              <w:t>exhaustivité.</w:t>
            </w:r>
          </w:p>
        </w:tc>
        <w:tc>
          <w:tcPr>
            <w:tcW w:w="3827" w:type="dxa"/>
            <w:shd w:val="clear" w:color="auto" w:fill="auto"/>
          </w:tcPr>
          <w:p w14:paraId="092EC492" w14:textId="03A8B065" w:rsidR="00501862" w:rsidRPr="00BF1F55" w:rsidRDefault="00E862A9" w:rsidP="008362E0">
            <w:pPr>
              <w:pStyle w:val="Bullet"/>
              <w:numPr>
                <w:ilvl w:val="0"/>
                <w:numId w:val="0"/>
              </w:numPr>
              <w:spacing w:before="120" w:after="120"/>
            </w:pPr>
            <w:r>
              <w:t>E</w:t>
            </w:r>
            <w:r w:rsidR="00501862">
              <w:t>ffectuer des tests de procédure afin de confirmer l'efficacité du fonctionnement des contrôles internes effectués pour la gestion des changements légaux et réglementaires et pour les activités, produits et services nouveaux / modifiés.</w:t>
            </w:r>
          </w:p>
        </w:tc>
        <w:tc>
          <w:tcPr>
            <w:tcW w:w="3402" w:type="dxa"/>
            <w:shd w:val="clear" w:color="auto" w:fill="auto"/>
          </w:tcPr>
          <w:p w14:paraId="6237D361"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2B50EE0" w14:textId="77777777" w:rsidR="00501862" w:rsidRPr="00C04F0F" w:rsidRDefault="00501862" w:rsidP="008362E0">
            <w:pPr>
              <w:spacing w:before="120" w:after="120" w:line="240" w:lineRule="auto"/>
            </w:pPr>
          </w:p>
        </w:tc>
      </w:tr>
      <w:tr w:rsidR="009B3A2C" w:rsidRPr="00AF6AA5" w14:paraId="61E695E7" w14:textId="77777777" w:rsidTr="00F17892">
        <w:tc>
          <w:tcPr>
            <w:tcW w:w="531" w:type="dxa"/>
            <w:shd w:val="clear" w:color="auto" w:fill="auto"/>
          </w:tcPr>
          <w:p w14:paraId="4F13479B" w14:textId="77777777" w:rsidR="009B3A2C" w:rsidRPr="001D46BF" w:rsidRDefault="009B3A2C" w:rsidP="008362E0">
            <w:pPr>
              <w:spacing w:before="120" w:after="120" w:line="240" w:lineRule="auto"/>
              <w:rPr>
                <w:rFonts w:cs="Arial"/>
                <w:sz w:val="16"/>
                <w:szCs w:val="16"/>
              </w:rPr>
            </w:pPr>
          </w:p>
        </w:tc>
        <w:tc>
          <w:tcPr>
            <w:tcW w:w="1596" w:type="dxa"/>
            <w:shd w:val="clear" w:color="auto" w:fill="auto"/>
          </w:tcPr>
          <w:p w14:paraId="31AEE6A4" w14:textId="6CC1BEDA" w:rsidR="009B3A2C" w:rsidRPr="001D46BF" w:rsidRDefault="00FC1DC6" w:rsidP="008362E0">
            <w:pPr>
              <w:spacing w:before="120" w:after="120" w:line="240" w:lineRule="auto"/>
              <w:rPr>
                <w:rFonts w:cs="Arial"/>
                <w:b/>
                <w:sz w:val="16"/>
                <w:szCs w:val="16"/>
              </w:rPr>
            </w:pPr>
            <w:r>
              <w:rPr>
                <w:rFonts w:cs="Arial"/>
                <w:b/>
                <w:sz w:val="16"/>
                <w:szCs w:val="16"/>
              </w:rPr>
              <w:t>Applicabilité de l'ajournement des contrat soumis à un droit ou un for étranger</w:t>
            </w:r>
          </w:p>
        </w:tc>
        <w:tc>
          <w:tcPr>
            <w:tcW w:w="3969" w:type="dxa"/>
            <w:shd w:val="clear" w:color="auto" w:fill="auto"/>
          </w:tcPr>
          <w:p w14:paraId="1DD2F98C" w14:textId="5019A880" w:rsidR="009B3A2C" w:rsidRPr="008D43E0" w:rsidRDefault="009B3A2C" w:rsidP="003C6003">
            <w:pPr>
              <w:pStyle w:val="Bullet"/>
              <w:numPr>
                <w:ilvl w:val="0"/>
                <w:numId w:val="0"/>
              </w:numPr>
              <w:spacing w:before="120" w:after="120"/>
              <w:rPr>
                <w:i/>
              </w:rPr>
            </w:pPr>
            <w:r w:rsidRPr="008D43E0">
              <w:rPr>
                <w:i/>
              </w:rPr>
              <w:t xml:space="preserve">Evaluer s'il existe un processus </w:t>
            </w:r>
            <w:r w:rsidR="00592FF3">
              <w:rPr>
                <w:i/>
              </w:rPr>
              <w:t xml:space="preserve">adéquat </w:t>
            </w:r>
            <w:r w:rsidRPr="008D43E0">
              <w:rPr>
                <w:i/>
              </w:rPr>
              <w:t>garantissant le respect de l'art. 12 al. 2</w:t>
            </w:r>
            <w:r w:rsidRPr="008D43E0">
              <w:rPr>
                <w:i/>
                <w:vertAlign w:val="superscript"/>
              </w:rPr>
              <w:t>bis</w:t>
            </w:r>
            <w:r w:rsidRPr="008D43E0">
              <w:rPr>
                <w:i/>
              </w:rPr>
              <w:t xml:space="preserve"> </w:t>
            </w:r>
            <w:proofErr w:type="spellStart"/>
            <w:r w:rsidRPr="008D43E0">
              <w:rPr>
                <w:i/>
              </w:rPr>
              <w:t>OB</w:t>
            </w:r>
            <w:r w:rsidR="00FC1DC6">
              <w:rPr>
                <w:i/>
              </w:rPr>
              <w:t>en</w:t>
            </w:r>
            <w:proofErr w:type="spellEnd"/>
            <w:r w:rsidR="00FC1DC6">
              <w:rPr>
                <w:i/>
              </w:rPr>
              <w:t xml:space="preserve"> relation avec les art. 56 et 61</w:t>
            </w:r>
            <w:r w:rsidR="009F5DD4">
              <w:rPr>
                <w:i/>
              </w:rPr>
              <w:t>a</w:t>
            </w:r>
            <w:r w:rsidR="00FC1DC6">
              <w:rPr>
                <w:i/>
              </w:rPr>
              <w:t xml:space="preserve"> de l'OIB-FINM</w:t>
            </w:r>
            <w:r w:rsidR="009F5DD4">
              <w:rPr>
                <w:i/>
              </w:rPr>
              <w:t>A.</w:t>
            </w:r>
          </w:p>
        </w:tc>
        <w:tc>
          <w:tcPr>
            <w:tcW w:w="3827" w:type="dxa"/>
            <w:shd w:val="clear" w:color="auto" w:fill="auto"/>
          </w:tcPr>
          <w:p w14:paraId="41BC2CC7" w14:textId="77777777" w:rsidR="009B3A2C" w:rsidRDefault="009B3A2C" w:rsidP="008362E0">
            <w:pPr>
              <w:pStyle w:val="Bullet"/>
              <w:numPr>
                <w:ilvl w:val="0"/>
                <w:numId w:val="0"/>
              </w:numPr>
              <w:spacing w:before="120" w:after="120"/>
            </w:pPr>
          </w:p>
        </w:tc>
        <w:tc>
          <w:tcPr>
            <w:tcW w:w="3402" w:type="dxa"/>
            <w:shd w:val="clear" w:color="auto" w:fill="auto"/>
          </w:tcPr>
          <w:p w14:paraId="6B0E9B9E" w14:textId="77777777" w:rsidR="009B3A2C" w:rsidRPr="001D46BF" w:rsidRDefault="009B3A2C" w:rsidP="008362E0">
            <w:pPr>
              <w:spacing w:before="120" w:after="120" w:line="240" w:lineRule="auto"/>
              <w:rPr>
                <w:rFonts w:cs="Arial"/>
                <w:sz w:val="16"/>
                <w:szCs w:val="16"/>
              </w:rPr>
            </w:pPr>
          </w:p>
        </w:tc>
        <w:tc>
          <w:tcPr>
            <w:tcW w:w="992" w:type="dxa"/>
            <w:shd w:val="clear" w:color="auto" w:fill="auto"/>
          </w:tcPr>
          <w:p w14:paraId="2A74E79F" w14:textId="77777777" w:rsidR="009B3A2C" w:rsidRPr="00C04F0F" w:rsidRDefault="009B3A2C" w:rsidP="008362E0">
            <w:pPr>
              <w:spacing w:before="120" w:after="120" w:line="240" w:lineRule="auto"/>
            </w:pPr>
          </w:p>
        </w:tc>
      </w:tr>
      <w:tr w:rsidR="009B3A2C" w:rsidRPr="00AF6AA5" w14:paraId="42AC056D" w14:textId="77777777" w:rsidTr="00F17892">
        <w:tc>
          <w:tcPr>
            <w:tcW w:w="531" w:type="dxa"/>
            <w:shd w:val="clear" w:color="auto" w:fill="auto"/>
          </w:tcPr>
          <w:p w14:paraId="31E7F6D2" w14:textId="77777777" w:rsidR="009B3A2C" w:rsidRPr="001D46BF" w:rsidRDefault="009B3A2C" w:rsidP="008362E0">
            <w:pPr>
              <w:spacing w:before="120" w:after="120" w:line="240" w:lineRule="auto"/>
              <w:rPr>
                <w:rFonts w:cs="Arial"/>
                <w:sz w:val="16"/>
                <w:szCs w:val="16"/>
              </w:rPr>
            </w:pPr>
          </w:p>
        </w:tc>
        <w:tc>
          <w:tcPr>
            <w:tcW w:w="1596" w:type="dxa"/>
            <w:shd w:val="clear" w:color="auto" w:fill="auto"/>
          </w:tcPr>
          <w:p w14:paraId="2AF4AEA2" w14:textId="77777777" w:rsidR="009B3A2C" w:rsidRPr="001D46BF" w:rsidRDefault="009B3A2C" w:rsidP="008362E0">
            <w:pPr>
              <w:spacing w:before="120" w:after="120" w:line="240" w:lineRule="auto"/>
              <w:rPr>
                <w:rFonts w:cs="Arial"/>
                <w:b/>
                <w:sz w:val="16"/>
                <w:szCs w:val="16"/>
              </w:rPr>
            </w:pPr>
          </w:p>
        </w:tc>
        <w:tc>
          <w:tcPr>
            <w:tcW w:w="3969" w:type="dxa"/>
            <w:shd w:val="clear" w:color="auto" w:fill="auto"/>
          </w:tcPr>
          <w:p w14:paraId="07DC3640" w14:textId="61F71933" w:rsidR="009B3A2C" w:rsidRPr="008D43E0" w:rsidRDefault="009B3A2C" w:rsidP="00DE6DEA">
            <w:pPr>
              <w:pStyle w:val="Bullet"/>
              <w:numPr>
                <w:ilvl w:val="0"/>
                <w:numId w:val="0"/>
              </w:numPr>
              <w:spacing w:before="120" w:after="120"/>
            </w:pPr>
            <w:r>
              <w:t xml:space="preserve">Examiner </w:t>
            </w:r>
            <w:r w:rsidR="00FC1DC6">
              <w:t>l'existence et l'adéquation d</w:t>
            </w:r>
            <w:r>
              <w:t xml:space="preserve">es instructions </w:t>
            </w:r>
            <w:r w:rsidR="008A50A3">
              <w:t xml:space="preserve">ou directives </w:t>
            </w:r>
            <w:r>
              <w:t xml:space="preserve">internes visant à garantir que les </w:t>
            </w:r>
            <w:r w:rsidR="008A50A3">
              <w:t xml:space="preserve">nouveaux </w:t>
            </w:r>
            <w:r>
              <w:t xml:space="preserve">contrats </w:t>
            </w:r>
            <w:r w:rsidR="008A50A3">
              <w:t xml:space="preserve">ou adaptations de contrats </w:t>
            </w:r>
            <w:r>
              <w:t xml:space="preserve">soumis à un droit </w:t>
            </w:r>
            <w:r w:rsidR="009F5DD4">
              <w:t>étranger ou stipulant</w:t>
            </w:r>
            <w:r>
              <w:t xml:space="preserve"> un for étranger </w:t>
            </w:r>
            <w:r w:rsidR="009F5DD4">
              <w:t xml:space="preserve">ne peuvent être conclus </w:t>
            </w:r>
            <w:r w:rsidR="00BE6D9C">
              <w:t>que si la contrepartie reconnaît une clause</w:t>
            </w:r>
            <w:r w:rsidR="009F5DD4">
              <w:t xml:space="preserve"> d'</w:t>
            </w:r>
            <w:r w:rsidR="00B2749D">
              <w:t xml:space="preserve">ajournement </w:t>
            </w:r>
            <w:r w:rsidR="00DE6DEA">
              <w:t>de la résiliation</w:t>
            </w:r>
            <w:r w:rsidR="00BE6D9C">
              <w:t xml:space="preserve"> des cont</w:t>
            </w:r>
            <w:r w:rsidR="00DE6DEA">
              <w:t>r</w:t>
            </w:r>
            <w:r w:rsidR="00BE6D9C">
              <w:t>ats</w:t>
            </w:r>
            <w:r w:rsidR="00B2749D">
              <w:t xml:space="preserve"> au sens de l'art. 30a LB, dès lors que le</w:t>
            </w:r>
            <w:r w:rsidR="00BE6D9C">
              <w:t>s</w:t>
            </w:r>
            <w:r w:rsidR="00B2749D">
              <w:t xml:space="preserve"> contrat</w:t>
            </w:r>
            <w:r w:rsidR="00BE6D9C">
              <w:t>s</w:t>
            </w:r>
            <w:r w:rsidR="00B2749D">
              <w:t xml:space="preserve"> en question </w:t>
            </w:r>
            <w:r w:rsidR="008A50A3">
              <w:t>sont</w:t>
            </w:r>
            <w:r w:rsidR="00B2749D">
              <w:t xml:space="preserve"> soumis </w:t>
            </w:r>
            <w:r w:rsidR="008A50A3">
              <w:t xml:space="preserve">en vertu </w:t>
            </w:r>
            <w:r w:rsidR="00DE6DEA">
              <w:t xml:space="preserve">de l'art. 56 OIB-FINMA à </w:t>
            </w:r>
            <w:r w:rsidR="008A50A3">
              <w:t xml:space="preserve">l'art. 12 al. 2 </w:t>
            </w:r>
            <w:r w:rsidR="008A50A3" w:rsidRPr="008D43E0">
              <w:rPr>
                <w:vertAlign w:val="superscript"/>
              </w:rPr>
              <w:t>bis</w:t>
            </w:r>
            <w:r w:rsidR="008A50A3">
              <w:t xml:space="preserve"> OB</w:t>
            </w:r>
            <w:r w:rsidR="00DE6DEA">
              <w:t>-</w:t>
            </w:r>
          </w:p>
        </w:tc>
        <w:tc>
          <w:tcPr>
            <w:tcW w:w="3827" w:type="dxa"/>
            <w:shd w:val="clear" w:color="auto" w:fill="auto"/>
          </w:tcPr>
          <w:p w14:paraId="2619EDF9" w14:textId="5027AE81" w:rsidR="009B3A2C" w:rsidRDefault="00B2749D" w:rsidP="00DE6DEA">
            <w:pPr>
              <w:pStyle w:val="Bullet"/>
              <w:numPr>
                <w:ilvl w:val="0"/>
                <w:numId w:val="0"/>
              </w:numPr>
              <w:spacing w:before="120" w:after="120"/>
            </w:pPr>
            <w:r>
              <w:t>Sélectionner un échantillon de contrats</w:t>
            </w:r>
            <w:r w:rsidR="00DE6DEA">
              <w:t>,</w:t>
            </w:r>
            <w:r>
              <w:t xml:space="preserve"> soumis à </w:t>
            </w:r>
            <w:r w:rsidR="008A50A3">
              <w:t>l'art. 12 al. 2</w:t>
            </w:r>
            <w:proofErr w:type="gramStart"/>
            <w:r w:rsidR="008A50A3" w:rsidRPr="008D43E0">
              <w:rPr>
                <w:vertAlign w:val="superscript"/>
              </w:rPr>
              <w:t>bis</w:t>
            </w:r>
            <w:r w:rsidR="00BE6D9C">
              <w:rPr>
                <w:vertAlign w:val="superscript"/>
              </w:rPr>
              <w:t xml:space="preserve"> </w:t>
            </w:r>
            <w:r w:rsidR="008A50A3">
              <w:t xml:space="preserve"> </w:t>
            </w:r>
            <w:r w:rsidR="00BE6D9C">
              <w:t>OB</w:t>
            </w:r>
            <w:proofErr w:type="gramEnd"/>
            <w:r w:rsidR="00BE6D9C">
              <w:t xml:space="preserve"> </w:t>
            </w:r>
            <w:r w:rsidR="008A50A3">
              <w:t>en vertu de l'art. 56 OIB-FIN</w:t>
            </w:r>
            <w:r w:rsidR="00BE6D9C">
              <w:t>M</w:t>
            </w:r>
            <w:r w:rsidR="008A50A3">
              <w:t>A</w:t>
            </w:r>
            <w:r w:rsidR="00DE6DEA">
              <w:t>,</w:t>
            </w:r>
            <w:r w:rsidR="008A50A3">
              <w:t xml:space="preserve"> </w:t>
            </w:r>
            <w:r w:rsidR="00DE6DEA">
              <w:t>qui sont</w:t>
            </w:r>
            <w:r w:rsidR="008A50A3">
              <w:t xml:space="preserve"> </w:t>
            </w:r>
            <w:r w:rsidR="00DE6DEA">
              <w:t>régis par</w:t>
            </w:r>
            <w:r w:rsidR="008A50A3">
              <w:t xml:space="preserve"> </w:t>
            </w:r>
            <w:r>
              <w:t xml:space="preserve">un droit </w:t>
            </w:r>
            <w:r w:rsidR="00DE6DEA">
              <w:t>étranger ou pour lesquels un for étranger est stipulé</w:t>
            </w:r>
            <w:r>
              <w:t xml:space="preserve"> et vérifier que</w:t>
            </w:r>
            <w:r w:rsidR="008A50A3">
              <w:t xml:space="preserve"> la reconnaissance de</w:t>
            </w:r>
            <w:r>
              <w:t xml:space="preserve"> l'ajournement au sens de l'art. 30a LB </w:t>
            </w:r>
            <w:r w:rsidR="00BE6D9C">
              <w:t>a été</w:t>
            </w:r>
            <w:r w:rsidR="00DE6DEA">
              <w:t xml:space="preserve"> effectivement</w:t>
            </w:r>
            <w:r w:rsidR="00BE6D9C">
              <w:t xml:space="preserve"> </w:t>
            </w:r>
            <w:r w:rsidR="009130E9" w:rsidRPr="008D43E0">
              <w:t>convenue</w:t>
            </w:r>
            <w:r w:rsidR="009130E9">
              <w:t>.</w:t>
            </w:r>
            <w:r>
              <w:t xml:space="preserve"> </w:t>
            </w:r>
          </w:p>
        </w:tc>
        <w:tc>
          <w:tcPr>
            <w:tcW w:w="3402" w:type="dxa"/>
            <w:shd w:val="clear" w:color="auto" w:fill="auto"/>
          </w:tcPr>
          <w:p w14:paraId="4BCB3030" w14:textId="77777777" w:rsidR="009B3A2C" w:rsidRPr="001D46BF" w:rsidRDefault="009B3A2C" w:rsidP="008362E0">
            <w:pPr>
              <w:spacing w:before="120" w:after="120" w:line="240" w:lineRule="auto"/>
              <w:rPr>
                <w:rFonts w:cs="Arial"/>
                <w:sz w:val="16"/>
                <w:szCs w:val="16"/>
              </w:rPr>
            </w:pPr>
          </w:p>
        </w:tc>
        <w:tc>
          <w:tcPr>
            <w:tcW w:w="992" w:type="dxa"/>
            <w:shd w:val="clear" w:color="auto" w:fill="auto"/>
          </w:tcPr>
          <w:p w14:paraId="4D048D42" w14:textId="77777777" w:rsidR="009B3A2C" w:rsidRPr="00C04F0F" w:rsidRDefault="009B3A2C" w:rsidP="008362E0">
            <w:pPr>
              <w:spacing w:before="120" w:after="120" w:line="240" w:lineRule="auto"/>
            </w:pPr>
          </w:p>
        </w:tc>
      </w:tr>
    </w:tbl>
    <w:p w14:paraId="28F0B395" w14:textId="77777777" w:rsidR="00501862" w:rsidRPr="00FD391B" w:rsidRDefault="00501862" w:rsidP="008362E0">
      <w:pPr>
        <w:spacing w:before="120" w:after="120" w:line="240" w:lineRule="auto"/>
        <w:rPr>
          <w:rFonts w:cs="Arial"/>
          <w:b/>
          <w:sz w:val="2"/>
          <w:szCs w:val="2"/>
        </w:rPr>
      </w:pPr>
      <w:r>
        <w:br w:type="page"/>
      </w:r>
    </w:p>
    <w:p w14:paraId="35261AF8" w14:textId="32ACBAFE" w:rsidR="00501862" w:rsidRPr="00163FB7" w:rsidRDefault="00501862" w:rsidP="008362E0">
      <w:pPr>
        <w:spacing w:before="120" w:after="120" w:line="240" w:lineRule="auto"/>
        <w:rPr>
          <w:rFonts w:cs="Arial"/>
          <w:u w:val="single"/>
        </w:rPr>
      </w:pPr>
      <w:r>
        <w:rPr>
          <w:b/>
        </w:rPr>
        <w:lastRenderedPageBreak/>
        <w:t xml:space="preserve">Programme de travail – </w:t>
      </w:r>
      <w:r>
        <w:rPr>
          <w:b/>
          <w:u w:val="single"/>
        </w:rPr>
        <w:t xml:space="preserve">Autres risques liés à des questions de </w:t>
      </w:r>
      <w:r>
        <w:rPr>
          <w:b/>
          <w:i/>
          <w:u w:val="single"/>
        </w:rPr>
        <w:t>compliance</w:t>
      </w:r>
      <w:r>
        <w:rPr>
          <w:b/>
          <w:u w:val="single"/>
        </w:rPr>
        <w:t xml:space="preserve"> </w:t>
      </w:r>
      <w:r>
        <w:rPr>
          <w:u w:val="single"/>
        </w:rPr>
        <w:t>– Risques liés aux services transfrontières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1596"/>
        <w:gridCol w:w="3971"/>
        <w:gridCol w:w="3827"/>
        <w:gridCol w:w="3403"/>
        <w:gridCol w:w="992"/>
      </w:tblGrid>
      <w:tr w:rsidR="00501862" w:rsidRPr="00DB7CF3" w14:paraId="762BA994" w14:textId="77777777" w:rsidTr="00902740">
        <w:trPr>
          <w:tblHeader/>
        </w:trPr>
        <w:tc>
          <w:tcPr>
            <w:tcW w:w="528" w:type="dxa"/>
            <w:tcBorders>
              <w:bottom w:val="single" w:sz="4" w:space="0" w:color="auto"/>
            </w:tcBorders>
            <w:shd w:val="pct20" w:color="auto" w:fill="auto"/>
          </w:tcPr>
          <w:p w14:paraId="11E56CA5" w14:textId="77777777" w:rsidR="00501862" w:rsidRPr="00DB7CF3" w:rsidRDefault="00501862" w:rsidP="008362E0">
            <w:pPr>
              <w:spacing w:before="120" w:after="120" w:line="240" w:lineRule="auto"/>
              <w:rPr>
                <w:rFonts w:cs="Arial"/>
                <w:b/>
                <w:sz w:val="16"/>
                <w:szCs w:val="16"/>
              </w:rPr>
            </w:pPr>
            <w:r>
              <w:rPr>
                <w:b/>
                <w:sz w:val="16"/>
              </w:rPr>
              <w:t>N°</w:t>
            </w:r>
          </w:p>
        </w:tc>
        <w:tc>
          <w:tcPr>
            <w:tcW w:w="1596" w:type="dxa"/>
            <w:tcBorders>
              <w:bottom w:val="single" w:sz="4" w:space="0" w:color="auto"/>
            </w:tcBorders>
            <w:shd w:val="pct20" w:color="auto" w:fill="auto"/>
          </w:tcPr>
          <w:p w14:paraId="2985B389" w14:textId="77777777" w:rsidR="00501862" w:rsidRPr="00DB7CF3" w:rsidRDefault="00501862" w:rsidP="008362E0">
            <w:pPr>
              <w:spacing w:before="120" w:after="120" w:line="240" w:lineRule="auto"/>
              <w:rPr>
                <w:rFonts w:cs="Arial"/>
                <w:b/>
                <w:sz w:val="16"/>
                <w:szCs w:val="16"/>
              </w:rPr>
            </w:pPr>
            <w:r>
              <w:rPr>
                <w:b/>
                <w:sz w:val="16"/>
              </w:rPr>
              <w:t>Thème :</w:t>
            </w:r>
          </w:p>
        </w:tc>
        <w:tc>
          <w:tcPr>
            <w:tcW w:w="3971" w:type="dxa"/>
            <w:tcBorders>
              <w:bottom w:val="single" w:sz="4" w:space="0" w:color="auto"/>
            </w:tcBorders>
            <w:shd w:val="pct20" w:color="auto" w:fill="auto"/>
          </w:tcPr>
          <w:p w14:paraId="09454E16" w14:textId="0362045B" w:rsidR="00501862" w:rsidRPr="00DB7CF3" w:rsidRDefault="00501862" w:rsidP="008362E0">
            <w:pPr>
              <w:spacing w:before="120" w:after="12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42D16820" w14:textId="624DBFF8" w:rsidR="00501862" w:rsidRPr="00084ED5" w:rsidRDefault="00501862" w:rsidP="008362E0">
            <w:pPr>
              <w:spacing w:before="120" w:after="120" w:line="240" w:lineRule="auto"/>
              <w:rPr>
                <w:rFonts w:cs="Arial"/>
                <w:b/>
                <w:sz w:val="16"/>
                <w:szCs w:val="16"/>
              </w:rPr>
            </w:pPr>
            <w:r w:rsidRPr="00084ED5">
              <w:rPr>
                <w:b/>
                <w:sz w:val="16"/>
                <w:szCs w:val="16"/>
              </w:rPr>
              <w:t xml:space="preserve">Procédures </w:t>
            </w:r>
            <w:r w:rsidRPr="00084ED5">
              <w:rPr>
                <w:b/>
                <w:sz w:val="16"/>
                <w:szCs w:val="16"/>
                <w:u w:val="single"/>
              </w:rPr>
              <w:t>supplémentaires</w:t>
            </w:r>
            <w:r w:rsidRPr="00084ED5">
              <w:rPr>
                <w:b/>
                <w:sz w:val="16"/>
                <w:szCs w:val="16"/>
              </w:rPr>
              <w:t xml:space="preserve"> pour l'étendue d'audit « audit » :</w:t>
            </w:r>
          </w:p>
        </w:tc>
        <w:tc>
          <w:tcPr>
            <w:tcW w:w="3403" w:type="dxa"/>
            <w:tcBorders>
              <w:bottom w:val="single" w:sz="4" w:space="0" w:color="auto"/>
            </w:tcBorders>
            <w:shd w:val="pct20" w:color="auto" w:fill="auto"/>
          </w:tcPr>
          <w:p w14:paraId="76946E0F" w14:textId="59C561EA" w:rsidR="00501862" w:rsidRPr="00DB7CF3" w:rsidRDefault="00501862" w:rsidP="008362E0">
            <w:pPr>
              <w:spacing w:before="120" w:after="120" w:line="240" w:lineRule="auto"/>
              <w:rPr>
                <w:rFonts w:cs="Arial"/>
                <w:b/>
                <w:sz w:val="16"/>
                <w:szCs w:val="16"/>
              </w:rPr>
            </w:pPr>
            <w:r>
              <w:rPr>
                <w:b/>
                <w:sz w:val="16"/>
              </w:rPr>
              <w:t xml:space="preserve">Procédures mises en œuvre / </w:t>
            </w:r>
            <w:r w:rsidR="00084ED5">
              <w:rPr>
                <w:b/>
                <w:sz w:val="16"/>
              </w:rPr>
              <w:br/>
            </w:r>
            <w:r>
              <w:rPr>
                <w:b/>
                <w:sz w:val="16"/>
              </w:rPr>
              <w:t>Constatations</w:t>
            </w:r>
          </w:p>
        </w:tc>
        <w:tc>
          <w:tcPr>
            <w:tcW w:w="992" w:type="dxa"/>
            <w:tcBorders>
              <w:bottom w:val="single" w:sz="4" w:space="0" w:color="auto"/>
            </w:tcBorders>
            <w:shd w:val="pct20" w:color="auto" w:fill="auto"/>
          </w:tcPr>
          <w:p w14:paraId="374F3EDE" w14:textId="77777777" w:rsidR="00501862" w:rsidRPr="00DB7CF3" w:rsidRDefault="00501862" w:rsidP="008362E0">
            <w:pPr>
              <w:spacing w:before="120" w:after="120" w:line="240" w:lineRule="auto"/>
              <w:rPr>
                <w:rFonts w:cs="Arial"/>
                <w:b/>
                <w:sz w:val="16"/>
                <w:szCs w:val="16"/>
              </w:rPr>
            </w:pPr>
            <w:r>
              <w:rPr>
                <w:b/>
                <w:sz w:val="16"/>
              </w:rPr>
              <w:t>Réf. doc. de travail</w:t>
            </w:r>
          </w:p>
        </w:tc>
      </w:tr>
      <w:tr w:rsidR="00FA4FC1" w:rsidRPr="00AF6AA5" w14:paraId="1C476EC6" w14:textId="77777777" w:rsidTr="00902740">
        <w:tc>
          <w:tcPr>
            <w:tcW w:w="14317" w:type="dxa"/>
            <w:gridSpan w:val="6"/>
            <w:shd w:val="pct10" w:color="auto" w:fill="auto"/>
          </w:tcPr>
          <w:p w14:paraId="30453841" w14:textId="77777777" w:rsidR="00FA4FC1" w:rsidRPr="001139E7" w:rsidRDefault="00FA4FC1" w:rsidP="008362E0">
            <w:pPr>
              <w:spacing w:before="120" w:after="120" w:line="240" w:lineRule="auto"/>
              <w:rPr>
                <w:rFonts w:cs="Arial"/>
                <w:i/>
                <w:sz w:val="16"/>
                <w:szCs w:val="16"/>
                <w:lang w:val="en-US"/>
              </w:rPr>
            </w:pPr>
            <w:r w:rsidRPr="003C6003">
              <w:rPr>
                <w:i/>
                <w:sz w:val="16"/>
                <w:lang w:val="en-US"/>
              </w:rPr>
              <w:t xml:space="preserve">Confirmation that methods / processes for identification, measurement, management and monitoring of other </w:t>
            </w:r>
            <w:r w:rsidRPr="001139E7">
              <w:rPr>
                <w:i/>
                <w:sz w:val="16"/>
                <w:lang w:val="en-US"/>
              </w:rPr>
              <w:t>risks in connection with compliance issues were adequate and, in case of the audit depth “audit”, were applied effectively.</w:t>
            </w:r>
          </w:p>
          <w:p w14:paraId="6A8BDC1E" w14:textId="77777777" w:rsidR="00FA4FC1" w:rsidRPr="001139E7" w:rsidRDefault="00FA4FC1" w:rsidP="008362E0">
            <w:pPr>
              <w:spacing w:before="120" w:after="120" w:line="240" w:lineRule="auto"/>
              <w:rPr>
                <w:bCs/>
                <w:i/>
                <w:sz w:val="16"/>
                <w:szCs w:val="16"/>
                <w:lang w:val="de-CH"/>
              </w:rPr>
            </w:pPr>
            <w:r w:rsidRPr="001139E7">
              <w:rPr>
                <w:i/>
                <w:sz w:val="16"/>
                <w:lang w:val="de-CH"/>
              </w:rPr>
              <w:t>Bestätigung, dass die Methoden / Prozesse zur Identifikation, Messung, Bewirtschaftung und Überwachung von anderen Risiken im Zusammenhang mit Compliance-Fragen angemessen waren und im Falle der Prüftiefe „Prüfung“ effektiv angewendet wurden.</w:t>
            </w:r>
          </w:p>
          <w:p w14:paraId="4E89EC9F" w14:textId="1288682E" w:rsidR="00FA4FC1" w:rsidRPr="004B3768" w:rsidRDefault="00FA4FC1" w:rsidP="008362E0">
            <w:pPr>
              <w:spacing w:before="120" w:after="120" w:line="240" w:lineRule="auto"/>
            </w:pPr>
            <w:r>
              <w:rPr>
                <w:i/>
                <w:sz w:val="16"/>
              </w:rPr>
              <w:t xml:space="preserve">Confirmation que les méthodes / processus d'identification, de mesure, de gestion et de surveillance d'autres risques en lien avec les questions de </w:t>
            </w:r>
            <w:r>
              <w:rPr>
                <w:sz w:val="16"/>
              </w:rPr>
              <w:t>compliance</w:t>
            </w:r>
            <w:r>
              <w:rPr>
                <w:i/>
                <w:sz w:val="16"/>
              </w:rPr>
              <w:t xml:space="preserve"> étaient appropriés et en cas d'étendue d'audit « audit » ont été effectivement appliqués.</w:t>
            </w:r>
          </w:p>
        </w:tc>
      </w:tr>
      <w:tr w:rsidR="00501862" w:rsidRPr="00AF6AA5" w14:paraId="74DDA778" w14:textId="77777777" w:rsidTr="00902740">
        <w:tc>
          <w:tcPr>
            <w:tcW w:w="528" w:type="dxa"/>
            <w:vMerge w:val="restart"/>
            <w:shd w:val="clear" w:color="auto" w:fill="auto"/>
          </w:tcPr>
          <w:p w14:paraId="7B7161B1" w14:textId="77777777" w:rsidR="00501862" w:rsidRPr="00327024" w:rsidRDefault="00501862" w:rsidP="008362E0">
            <w:pPr>
              <w:spacing w:before="120" w:after="120" w:line="240" w:lineRule="auto"/>
              <w:rPr>
                <w:rFonts w:cs="Arial"/>
                <w:sz w:val="16"/>
                <w:szCs w:val="16"/>
              </w:rPr>
            </w:pPr>
          </w:p>
        </w:tc>
        <w:tc>
          <w:tcPr>
            <w:tcW w:w="1596" w:type="dxa"/>
            <w:vMerge w:val="restart"/>
            <w:shd w:val="clear" w:color="auto" w:fill="auto"/>
          </w:tcPr>
          <w:p w14:paraId="47BDB33E" w14:textId="5BCA6DAD" w:rsidR="00501862" w:rsidRPr="00327024" w:rsidRDefault="00501862" w:rsidP="008362E0">
            <w:pPr>
              <w:spacing w:before="120" w:after="120" w:line="240" w:lineRule="auto"/>
              <w:rPr>
                <w:rFonts w:cs="Arial"/>
                <w:b/>
                <w:sz w:val="16"/>
                <w:szCs w:val="16"/>
              </w:rPr>
            </w:pPr>
            <w:r>
              <w:rPr>
                <w:b/>
                <w:sz w:val="16"/>
              </w:rPr>
              <w:t>Politique en matière de risques</w:t>
            </w:r>
          </w:p>
        </w:tc>
        <w:tc>
          <w:tcPr>
            <w:tcW w:w="3971" w:type="dxa"/>
            <w:shd w:val="clear" w:color="auto" w:fill="auto"/>
          </w:tcPr>
          <w:p w14:paraId="539239BF" w14:textId="7FDE64DA" w:rsidR="00501862" w:rsidRPr="001D46BF" w:rsidRDefault="00501862" w:rsidP="008362E0">
            <w:pPr>
              <w:pStyle w:val="Bullet"/>
              <w:numPr>
                <w:ilvl w:val="0"/>
                <w:numId w:val="0"/>
              </w:numPr>
              <w:spacing w:before="120" w:after="120"/>
            </w:pPr>
            <w:r>
              <w:rPr>
                <w:i/>
              </w:rPr>
              <w:t xml:space="preserve">Evaluer si la politique des risques, les règlements internes, les directives, les </w:t>
            </w:r>
            <w:r w:rsidRPr="00764B45">
              <w:rPr>
                <w:i/>
              </w:rPr>
              <w:t>manuels</w:t>
            </w:r>
            <w:r w:rsidR="00787399" w:rsidRPr="00BF42C5">
              <w:rPr>
                <w:i/>
              </w:rPr>
              <w:t xml:space="preserve"> </w:t>
            </w:r>
            <w:r>
              <w:rPr>
                <w:i/>
              </w:rPr>
              <w:t xml:space="preserve"> et les descriptions de poste définissent de manière adéquate les responsabilités, les pouvoirs d'approbation, les limites, les lignes de </w:t>
            </w:r>
            <w:proofErr w:type="spellStart"/>
            <w:r w:rsidRPr="00BF42C5">
              <w:rPr>
                <w:i/>
              </w:rPr>
              <w:t>reporting</w:t>
            </w:r>
            <w:proofErr w:type="spellEnd"/>
            <w:r>
              <w:rPr>
                <w:i/>
              </w:rPr>
              <w:t xml:space="preserve"> et de remontée de l'information pour les risques résultant des services transfrontières,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2BBE47A1" w14:textId="77777777" w:rsidR="00501862" w:rsidRPr="001D46BF" w:rsidRDefault="00501862" w:rsidP="008362E0">
            <w:pPr>
              <w:pStyle w:val="Bullet"/>
              <w:numPr>
                <w:ilvl w:val="0"/>
                <w:numId w:val="0"/>
              </w:numPr>
              <w:spacing w:before="120" w:after="120"/>
              <w:ind w:left="720"/>
            </w:pPr>
          </w:p>
        </w:tc>
        <w:tc>
          <w:tcPr>
            <w:tcW w:w="3403" w:type="dxa"/>
            <w:shd w:val="clear" w:color="auto" w:fill="auto"/>
          </w:tcPr>
          <w:p w14:paraId="3DCEACE7"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3CCBE359" w14:textId="77777777" w:rsidR="00501862" w:rsidRPr="00C04F0F" w:rsidRDefault="00501862" w:rsidP="008362E0">
            <w:pPr>
              <w:spacing w:before="120" w:after="120" w:line="240" w:lineRule="auto"/>
            </w:pPr>
          </w:p>
        </w:tc>
      </w:tr>
      <w:tr w:rsidR="00501862" w:rsidRPr="00AF6AA5" w14:paraId="3C6188E4" w14:textId="77777777" w:rsidTr="00902740">
        <w:trPr>
          <w:trHeight w:val="980"/>
        </w:trPr>
        <w:tc>
          <w:tcPr>
            <w:tcW w:w="528" w:type="dxa"/>
            <w:vMerge/>
            <w:shd w:val="clear" w:color="auto" w:fill="auto"/>
          </w:tcPr>
          <w:p w14:paraId="766E9423"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0B35F223" w14:textId="77777777" w:rsidR="00501862" w:rsidRPr="001D46BF" w:rsidRDefault="00501862" w:rsidP="008362E0">
            <w:pPr>
              <w:spacing w:before="120" w:after="120" w:line="240" w:lineRule="auto"/>
              <w:rPr>
                <w:rFonts w:cs="Arial"/>
                <w:b/>
                <w:sz w:val="16"/>
                <w:szCs w:val="16"/>
              </w:rPr>
            </w:pPr>
          </w:p>
        </w:tc>
        <w:tc>
          <w:tcPr>
            <w:tcW w:w="3971" w:type="dxa"/>
            <w:shd w:val="clear" w:color="auto" w:fill="auto"/>
          </w:tcPr>
          <w:p w14:paraId="2F96E017" w14:textId="1D01FE3E" w:rsidR="00501862" w:rsidRPr="003203D5" w:rsidRDefault="00501862" w:rsidP="008362E0">
            <w:pPr>
              <w:pStyle w:val="Bullet"/>
              <w:numPr>
                <w:ilvl w:val="0"/>
                <w:numId w:val="0"/>
              </w:numPr>
              <w:spacing w:before="120" w:after="120"/>
            </w:pPr>
            <w:r>
              <w:t>Evaluer si les règles internes définissent de manière adéquate la stratégie d'entreprise et le modèle de prestations de services (y c. les procédures de ciblage, de gestion des relations, de commercialisation et de communication) pour les pays cibles, les pays exclus, les pays non cibles (c'est-à-dire ceux qui ne sont ni des pays cibles, ni des pays exclus).</w:t>
            </w:r>
          </w:p>
        </w:tc>
        <w:tc>
          <w:tcPr>
            <w:tcW w:w="3827" w:type="dxa"/>
            <w:shd w:val="clear" w:color="auto" w:fill="auto"/>
          </w:tcPr>
          <w:p w14:paraId="4A1F8EBF" w14:textId="77777777" w:rsidR="00501862" w:rsidRPr="001D46BF" w:rsidRDefault="00501862" w:rsidP="008362E0">
            <w:pPr>
              <w:spacing w:before="120" w:after="120" w:line="240" w:lineRule="auto"/>
              <w:ind w:left="34"/>
              <w:rPr>
                <w:rFonts w:cs="Arial"/>
                <w:sz w:val="16"/>
                <w:szCs w:val="16"/>
              </w:rPr>
            </w:pPr>
          </w:p>
        </w:tc>
        <w:tc>
          <w:tcPr>
            <w:tcW w:w="3403" w:type="dxa"/>
            <w:shd w:val="clear" w:color="auto" w:fill="auto"/>
          </w:tcPr>
          <w:p w14:paraId="37B41EA9"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4091B1B" w14:textId="77777777" w:rsidR="00501862" w:rsidRPr="00F81BDE" w:rsidRDefault="00501862" w:rsidP="008362E0">
            <w:pPr>
              <w:spacing w:before="120" w:after="120" w:line="240" w:lineRule="auto"/>
            </w:pPr>
          </w:p>
        </w:tc>
      </w:tr>
      <w:tr w:rsidR="00501862" w:rsidRPr="00AF6AA5" w14:paraId="103727D3" w14:textId="77777777" w:rsidTr="00AF6AA5">
        <w:tc>
          <w:tcPr>
            <w:tcW w:w="528" w:type="dxa"/>
            <w:vMerge/>
            <w:shd w:val="clear" w:color="auto" w:fill="auto"/>
          </w:tcPr>
          <w:p w14:paraId="04CD6182"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56226110" w14:textId="77777777" w:rsidR="00501862" w:rsidRPr="001D46BF" w:rsidRDefault="00501862" w:rsidP="008362E0">
            <w:pPr>
              <w:spacing w:before="120" w:after="120" w:line="240" w:lineRule="auto"/>
              <w:rPr>
                <w:rFonts w:cs="Arial"/>
                <w:b/>
                <w:sz w:val="16"/>
                <w:szCs w:val="16"/>
              </w:rPr>
            </w:pPr>
          </w:p>
        </w:tc>
        <w:tc>
          <w:tcPr>
            <w:tcW w:w="3971" w:type="dxa"/>
            <w:shd w:val="clear" w:color="auto" w:fill="auto"/>
          </w:tcPr>
          <w:p w14:paraId="7FF27C6C" w14:textId="56325BD7" w:rsidR="00501862" w:rsidRPr="003203D5" w:rsidRDefault="00501862" w:rsidP="00BF42C5">
            <w:pPr>
              <w:pStyle w:val="Bullet"/>
              <w:numPr>
                <w:ilvl w:val="0"/>
                <w:numId w:val="0"/>
              </w:numPr>
              <w:spacing w:before="120" w:after="120"/>
              <w:ind w:left="33"/>
            </w:pPr>
            <w:r>
              <w:t>Evaluer si la stratégie transfrontière documentée est suffisamment détaillée, claire et transparente pour garantir que les organes de direction soient en mesure de prendre des décisions en connaissance de cause sur la propension et la tolérance au risque</w:t>
            </w:r>
            <w:r w:rsidR="003C6003">
              <w:t>.</w:t>
            </w:r>
            <w:r>
              <w:t xml:space="preserve"> </w:t>
            </w:r>
            <w:proofErr w:type="gramStart"/>
            <w:r>
              <w:t>et</w:t>
            </w:r>
            <w:proofErr w:type="gramEnd"/>
            <w:r>
              <w:t xml:space="preserve"> </w:t>
            </w:r>
            <w:r w:rsidRPr="00787399">
              <w:t xml:space="preserve">si elle est adéquate eu égard aux activités de l'établissement et à leur complexité (notamment les marchés cibles sélectionnés, l'évaluation par l'établissement de la </w:t>
            </w:r>
            <w:r w:rsidRPr="00787399">
              <w:rPr>
                <w:i/>
              </w:rPr>
              <w:t>compliance</w:t>
            </w:r>
            <w:r w:rsidRPr="00787399">
              <w:t xml:space="preserve"> de ses modèles de service pour les marchés cibles et les licences ainsi que les autorisations obtenues).</w:t>
            </w:r>
            <w:r>
              <w:t xml:space="preserve"> </w:t>
            </w:r>
          </w:p>
        </w:tc>
        <w:tc>
          <w:tcPr>
            <w:tcW w:w="3827" w:type="dxa"/>
            <w:shd w:val="clear" w:color="auto" w:fill="auto"/>
          </w:tcPr>
          <w:p w14:paraId="149C44BB" w14:textId="77777777" w:rsidR="00501862" w:rsidRPr="001D46BF" w:rsidRDefault="00501862" w:rsidP="008362E0">
            <w:pPr>
              <w:spacing w:before="120" w:after="120" w:line="240" w:lineRule="auto"/>
              <w:ind w:left="33"/>
              <w:rPr>
                <w:rFonts w:cs="Arial"/>
                <w:sz w:val="16"/>
                <w:szCs w:val="16"/>
              </w:rPr>
            </w:pPr>
          </w:p>
        </w:tc>
        <w:tc>
          <w:tcPr>
            <w:tcW w:w="3403" w:type="dxa"/>
            <w:shd w:val="clear" w:color="auto" w:fill="auto"/>
          </w:tcPr>
          <w:p w14:paraId="4A057966"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F0F1220" w14:textId="77777777" w:rsidR="00501862" w:rsidRPr="00F81BDE" w:rsidRDefault="00501862" w:rsidP="008362E0">
            <w:pPr>
              <w:spacing w:before="120" w:after="120" w:line="240" w:lineRule="auto"/>
            </w:pPr>
          </w:p>
        </w:tc>
      </w:tr>
      <w:tr w:rsidR="00501862" w:rsidRPr="00AF6AA5" w14:paraId="185DE504" w14:textId="77777777" w:rsidTr="00902740">
        <w:tc>
          <w:tcPr>
            <w:tcW w:w="528" w:type="dxa"/>
            <w:vMerge/>
            <w:shd w:val="clear" w:color="auto" w:fill="auto"/>
          </w:tcPr>
          <w:p w14:paraId="2EFF8718"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1BEE7B76" w14:textId="77777777" w:rsidR="00501862" w:rsidRPr="001D46BF" w:rsidRDefault="00501862" w:rsidP="008362E0">
            <w:pPr>
              <w:spacing w:before="120" w:after="120" w:line="240" w:lineRule="auto"/>
              <w:rPr>
                <w:rFonts w:cs="Arial"/>
                <w:b/>
                <w:sz w:val="16"/>
                <w:szCs w:val="16"/>
              </w:rPr>
            </w:pPr>
          </w:p>
        </w:tc>
        <w:tc>
          <w:tcPr>
            <w:tcW w:w="3971" w:type="dxa"/>
            <w:shd w:val="clear" w:color="auto" w:fill="auto"/>
          </w:tcPr>
          <w:p w14:paraId="27032C3E" w14:textId="54A24048" w:rsidR="00501862" w:rsidRPr="003203D5" w:rsidRDefault="00501862" w:rsidP="008362E0">
            <w:pPr>
              <w:pStyle w:val="Bullet"/>
              <w:numPr>
                <w:ilvl w:val="0"/>
                <w:numId w:val="0"/>
              </w:numPr>
              <w:spacing w:before="120" w:after="120"/>
              <w:ind w:left="33"/>
            </w:pPr>
            <w:r>
              <w:t>Evaluer si les règles internes définissent de manière adéquate les pays cibles, les pays exclus, les pays non cibles (c'est-à-dire ceux qui ne sont ni des pays cibles, ni des pays exclus) en conformité avec le plan d'exploitation et les activités commerciales effectives.</w:t>
            </w:r>
          </w:p>
        </w:tc>
        <w:tc>
          <w:tcPr>
            <w:tcW w:w="3827" w:type="dxa"/>
            <w:shd w:val="clear" w:color="auto" w:fill="auto"/>
          </w:tcPr>
          <w:p w14:paraId="3FC52037" w14:textId="77777777" w:rsidR="00501862" w:rsidRPr="001D46BF" w:rsidRDefault="00501862" w:rsidP="008362E0">
            <w:pPr>
              <w:spacing w:before="120" w:after="120" w:line="240" w:lineRule="auto"/>
              <w:ind w:left="33"/>
              <w:rPr>
                <w:rFonts w:cs="Arial"/>
                <w:sz w:val="16"/>
                <w:szCs w:val="16"/>
              </w:rPr>
            </w:pPr>
          </w:p>
        </w:tc>
        <w:tc>
          <w:tcPr>
            <w:tcW w:w="3403" w:type="dxa"/>
            <w:shd w:val="clear" w:color="auto" w:fill="auto"/>
          </w:tcPr>
          <w:p w14:paraId="0871A1B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A55CB1E" w14:textId="77777777" w:rsidR="00501862" w:rsidRPr="00C04F0F" w:rsidRDefault="00501862" w:rsidP="008362E0">
            <w:pPr>
              <w:spacing w:before="120" w:after="120" w:line="240" w:lineRule="auto"/>
            </w:pPr>
          </w:p>
        </w:tc>
      </w:tr>
      <w:tr w:rsidR="00501862" w:rsidRPr="00AF6AA5" w14:paraId="780F8209" w14:textId="77777777" w:rsidTr="00902740">
        <w:tc>
          <w:tcPr>
            <w:tcW w:w="528" w:type="dxa"/>
            <w:vMerge/>
            <w:shd w:val="clear" w:color="auto" w:fill="auto"/>
          </w:tcPr>
          <w:p w14:paraId="652776E2"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3608B14A" w14:textId="77777777" w:rsidR="00501862" w:rsidRPr="001D46BF" w:rsidRDefault="00501862" w:rsidP="008362E0">
            <w:pPr>
              <w:spacing w:before="120" w:after="120" w:line="240" w:lineRule="auto"/>
              <w:rPr>
                <w:rFonts w:cs="Arial"/>
                <w:b/>
                <w:sz w:val="16"/>
                <w:szCs w:val="16"/>
              </w:rPr>
            </w:pPr>
          </w:p>
        </w:tc>
        <w:tc>
          <w:tcPr>
            <w:tcW w:w="3971" w:type="dxa"/>
            <w:shd w:val="clear" w:color="auto" w:fill="auto"/>
          </w:tcPr>
          <w:p w14:paraId="06864106" w14:textId="77777777" w:rsidR="00501862" w:rsidRDefault="00501862" w:rsidP="008362E0">
            <w:pPr>
              <w:pStyle w:val="Bullet"/>
              <w:numPr>
                <w:ilvl w:val="0"/>
                <w:numId w:val="0"/>
              </w:numPr>
              <w:spacing w:before="120" w:after="120"/>
            </w:pPr>
            <w:r>
              <w:t>Evaluer si les règles internes définissent de manière adéquate les rôles et les responsabilités, par ex. en matière</w:t>
            </w:r>
          </w:p>
          <w:p w14:paraId="67792E30" w14:textId="36332FAE" w:rsidR="00501862" w:rsidRDefault="00501862" w:rsidP="008362E0">
            <w:pPr>
              <w:pStyle w:val="Bullet"/>
              <w:numPr>
                <w:ilvl w:val="0"/>
                <w:numId w:val="13"/>
              </w:numPr>
              <w:spacing w:before="120" w:after="120"/>
              <w:ind w:left="227" w:hanging="227"/>
            </w:pPr>
            <w:proofErr w:type="gramStart"/>
            <w:r>
              <w:t>d'approbation</w:t>
            </w:r>
            <w:proofErr w:type="gramEnd"/>
            <w:r>
              <w:t xml:space="preserve"> de la stratégie transfrontière</w:t>
            </w:r>
          </w:p>
          <w:p w14:paraId="2EEDCB51" w14:textId="77777777" w:rsidR="00501862" w:rsidRPr="00FA1508" w:rsidRDefault="00501862" w:rsidP="008362E0">
            <w:pPr>
              <w:pStyle w:val="Bullet"/>
              <w:numPr>
                <w:ilvl w:val="0"/>
                <w:numId w:val="13"/>
              </w:numPr>
              <w:spacing w:before="120" w:after="120"/>
              <w:ind w:left="227" w:hanging="227"/>
            </w:pPr>
            <w:proofErr w:type="gramStart"/>
            <w:r>
              <w:rPr>
                <w:color w:val="000000" w:themeColor="text1"/>
              </w:rPr>
              <w:t>de</w:t>
            </w:r>
            <w:proofErr w:type="gramEnd"/>
            <w:r>
              <w:rPr>
                <w:color w:val="000000" w:themeColor="text1"/>
              </w:rPr>
              <w:t xml:space="preserve"> réalisation d'analyses de risques propres aux pays suffisamment détaillées et fréquentes</w:t>
            </w:r>
          </w:p>
          <w:p w14:paraId="739DC122" w14:textId="6D55787C" w:rsidR="00501862" w:rsidRPr="00FA1508" w:rsidRDefault="00501862" w:rsidP="008362E0">
            <w:pPr>
              <w:pStyle w:val="Bullet"/>
              <w:numPr>
                <w:ilvl w:val="0"/>
                <w:numId w:val="13"/>
              </w:numPr>
              <w:spacing w:before="120" w:after="120"/>
              <w:ind w:left="227" w:hanging="227"/>
            </w:pPr>
            <w:proofErr w:type="gramStart"/>
            <w:r>
              <w:rPr>
                <w:color w:val="000000" w:themeColor="text1"/>
              </w:rPr>
              <w:t>d'approbation</w:t>
            </w:r>
            <w:proofErr w:type="gramEnd"/>
            <w:r>
              <w:rPr>
                <w:color w:val="000000" w:themeColor="text1"/>
              </w:rPr>
              <w:t xml:space="preserve"> de la classification par pays et de la </w:t>
            </w:r>
            <w:r w:rsidRPr="00764B45">
              <w:rPr>
                <w:color w:val="000000" w:themeColor="text1"/>
              </w:rPr>
              <w:t>fréquence du</w:t>
            </w:r>
            <w:r w:rsidR="00424136" w:rsidRPr="00764B45">
              <w:rPr>
                <w:color w:val="000000" w:themeColor="text1"/>
              </w:rPr>
              <w:t xml:space="preserve"> réexamen et </w:t>
            </w:r>
            <w:r w:rsidR="009879DD" w:rsidRPr="00BF42C5">
              <w:rPr>
                <w:color w:val="000000" w:themeColor="text1"/>
              </w:rPr>
              <w:t>du</w:t>
            </w:r>
            <w:r w:rsidR="009879DD">
              <w:rPr>
                <w:color w:val="000000" w:themeColor="text1"/>
              </w:rPr>
              <w:t xml:space="preserve"> renouvellement</w:t>
            </w:r>
            <w:r>
              <w:rPr>
                <w:color w:val="000000" w:themeColor="text1"/>
              </w:rPr>
              <w:t xml:space="preserve"> de l'approbation</w:t>
            </w:r>
          </w:p>
          <w:p w14:paraId="060725F9" w14:textId="77777777" w:rsidR="00501862" w:rsidRPr="001139E7" w:rsidRDefault="00501862" w:rsidP="008362E0">
            <w:pPr>
              <w:pStyle w:val="Bullet"/>
              <w:numPr>
                <w:ilvl w:val="0"/>
                <w:numId w:val="13"/>
              </w:numPr>
              <w:spacing w:before="120" w:after="120"/>
              <w:ind w:left="227" w:hanging="227"/>
            </w:pPr>
            <w:proofErr w:type="gramStart"/>
            <w:r>
              <w:rPr>
                <w:color w:val="000000" w:themeColor="text1"/>
              </w:rPr>
              <w:t>de</w:t>
            </w:r>
            <w:proofErr w:type="gramEnd"/>
            <w:r>
              <w:rPr>
                <w:color w:val="000000" w:themeColor="text1"/>
              </w:rPr>
              <w:t xml:space="preserve"> définition, de maintenance, de mise à jour et d'approbation des modèles de prestations de services (y c. le ciblage, la gestion des relations, la commercialisation et la communication) pour chaque pays cible et pour tous les autres types de pays</w:t>
            </w:r>
          </w:p>
          <w:p w14:paraId="5B48753B" w14:textId="77777777" w:rsidR="00501862" w:rsidRDefault="00501862" w:rsidP="008362E0">
            <w:pPr>
              <w:pStyle w:val="Bullet"/>
              <w:numPr>
                <w:ilvl w:val="0"/>
                <w:numId w:val="13"/>
              </w:numPr>
              <w:spacing w:before="120" w:after="120"/>
              <w:ind w:left="227" w:hanging="227"/>
            </w:pPr>
            <w:proofErr w:type="gramStart"/>
            <w:r>
              <w:t>d'approbation</w:t>
            </w:r>
            <w:proofErr w:type="gramEnd"/>
            <w:r>
              <w:t xml:space="preserve">, de mise en œuvre et de contrôle du programme de formation basé sur les risques </w:t>
            </w:r>
          </w:p>
          <w:p w14:paraId="05C645FC" w14:textId="77777777" w:rsidR="00501862" w:rsidRDefault="00501862" w:rsidP="008362E0">
            <w:pPr>
              <w:pStyle w:val="Bullet"/>
              <w:numPr>
                <w:ilvl w:val="0"/>
                <w:numId w:val="13"/>
              </w:numPr>
              <w:spacing w:before="120" w:after="120"/>
              <w:ind w:left="227" w:hanging="227"/>
            </w:pPr>
            <w:proofErr w:type="gramStart"/>
            <w:r>
              <w:t>de</w:t>
            </w:r>
            <w:proofErr w:type="gramEnd"/>
            <w:r>
              <w:t xml:space="preserve"> contrôles, d'approbations et de documentation avant l'acceptation de nouveaux clients</w:t>
            </w:r>
          </w:p>
          <w:p w14:paraId="22777717" w14:textId="77777777" w:rsidR="00501862" w:rsidRPr="00FA1508" w:rsidRDefault="00501862" w:rsidP="008362E0">
            <w:pPr>
              <w:pStyle w:val="Bullet"/>
              <w:numPr>
                <w:ilvl w:val="0"/>
                <w:numId w:val="13"/>
              </w:numPr>
              <w:spacing w:before="120" w:after="120"/>
              <w:ind w:left="227" w:hanging="227"/>
            </w:pPr>
            <w:proofErr w:type="gramStart"/>
            <w:r>
              <w:rPr>
                <w:color w:val="000000" w:themeColor="text1"/>
              </w:rPr>
              <w:t>d'obligation</w:t>
            </w:r>
            <w:proofErr w:type="gramEnd"/>
            <w:r>
              <w:rPr>
                <w:color w:val="000000" w:themeColor="text1"/>
              </w:rPr>
              <w:t xml:space="preserve"> de diligence périodique et d'homologation (et de renouvellement de l'homologation) des gérants de fortune indépendants et des autres intermédiaires</w:t>
            </w:r>
          </w:p>
          <w:p w14:paraId="5C207D14" w14:textId="77777777" w:rsidR="00501862" w:rsidRPr="00FA1508" w:rsidRDefault="00501862" w:rsidP="008362E0">
            <w:pPr>
              <w:pStyle w:val="Bullet"/>
              <w:numPr>
                <w:ilvl w:val="0"/>
                <w:numId w:val="13"/>
              </w:numPr>
              <w:spacing w:before="120" w:after="120"/>
              <w:ind w:left="227" w:hanging="227"/>
            </w:pPr>
            <w:proofErr w:type="gramStart"/>
            <w:r>
              <w:rPr>
                <w:color w:val="000000" w:themeColor="text1"/>
              </w:rPr>
              <w:t>de</w:t>
            </w:r>
            <w:proofErr w:type="gramEnd"/>
            <w:r>
              <w:rPr>
                <w:color w:val="000000" w:themeColor="text1"/>
              </w:rPr>
              <w:t xml:space="preserve"> pouvoirs d'approbation pour les projets de déplacement dans des pays étrangers</w:t>
            </w:r>
          </w:p>
          <w:p w14:paraId="656B4C4B" w14:textId="5EE70407" w:rsidR="00501862" w:rsidRPr="00E23797" w:rsidRDefault="00501862" w:rsidP="008362E0">
            <w:pPr>
              <w:pStyle w:val="Bullet"/>
              <w:numPr>
                <w:ilvl w:val="0"/>
                <w:numId w:val="13"/>
              </w:numPr>
              <w:spacing w:before="120" w:after="120"/>
              <w:ind w:left="227" w:hanging="227"/>
            </w:pPr>
            <w:proofErr w:type="gramStart"/>
            <w:r>
              <w:rPr>
                <w:color w:val="000000" w:themeColor="text1"/>
              </w:rPr>
              <w:t>de</w:t>
            </w:r>
            <w:proofErr w:type="gramEnd"/>
            <w:r>
              <w:rPr>
                <w:color w:val="000000" w:themeColor="text1"/>
              </w:rPr>
              <w:t xml:space="preserve"> préparation en temps opportun de rapports relatifs aux déplacements et de l'approbation de ceux-ci</w:t>
            </w:r>
          </w:p>
          <w:p w14:paraId="605AC5E4" w14:textId="77777777" w:rsidR="00501862" w:rsidRPr="0003745F" w:rsidRDefault="00501862" w:rsidP="008362E0">
            <w:pPr>
              <w:pStyle w:val="Bullet"/>
              <w:numPr>
                <w:ilvl w:val="0"/>
                <w:numId w:val="13"/>
              </w:numPr>
              <w:spacing w:before="120" w:after="120"/>
              <w:ind w:left="227" w:hanging="227"/>
            </w:pPr>
            <w:proofErr w:type="gramStart"/>
            <w:r>
              <w:rPr>
                <w:color w:val="000000" w:themeColor="text1"/>
              </w:rPr>
              <w:lastRenderedPageBreak/>
              <w:t>d'obligations</w:t>
            </w:r>
            <w:proofErr w:type="gramEnd"/>
            <w:r>
              <w:rPr>
                <w:color w:val="000000" w:themeColor="text1"/>
              </w:rPr>
              <w:t xml:space="preserve"> de </w:t>
            </w:r>
            <w:proofErr w:type="spellStart"/>
            <w:r>
              <w:rPr>
                <w:i/>
                <w:color w:val="000000" w:themeColor="text1"/>
              </w:rPr>
              <w:t>reporting</w:t>
            </w:r>
            <w:proofErr w:type="spellEnd"/>
            <w:r>
              <w:rPr>
                <w:color w:val="000000" w:themeColor="text1"/>
              </w:rPr>
              <w:t xml:space="preserve"> ad-hoc internes en cas d'augmentation constatée de risques transfrontières</w:t>
            </w:r>
          </w:p>
          <w:p w14:paraId="1566A435" w14:textId="235EDE72" w:rsidR="00501862" w:rsidRDefault="00501862" w:rsidP="008362E0">
            <w:pPr>
              <w:pStyle w:val="Bullet"/>
              <w:numPr>
                <w:ilvl w:val="0"/>
                <w:numId w:val="13"/>
              </w:numPr>
              <w:spacing w:before="120" w:after="120"/>
              <w:ind w:left="227" w:hanging="227"/>
            </w:pPr>
            <w:r>
              <w:rPr>
                <w:color w:val="000000" w:themeColor="text1"/>
              </w:rPr>
              <w:t xml:space="preserve">d'obligations de </w:t>
            </w:r>
            <w:proofErr w:type="spellStart"/>
            <w:r>
              <w:rPr>
                <w:i/>
                <w:color w:val="000000" w:themeColor="text1"/>
              </w:rPr>
              <w:t>reporting</w:t>
            </w:r>
            <w:proofErr w:type="spellEnd"/>
            <w:r>
              <w:rPr>
                <w:color w:val="000000" w:themeColor="text1"/>
              </w:rPr>
              <w:t xml:space="preserve"> au cas où des personnes sont contactées par des autorités étrangères.</w:t>
            </w:r>
          </w:p>
        </w:tc>
        <w:tc>
          <w:tcPr>
            <w:tcW w:w="3827" w:type="dxa"/>
            <w:shd w:val="clear" w:color="auto" w:fill="auto"/>
          </w:tcPr>
          <w:p w14:paraId="1DB639B5" w14:textId="77777777" w:rsidR="00501862" w:rsidRPr="001D46BF" w:rsidRDefault="00501862" w:rsidP="008362E0">
            <w:pPr>
              <w:spacing w:before="120" w:after="120" w:line="240" w:lineRule="auto"/>
              <w:ind w:left="33"/>
              <w:rPr>
                <w:rFonts w:cs="Arial"/>
                <w:sz w:val="16"/>
                <w:szCs w:val="16"/>
              </w:rPr>
            </w:pPr>
          </w:p>
        </w:tc>
        <w:tc>
          <w:tcPr>
            <w:tcW w:w="3403" w:type="dxa"/>
            <w:shd w:val="clear" w:color="auto" w:fill="auto"/>
          </w:tcPr>
          <w:p w14:paraId="72D08DEC"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5E18747" w14:textId="77777777" w:rsidR="00501862" w:rsidRPr="00C04F0F" w:rsidRDefault="00501862" w:rsidP="008362E0">
            <w:pPr>
              <w:spacing w:before="120" w:after="120" w:line="240" w:lineRule="auto"/>
            </w:pPr>
          </w:p>
        </w:tc>
      </w:tr>
      <w:tr w:rsidR="00501862" w:rsidRPr="00AF6AA5" w14:paraId="04C97547" w14:textId="77777777" w:rsidTr="00902740">
        <w:tc>
          <w:tcPr>
            <w:tcW w:w="528" w:type="dxa"/>
            <w:vMerge/>
            <w:shd w:val="clear" w:color="auto" w:fill="auto"/>
          </w:tcPr>
          <w:p w14:paraId="05FC8BE8"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449007D7" w14:textId="77777777" w:rsidR="00501862" w:rsidRPr="001D46BF" w:rsidRDefault="00501862" w:rsidP="008362E0">
            <w:pPr>
              <w:spacing w:before="120" w:after="120" w:line="240" w:lineRule="auto"/>
              <w:rPr>
                <w:rFonts w:cs="Arial"/>
                <w:b/>
                <w:sz w:val="16"/>
                <w:szCs w:val="16"/>
              </w:rPr>
            </w:pPr>
          </w:p>
        </w:tc>
        <w:tc>
          <w:tcPr>
            <w:tcW w:w="3971" w:type="dxa"/>
            <w:shd w:val="clear" w:color="auto" w:fill="auto"/>
          </w:tcPr>
          <w:p w14:paraId="6489A4A9" w14:textId="044A27A0" w:rsidR="001139E7" w:rsidRPr="00084ED5" w:rsidRDefault="00501862" w:rsidP="008362E0">
            <w:pPr>
              <w:spacing w:before="120" w:after="120" w:line="240" w:lineRule="auto"/>
              <w:rPr>
                <w:sz w:val="16"/>
              </w:rPr>
            </w:pPr>
            <w:r>
              <w:rPr>
                <w:sz w:val="16"/>
              </w:rPr>
              <w:t>Examiner les procès-verbaux des séances du conseil d'administration afin de déterminer si la stratégie transfrontière, la propension et la tolérance au risque ont fait l'objet d'une discussion et ont été approuvées par le conseil d'administration.</w:t>
            </w:r>
          </w:p>
        </w:tc>
        <w:tc>
          <w:tcPr>
            <w:tcW w:w="3827" w:type="dxa"/>
            <w:shd w:val="clear" w:color="auto" w:fill="auto"/>
          </w:tcPr>
          <w:p w14:paraId="0F7ED445" w14:textId="77777777" w:rsidR="00501862" w:rsidRPr="001D46BF" w:rsidRDefault="00501862" w:rsidP="008362E0">
            <w:pPr>
              <w:spacing w:before="120" w:after="120" w:line="240" w:lineRule="auto"/>
              <w:ind w:left="33"/>
              <w:rPr>
                <w:rFonts w:cs="Arial"/>
                <w:sz w:val="16"/>
                <w:szCs w:val="16"/>
              </w:rPr>
            </w:pPr>
          </w:p>
        </w:tc>
        <w:tc>
          <w:tcPr>
            <w:tcW w:w="3403" w:type="dxa"/>
            <w:shd w:val="clear" w:color="auto" w:fill="auto"/>
          </w:tcPr>
          <w:p w14:paraId="0FA20BA0"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56A4A136" w14:textId="77777777" w:rsidR="00501862" w:rsidRPr="00C04F0F" w:rsidRDefault="00501862" w:rsidP="008362E0">
            <w:pPr>
              <w:spacing w:before="120" w:after="120" w:line="240" w:lineRule="auto"/>
            </w:pPr>
          </w:p>
        </w:tc>
      </w:tr>
      <w:tr w:rsidR="00501862" w:rsidRPr="00AF6AA5" w14:paraId="4640A891" w14:textId="77777777" w:rsidTr="00902740">
        <w:tc>
          <w:tcPr>
            <w:tcW w:w="528" w:type="dxa"/>
            <w:shd w:val="clear" w:color="auto" w:fill="auto"/>
          </w:tcPr>
          <w:p w14:paraId="70851DCB" w14:textId="77777777" w:rsidR="00501862" w:rsidRPr="00200356" w:rsidRDefault="00501862" w:rsidP="008362E0">
            <w:pPr>
              <w:spacing w:before="120" w:after="120" w:line="240" w:lineRule="auto"/>
              <w:rPr>
                <w:rFonts w:cs="Arial"/>
                <w:sz w:val="16"/>
                <w:szCs w:val="16"/>
              </w:rPr>
            </w:pPr>
          </w:p>
        </w:tc>
        <w:tc>
          <w:tcPr>
            <w:tcW w:w="1596" w:type="dxa"/>
            <w:shd w:val="clear" w:color="auto" w:fill="auto"/>
          </w:tcPr>
          <w:p w14:paraId="3DD4EBF5" w14:textId="63F91F84" w:rsidR="00501862" w:rsidRPr="003215B7" w:rsidRDefault="00E862A9" w:rsidP="008362E0">
            <w:pPr>
              <w:spacing w:before="120" w:after="120" w:line="240" w:lineRule="auto"/>
              <w:rPr>
                <w:rFonts w:cs="Arial"/>
                <w:b/>
                <w:sz w:val="16"/>
                <w:szCs w:val="16"/>
              </w:rPr>
            </w:pPr>
            <w:r>
              <w:rPr>
                <w:b/>
                <w:sz w:val="16"/>
              </w:rPr>
              <w:t>Analyse des pays / Guides relatifs aux pays (« </w:t>
            </w:r>
            <w:r>
              <w:rPr>
                <w:b/>
                <w:i/>
                <w:sz w:val="16"/>
              </w:rPr>
              <w:t xml:space="preserve">country </w:t>
            </w:r>
            <w:proofErr w:type="spellStart"/>
            <w:r>
              <w:rPr>
                <w:b/>
                <w:i/>
                <w:sz w:val="16"/>
              </w:rPr>
              <w:t>manuals</w:t>
            </w:r>
            <w:proofErr w:type="spellEnd"/>
            <w:r>
              <w:rPr>
                <w:b/>
                <w:sz w:val="16"/>
              </w:rPr>
              <w:t> »)</w:t>
            </w:r>
          </w:p>
        </w:tc>
        <w:tc>
          <w:tcPr>
            <w:tcW w:w="3971" w:type="dxa"/>
            <w:shd w:val="clear" w:color="auto" w:fill="auto"/>
          </w:tcPr>
          <w:p w14:paraId="2C6CEF8B" w14:textId="77777777" w:rsidR="00501862" w:rsidRPr="001D46BF" w:rsidRDefault="00501862" w:rsidP="008362E0">
            <w:pPr>
              <w:pStyle w:val="Bullet"/>
              <w:numPr>
                <w:ilvl w:val="0"/>
                <w:numId w:val="0"/>
              </w:numPr>
              <w:spacing w:before="120" w:after="120"/>
            </w:pPr>
            <w:r>
              <w:rPr>
                <w:i/>
              </w:rPr>
              <w:t xml:space="preserve">Evaluer l'adéquation des méthodes / processus d'identification, de mesure, de gestion et de surveillance des risques liés aux services transfrontières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6A2E83A8" w14:textId="77777777" w:rsidR="00501862" w:rsidRPr="001D46BF" w:rsidRDefault="00501862" w:rsidP="008362E0">
            <w:pPr>
              <w:spacing w:before="120" w:after="120" w:line="240" w:lineRule="auto"/>
              <w:rPr>
                <w:rFonts w:cs="Arial"/>
                <w:sz w:val="16"/>
                <w:szCs w:val="16"/>
              </w:rPr>
            </w:pPr>
          </w:p>
        </w:tc>
        <w:tc>
          <w:tcPr>
            <w:tcW w:w="3403" w:type="dxa"/>
            <w:shd w:val="clear" w:color="auto" w:fill="auto"/>
          </w:tcPr>
          <w:p w14:paraId="157DADE8" w14:textId="77777777" w:rsidR="00501862" w:rsidRPr="001D46BF" w:rsidRDefault="00501862" w:rsidP="008362E0">
            <w:pPr>
              <w:spacing w:before="120" w:after="120" w:line="240" w:lineRule="auto"/>
              <w:rPr>
                <w:rFonts w:cs="Arial"/>
                <w:sz w:val="16"/>
                <w:szCs w:val="16"/>
              </w:rPr>
            </w:pPr>
          </w:p>
        </w:tc>
        <w:tc>
          <w:tcPr>
            <w:tcW w:w="992" w:type="dxa"/>
          </w:tcPr>
          <w:p w14:paraId="11856A03" w14:textId="77777777" w:rsidR="00501862" w:rsidRPr="001D46BF" w:rsidRDefault="00501862" w:rsidP="008362E0">
            <w:pPr>
              <w:spacing w:before="120" w:after="120" w:line="240" w:lineRule="auto"/>
              <w:rPr>
                <w:rFonts w:cs="Arial"/>
                <w:sz w:val="16"/>
                <w:szCs w:val="16"/>
              </w:rPr>
            </w:pPr>
          </w:p>
        </w:tc>
      </w:tr>
      <w:tr w:rsidR="00501862" w:rsidRPr="00AF6AA5" w14:paraId="5A4BBB8D" w14:textId="77777777" w:rsidTr="00902740">
        <w:tc>
          <w:tcPr>
            <w:tcW w:w="528" w:type="dxa"/>
            <w:vMerge w:val="restart"/>
            <w:shd w:val="clear" w:color="auto" w:fill="auto"/>
          </w:tcPr>
          <w:p w14:paraId="398F9459" w14:textId="77777777" w:rsidR="00501862" w:rsidRPr="001D46BF" w:rsidRDefault="00501862" w:rsidP="008362E0">
            <w:pPr>
              <w:spacing w:before="120" w:after="120" w:line="240" w:lineRule="auto"/>
              <w:rPr>
                <w:rFonts w:cs="Arial"/>
                <w:sz w:val="16"/>
                <w:szCs w:val="16"/>
              </w:rPr>
            </w:pPr>
          </w:p>
        </w:tc>
        <w:tc>
          <w:tcPr>
            <w:tcW w:w="1596" w:type="dxa"/>
            <w:vMerge w:val="restart"/>
            <w:shd w:val="clear" w:color="auto" w:fill="auto"/>
          </w:tcPr>
          <w:p w14:paraId="543AF3B8" w14:textId="0300B3E4" w:rsidR="00501862" w:rsidRPr="001D46BF" w:rsidRDefault="00501862" w:rsidP="008362E0">
            <w:pPr>
              <w:spacing w:before="120" w:after="120" w:line="240" w:lineRule="auto"/>
              <w:rPr>
                <w:rFonts w:cs="Arial"/>
                <w:b/>
                <w:sz w:val="16"/>
                <w:szCs w:val="16"/>
              </w:rPr>
            </w:pPr>
          </w:p>
        </w:tc>
        <w:tc>
          <w:tcPr>
            <w:tcW w:w="3971" w:type="dxa"/>
            <w:shd w:val="clear" w:color="auto" w:fill="auto"/>
          </w:tcPr>
          <w:p w14:paraId="5DAEE30C" w14:textId="707ED14D" w:rsidR="00501862" w:rsidRPr="003203D5" w:rsidRDefault="00501862" w:rsidP="008362E0">
            <w:pPr>
              <w:pStyle w:val="Bullet"/>
              <w:numPr>
                <w:ilvl w:val="0"/>
                <w:numId w:val="0"/>
              </w:numPr>
              <w:spacing w:before="120" w:after="120"/>
            </w:pPr>
            <w:r>
              <w:t>Evaluer l'adéquation des pays cibles définis dans les règlements internes de l'établissement compte tenu des activités existantes de l'établissement</w:t>
            </w:r>
            <w:r w:rsidR="00E862A9">
              <w:t>, par ex. modèle de prestations transfrontière, type de client</w:t>
            </w:r>
            <w:r w:rsidR="005763DC">
              <w:t>s</w:t>
            </w:r>
            <w:r w:rsidR="00E862A9">
              <w:t>, produits, services ou intermédiaires</w:t>
            </w:r>
            <w:r>
              <w:t>.</w:t>
            </w:r>
          </w:p>
        </w:tc>
        <w:tc>
          <w:tcPr>
            <w:tcW w:w="3827" w:type="dxa"/>
            <w:shd w:val="clear" w:color="auto" w:fill="auto"/>
          </w:tcPr>
          <w:p w14:paraId="1949370D" w14:textId="77777777" w:rsidR="00501862" w:rsidRPr="003203D5" w:rsidRDefault="00501862" w:rsidP="008362E0">
            <w:pPr>
              <w:pStyle w:val="Bullet"/>
              <w:numPr>
                <w:ilvl w:val="0"/>
                <w:numId w:val="0"/>
              </w:numPr>
              <w:spacing w:before="120" w:after="120"/>
            </w:pPr>
          </w:p>
        </w:tc>
        <w:tc>
          <w:tcPr>
            <w:tcW w:w="3403" w:type="dxa"/>
            <w:shd w:val="clear" w:color="auto" w:fill="auto"/>
          </w:tcPr>
          <w:p w14:paraId="28D1B295" w14:textId="77777777" w:rsidR="00501862" w:rsidRPr="001D46BF" w:rsidRDefault="00501862" w:rsidP="008362E0">
            <w:pPr>
              <w:spacing w:before="120" w:after="120" w:line="240" w:lineRule="auto"/>
              <w:rPr>
                <w:rFonts w:cs="Arial"/>
                <w:sz w:val="16"/>
                <w:szCs w:val="16"/>
              </w:rPr>
            </w:pPr>
          </w:p>
        </w:tc>
        <w:tc>
          <w:tcPr>
            <w:tcW w:w="992" w:type="dxa"/>
          </w:tcPr>
          <w:p w14:paraId="0FBCD533" w14:textId="77777777" w:rsidR="00501862" w:rsidRPr="001D46BF" w:rsidRDefault="00501862" w:rsidP="008362E0">
            <w:pPr>
              <w:spacing w:before="120" w:after="120" w:line="240" w:lineRule="auto"/>
              <w:rPr>
                <w:rFonts w:cs="Arial"/>
                <w:sz w:val="16"/>
                <w:szCs w:val="16"/>
              </w:rPr>
            </w:pPr>
          </w:p>
        </w:tc>
      </w:tr>
      <w:tr w:rsidR="00501862" w:rsidRPr="00AF6AA5" w14:paraId="41D2A0E0" w14:textId="77777777" w:rsidTr="00902740">
        <w:tc>
          <w:tcPr>
            <w:tcW w:w="528" w:type="dxa"/>
            <w:vMerge/>
            <w:shd w:val="clear" w:color="auto" w:fill="auto"/>
          </w:tcPr>
          <w:p w14:paraId="2666E8A4"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54F79BF1" w14:textId="77777777" w:rsidR="00501862" w:rsidRPr="001D46BF" w:rsidRDefault="00501862" w:rsidP="008362E0">
            <w:pPr>
              <w:spacing w:before="120" w:after="120" w:line="240" w:lineRule="auto"/>
              <w:rPr>
                <w:rFonts w:cs="Arial"/>
                <w:b/>
                <w:sz w:val="16"/>
                <w:szCs w:val="16"/>
              </w:rPr>
            </w:pPr>
          </w:p>
        </w:tc>
        <w:tc>
          <w:tcPr>
            <w:tcW w:w="3971" w:type="dxa"/>
            <w:shd w:val="clear" w:color="auto" w:fill="auto"/>
          </w:tcPr>
          <w:p w14:paraId="3A264784" w14:textId="1E78D72E" w:rsidR="00501862" w:rsidRPr="003203D5" w:rsidRDefault="00501862" w:rsidP="008362E0">
            <w:pPr>
              <w:pStyle w:val="Bullet"/>
              <w:numPr>
                <w:ilvl w:val="0"/>
                <w:numId w:val="0"/>
              </w:numPr>
              <w:spacing w:before="120" w:after="120"/>
            </w:pPr>
            <w:r>
              <w:t>Evaluer si des analyses spécifiques aux pays ont été effectuées par des experts expérimentés et ayant une bonne connaissance des territoires concernés, pour tous les marchés cibles, compte tenu de tous les types de risques significatifs (risque juridique, risque lié au droit civil, risque réglementaire, etc.).</w:t>
            </w:r>
          </w:p>
        </w:tc>
        <w:tc>
          <w:tcPr>
            <w:tcW w:w="3827" w:type="dxa"/>
            <w:shd w:val="clear" w:color="auto" w:fill="auto"/>
          </w:tcPr>
          <w:p w14:paraId="69925A0F" w14:textId="0F2D6B50" w:rsidR="00501862" w:rsidRPr="003203D5" w:rsidRDefault="00501862" w:rsidP="008362E0">
            <w:pPr>
              <w:pStyle w:val="Bullet"/>
              <w:numPr>
                <w:ilvl w:val="0"/>
                <w:numId w:val="0"/>
              </w:numPr>
              <w:spacing w:before="120" w:after="120"/>
            </w:pPr>
            <w:r>
              <w:t>Sélectionner un échantillon de guides relatifs aux pays et tester si la stratégie de haut niveau de l'établissement et les modèles de prestations de services ont été définis de manière cohérente et en accord avec les résultats des analyses de risques spécifiques aux pays.</w:t>
            </w:r>
          </w:p>
        </w:tc>
        <w:tc>
          <w:tcPr>
            <w:tcW w:w="3403" w:type="dxa"/>
            <w:shd w:val="clear" w:color="auto" w:fill="auto"/>
          </w:tcPr>
          <w:p w14:paraId="2E95D9C0" w14:textId="77777777" w:rsidR="00501862" w:rsidRPr="001D46BF" w:rsidRDefault="00501862" w:rsidP="008362E0">
            <w:pPr>
              <w:spacing w:before="120" w:after="120" w:line="240" w:lineRule="auto"/>
              <w:rPr>
                <w:rFonts w:cs="Arial"/>
                <w:sz w:val="16"/>
                <w:szCs w:val="16"/>
              </w:rPr>
            </w:pPr>
          </w:p>
        </w:tc>
        <w:tc>
          <w:tcPr>
            <w:tcW w:w="992" w:type="dxa"/>
          </w:tcPr>
          <w:p w14:paraId="45CF6E98" w14:textId="77777777" w:rsidR="00501862" w:rsidRPr="001D46BF" w:rsidRDefault="00501862" w:rsidP="008362E0">
            <w:pPr>
              <w:spacing w:before="120" w:after="120" w:line="240" w:lineRule="auto"/>
              <w:rPr>
                <w:rFonts w:cs="Arial"/>
                <w:sz w:val="16"/>
                <w:szCs w:val="16"/>
              </w:rPr>
            </w:pPr>
          </w:p>
        </w:tc>
      </w:tr>
      <w:tr w:rsidR="00501862" w:rsidRPr="00AF6AA5" w14:paraId="17A5FFD8" w14:textId="77777777" w:rsidTr="00902740">
        <w:tc>
          <w:tcPr>
            <w:tcW w:w="528" w:type="dxa"/>
            <w:shd w:val="clear" w:color="auto" w:fill="auto"/>
          </w:tcPr>
          <w:p w14:paraId="48727B2E"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6AEC6A53" w14:textId="77777777" w:rsidR="00501862" w:rsidRPr="001D46BF" w:rsidRDefault="00501862" w:rsidP="008362E0">
            <w:pPr>
              <w:spacing w:before="120" w:after="120" w:line="240" w:lineRule="auto"/>
              <w:rPr>
                <w:rFonts w:cs="Arial"/>
                <w:b/>
                <w:sz w:val="16"/>
                <w:szCs w:val="16"/>
              </w:rPr>
            </w:pPr>
            <w:r>
              <w:rPr>
                <w:b/>
                <w:sz w:val="16"/>
              </w:rPr>
              <w:t>Organisation</w:t>
            </w:r>
          </w:p>
        </w:tc>
        <w:tc>
          <w:tcPr>
            <w:tcW w:w="3971" w:type="dxa"/>
            <w:shd w:val="clear" w:color="auto" w:fill="auto"/>
          </w:tcPr>
          <w:p w14:paraId="0AB7F176" w14:textId="02FC2649" w:rsidR="00501862" w:rsidRPr="00787399" w:rsidRDefault="00501862" w:rsidP="008362E0">
            <w:pPr>
              <w:pStyle w:val="Bullet"/>
              <w:numPr>
                <w:ilvl w:val="0"/>
                <w:numId w:val="0"/>
              </w:numPr>
              <w:spacing w:before="120" w:after="120"/>
              <w:rPr>
                <w:color w:val="000000" w:themeColor="text1"/>
              </w:rPr>
            </w:pPr>
            <w:r w:rsidRPr="00787399">
              <w:t xml:space="preserve">Evaluer l'adéquation du modèle de l'organisation pour les activités transfrontières (par ex. services spécialisés par pays / groupe de pays similaires, unité spécialisée pour les intermédiaires, modèle d'organisation pour des pays non cibles, séparation des fonctions, pureté du marché </w:t>
            </w:r>
            <w:r w:rsidR="00A44519" w:rsidRPr="00787399">
              <w:t>(</w:t>
            </w:r>
            <w:r w:rsidRPr="00787399">
              <w:t xml:space="preserve">nombre maximal </w:t>
            </w:r>
            <w:r w:rsidRPr="00787399">
              <w:lastRenderedPageBreak/>
              <w:t>de pays cibles qu'un conseiller clientèle peut acquérir et depuis lesquels il peut offrir des services à des clients) et l'aide apportée par des experts internes ou indépendants.</w:t>
            </w:r>
          </w:p>
        </w:tc>
        <w:tc>
          <w:tcPr>
            <w:tcW w:w="3827" w:type="dxa"/>
            <w:shd w:val="clear" w:color="auto" w:fill="auto"/>
          </w:tcPr>
          <w:p w14:paraId="4DB6E05B" w14:textId="77777777" w:rsidR="00501862" w:rsidRPr="0070585F" w:rsidRDefault="00501862" w:rsidP="008362E0">
            <w:pPr>
              <w:autoSpaceDE w:val="0"/>
              <w:autoSpaceDN w:val="0"/>
              <w:adjustRightInd w:val="0"/>
              <w:spacing w:before="120" w:after="120" w:line="240" w:lineRule="auto"/>
              <w:jc w:val="both"/>
            </w:pPr>
          </w:p>
        </w:tc>
        <w:tc>
          <w:tcPr>
            <w:tcW w:w="3403" w:type="dxa"/>
            <w:shd w:val="clear" w:color="auto" w:fill="auto"/>
          </w:tcPr>
          <w:p w14:paraId="7BC9EE81" w14:textId="77777777" w:rsidR="00501862" w:rsidRPr="001D46BF" w:rsidRDefault="00501862" w:rsidP="008362E0">
            <w:pPr>
              <w:spacing w:before="120" w:after="120" w:line="240" w:lineRule="auto"/>
              <w:rPr>
                <w:rFonts w:cs="Arial"/>
                <w:sz w:val="16"/>
                <w:szCs w:val="16"/>
              </w:rPr>
            </w:pPr>
          </w:p>
        </w:tc>
        <w:tc>
          <w:tcPr>
            <w:tcW w:w="992" w:type="dxa"/>
          </w:tcPr>
          <w:p w14:paraId="0CCFB6D7" w14:textId="77777777" w:rsidR="00501862" w:rsidRPr="001D46BF" w:rsidRDefault="00501862" w:rsidP="008362E0">
            <w:pPr>
              <w:spacing w:before="120" w:after="120" w:line="240" w:lineRule="auto"/>
              <w:rPr>
                <w:rFonts w:cs="Arial"/>
                <w:sz w:val="16"/>
                <w:szCs w:val="16"/>
              </w:rPr>
            </w:pPr>
          </w:p>
        </w:tc>
      </w:tr>
      <w:tr w:rsidR="00501862" w:rsidRPr="00AF6AA5" w14:paraId="3358753A" w14:textId="77777777" w:rsidTr="00902740">
        <w:trPr>
          <w:trHeight w:val="1273"/>
        </w:trPr>
        <w:tc>
          <w:tcPr>
            <w:tcW w:w="528" w:type="dxa"/>
            <w:shd w:val="clear" w:color="auto" w:fill="auto"/>
          </w:tcPr>
          <w:p w14:paraId="5654BB9D" w14:textId="77777777" w:rsidR="00501862" w:rsidRPr="00065FBB" w:rsidRDefault="00501862" w:rsidP="008362E0">
            <w:pPr>
              <w:spacing w:before="120" w:after="120" w:line="240" w:lineRule="auto"/>
              <w:rPr>
                <w:rFonts w:cs="Arial"/>
                <w:sz w:val="16"/>
                <w:szCs w:val="16"/>
              </w:rPr>
            </w:pPr>
          </w:p>
        </w:tc>
        <w:tc>
          <w:tcPr>
            <w:tcW w:w="1596" w:type="dxa"/>
            <w:shd w:val="clear" w:color="auto" w:fill="auto"/>
          </w:tcPr>
          <w:p w14:paraId="0BAE4E14" w14:textId="77777777" w:rsidR="00501862" w:rsidRDefault="00501862" w:rsidP="008362E0">
            <w:pPr>
              <w:spacing w:before="120" w:after="120" w:line="240" w:lineRule="auto"/>
              <w:rPr>
                <w:rFonts w:cs="Arial"/>
                <w:b/>
                <w:sz w:val="16"/>
                <w:szCs w:val="16"/>
              </w:rPr>
            </w:pPr>
            <w:r>
              <w:rPr>
                <w:b/>
                <w:sz w:val="16"/>
              </w:rPr>
              <w:t>Gérants de fortune et intermédiaires</w:t>
            </w:r>
          </w:p>
        </w:tc>
        <w:tc>
          <w:tcPr>
            <w:tcW w:w="3971" w:type="dxa"/>
            <w:shd w:val="clear" w:color="auto" w:fill="auto"/>
          </w:tcPr>
          <w:p w14:paraId="38F61927" w14:textId="77777777" w:rsidR="00501862" w:rsidRPr="0070585F" w:rsidRDefault="00501862" w:rsidP="008362E0">
            <w:pPr>
              <w:pStyle w:val="Bullet"/>
              <w:numPr>
                <w:ilvl w:val="0"/>
                <w:numId w:val="0"/>
              </w:numPr>
              <w:spacing w:before="120" w:after="120"/>
              <w:rPr>
                <w:color w:val="000000" w:themeColor="text1"/>
              </w:rPr>
            </w:pPr>
            <w:r w:rsidRPr="00787399">
              <w:t>Evaluer l'adéquation des lignes directrices, des processus et de la documentation tenue pour des gérants de fortune externes et autres intermédiaires, par exemple :</w:t>
            </w:r>
            <w:r w:rsidRPr="0070585F">
              <w:rPr>
                <w:color w:val="000000" w:themeColor="text1"/>
              </w:rPr>
              <w:t xml:space="preserve"> </w:t>
            </w:r>
          </w:p>
          <w:p w14:paraId="542FB65F" w14:textId="77777777" w:rsidR="00501862" w:rsidRPr="00787399" w:rsidRDefault="00501862" w:rsidP="008362E0">
            <w:pPr>
              <w:pStyle w:val="EGABox1"/>
              <w:numPr>
                <w:ilvl w:val="3"/>
                <w:numId w:val="16"/>
              </w:numPr>
              <w:spacing w:before="120" w:after="120" w:line="240" w:lineRule="auto"/>
              <w:ind w:left="227" w:hanging="227"/>
              <w:rPr>
                <w:rFonts w:ascii="Arial" w:hAnsi="Arial"/>
                <w:color w:val="000000"/>
                <w:sz w:val="16"/>
                <w:szCs w:val="16"/>
              </w:rPr>
            </w:pPr>
            <w:proofErr w:type="gramStart"/>
            <w:r w:rsidRPr="00787399">
              <w:rPr>
                <w:rFonts w:ascii="Arial" w:hAnsi="Arial"/>
                <w:color w:val="000000"/>
                <w:sz w:val="16"/>
              </w:rPr>
              <w:t>lignes</w:t>
            </w:r>
            <w:proofErr w:type="gramEnd"/>
            <w:r w:rsidRPr="00787399">
              <w:rPr>
                <w:rFonts w:ascii="Arial" w:hAnsi="Arial"/>
                <w:color w:val="000000"/>
                <w:sz w:val="16"/>
              </w:rPr>
              <w:t xml:space="preserve"> directrices pour la gestion des gérants de fortune externes</w:t>
            </w:r>
          </w:p>
          <w:p w14:paraId="4574461C" w14:textId="5B88C29C" w:rsidR="00501862" w:rsidRPr="00787399" w:rsidRDefault="00501862" w:rsidP="008362E0">
            <w:pPr>
              <w:pStyle w:val="EGABox1"/>
              <w:numPr>
                <w:ilvl w:val="3"/>
                <w:numId w:val="16"/>
              </w:numPr>
              <w:spacing w:before="120" w:after="120" w:line="240" w:lineRule="auto"/>
              <w:ind w:left="227" w:hanging="227"/>
              <w:rPr>
                <w:rFonts w:ascii="Arial" w:hAnsi="Arial"/>
                <w:color w:val="000000"/>
                <w:sz w:val="16"/>
                <w:szCs w:val="16"/>
              </w:rPr>
            </w:pPr>
            <w:proofErr w:type="gramStart"/>
            <w:r w:rsidRPr="00787399">
              <w:rPr>
                <w:rFonts w:ascii="Arial" w:hAnsi="Arial"/>
                <w:color w:val="000000"/>
                <w:sz w:val="16"/>
              </w:rPr>
              <w:t>processus</w:t>
            </w:r>
            <w:proofErr w:type="gramEnd"/>
            <w:r w:rsidRPr="00787399">
              <w:rPr>
                <w:rFonts w:ascii="Arial" w:hAnsi="Arial"/>
                <w:color w:val="000000"/>
                <w:sz w:val="16"/>
              </w:rPr>
              <w:t xml:space="preserve"> pour sélectionner, informer et contrôler les gérants de fortune externes en général et quant au respect de la stratégie / des règles transfrontières de l'établissement</w:t>
            </w:r>
          </w:p>
          <w:p w14:paraId="18B273B8" w14:textId="25236423" w:rsidR="00501862" w:rsidRPr="00787399" w:rsidRDefault="00501862" w:rsidP="008362E0">
            <w:pPr>
              <w:pStyle w:val="EGABox1"/>
              <w:numPr>
                <w:ilvl w:val="3"/>
                <w:numId w:val="16"/>
              </w:numPr>
              <w:spacing w:before="120" w:after="120" w:line="240" w:lineRule="auto"/>
              <w:ind w:left="227" w:hanging="227"/>
              <w:rPr>
                <w:rFonts w:ascii="Arial" w:hAnsi="Arial"/>
                <w:b/>
                <w:color w:val="000000"/>
                <w:sz w:val="16"/>
                <w:szCs w:val="16"/>
              </w:rPr>
            </w:pPr>
            <w:proofErr w:type="gramStart"/>
            <w:r w:rsidRPr="00787399">
              <w:rPr>
                <w:rFonts w:ascii="Arial" w:hAnsi="Arial"/>
                <w:color w:val="000000"/>
                <w:sz w:val="16"/>
              </w:rPr>
              <w:t>analyse</w:t>
            </w:r>
            <w:proofErr w:type="gramEnd"/>
            <w:r w:rsidRPr="00787399">
              <w:rPr>
                <w:rFonts w:ascii="Arial" w:hAnsi="Arial"/>
                <w:color w:val="000000"/>
                <w:sz w:val="16"/>
              </w:rPr>
              <w:t xml:space="preserve"> documentée des activités commerciales, des conditions financières, de la politique en matière de risques, de l'organisation et du statut réglementaire des intermédiaires</w:t>
            </w:r>
          </w:p>
          <w:p w14:paraId="662CD169" w14:textId="77777777" w:rsidR="00501862" w:rsidRPr="00787399" w:rsidRDefault="00501862" w:rsidP="008362E0">
            <w:pPr>
              <w:pStyle w:val="EGABox1"/>
              <w:numPr>
                <w:ilvl w:val="3"/>
                <w:numId w:val="16"/>
              </w:numPr>
              <w:spacing w:before="120" w:after="120" w:line="240" w:lineRule="auto"/>
              <w:ind w:left="227" w:hanging="227"/>
              <w:rPr>
                <w:rFonts w:ascii="Arial" w:hAnsi="Arial"/>
                <w:b/>
                <w:color w:val="000000"/>
                <w:sz w:val="16"/>
                <w:szCs w:val="16"/>
              </w:rPr>
            </w:pPr>
            <w:proofErr w:type="gramStart"/>
            <w:r w:rsidRPr="00787399">
              <w:rPr>
                <w:rFonts w:ascii="Arial" w:hAnsi="Arial"/>
                <w:color w:val="000000"/>
                <w:sz w:val="16"/>
              </w:rPr>
              <w:t>contrat</w:t>
            </w:r>
            <w:proofErr w:type="gramEnd"/>
            <w:r w:rsidRPr="00787399">
              <w:rPr>
                <w:rFonts w:ascii="Arial" w:hAnsi="Arial"/>
                <w:color w:val="000000"/>
                <w:sz w:val="16"/>
              </w:rPr>
              <w:t xml:space="preserve"> écrit avec les intermédiaires, y c. l'étendue des services et produits autorisés ou interdits par pays, les règles applicables et la rémunération</w:t>
            </w:r>
          </w:p>
          <w:p w14:paraId="606AA4A0" w14:textId="686652B3" w:rsidR="00501862" w:rsidRPr="00787399" w:rsidRDefault="00501862" w:rsidP="008362E0">
            <w:pPr>
              <w:pStyle w:val="EGABox1"/>
              <w:numPr>
                <w:ilvl w:val="3"/>
                <w:numId w:val="16"/>
              </w:numPr>
              <w:spacing w:before="120" w:after="120" w:line="240" w:lineRule="auto"/>
              <w:ind w:left="227" w:hanging="227"/>
              <w:rPr>
                <w:rFonts w:ascii="Arial" w:hAnsi="Arial"/>
                <w:b/>
                <w:color w:val="000000"/>
                <w:sz w:val="16"/>
                <w:szCs w:val="16"/>
              </w:rPr>
            </w:pPr>
          </w:p>
        </w:tc>
        <w:tc>
          <w:tcPr>
            <w:tcW w:w="3827" w:type="dxa"/>
            <w:shd w:val="clear" w:color="auto" w:fill="auto"/>
          </w:tcPr>
          <w:p w14:paraId="763A7526" w14:textId="62739C36" w:rsidR="00501862" w:rsidRPr="00787399" w:rsidRDefault="00501862" w:rsidP="008362E0">
            <w:pPr>
              <w:pStyle w:val="Bullet"/>
              <w:numPr>
                <w:ilvl w:val="0"/>
                <w:numId w:val="0"/>
              </w:numPr>
              <w:spacing w:before="120" w:after="120"/>
            </w:pPr>
            <w:r w:rsidRPr="00787399">
              <w:t>Vérifier l'acceptation, le renouvellement de l'acceptation et la surveillance de la collaboration avec les gérants de fortune indépendants et les autres intermédiaires (y c. les clients suivis par ceux-ci), sur la base d'un échantillon.</w:t>
            </w:r>
          </w:p>
          <w:p w14:paraId="3BAD29A4" w14:textId="0493AA2E" w:rsidR="00501862" w:rsidRPr="00787399" w:rsidRDefault="00501862" w:rsidP="008362E0">
            <w:pPr>
              <w:pStyle w:val="Bullet"/>
              <w:numPr>
                <w:ilvl w:val="0"/>
                <w:numId w:val="0"/>
              </w:numPr>
              <w:spacing w:before="120" w:after="120"/>
            </w:pPr>
            <w:r w:rsidRPr="00787399">
              <w:t>Tester un échantillon de relations client de gérants de fortune indépendants pour vérifier la conformité avec les lignes de conduite et les directives internes de l'établissement y c. le respect de la stratégie / des règles transfrontières de l'établissement.</w:t>
            </w:r>
          </w:p>
        </w:tc>
        <w:tc>
          <w:tcPr>
            <w:tcW w:w="3403" w:type="dxa"/>
            <w:shd w:val="clear" w:color="auto" w:fill="auto"/>
          </w:tcPr>
          <w:p w14:paraId="7D2355B6" w14:textId="77777777" w:rsidR="00501862" w:rsidRPr="001D46BF" w:rsidRDefault="00501862" w:rsidP="008362E0">
            <w:pPr>
              <w:spacing w:before="120" w:after="120" w:line="240" w:lineRule="auto"/>
              <w:rPr>
                <w:rFonts w:cs="Arial"/>
                <w:sz w:val="16"/>
                <w:szCs w:val="16"/>
              </w:rPr>
            </w:pPr>
          </w:p>
        </w:tc>
        <w:tc>
          <w:tcPr>
            <w:tcW w:w="992" w:type="dxa"/>
          </w:tcPr>
          <w:p w14:paraId="4F9C1EDA" w14:textId="77777777" w:rsidR="00501862" w:rsidRPr="001D46BF" w:rsidRDefault="00501862" w:rsidP="008362E0">
            <w:pPr>
              <w:spacing w:before="120" w:after="120" w:line="240" w:lineRule="auto"/>
              <w:rPr>
                <w:rFonts w:cs="Arial"/>
                <w:sz w:val="16"/>
                <w:szCs w:val="16"/>
              </w:rPr>
            </w:pPr>
          </w:p>
        </w:tc>
      </w:tr>
      <w:tr w:rsidR="00501862" w:rsidRPr="00AF6AA5" w14:paraId="2F0C99B0" w14:textId="77777777" w:rsidTr="00902740">
        <w:tc>
          <w:tcPr>
            <w:tcW w:w="528" w:type="dxa"/>
            <w:shd w:val="clear" w:color="auto" w:fill="auto"/>
          </w:tcPr>
          <w:p w14:paraId="6395F85A"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0B657D13" w14:textId="77777777" w:rsidR="00501862" w:rsidRPr="001D46BF" w:rsidRDefault="00501862" w:rsidP="008362E0">
            <w:pPr>
              <w:spacing w:before="120" w:after="120" w:line="240" w:lineRule="auto"/>
              <w:rPr>
                <w:rFonts w:cs="Arial"/>
                <w:b/>
                <w:sz w:val="16"/>
                <w:szCs w:val="16"/>
              </w:rPr>
            </w:pPr>
            <w:r>
              <w:rPr>
                <w:b/>
                <w:sz w:val="16"/>
              </w:rPr>
              <w:t xml:space="preserve">Surveillance </w:t>
            </w:r>
          </w:p>
        </w:tc>
        <w:tc>
          <w:tcPr>
            <w:tcW w:w="3971" w:type="dxa"/>
            <w:shd w:val="clear" w:color="auto" w:fill="auto"/>
          </w:tcPr>
          <w:p w14:paraId="4F7BF65A" w14:textId="4F589EFA" w:rsidR="00501862" w:rsidRPr="008D3549" w:rsidRDefault="00501862" w:rsidP="008362E0">
            <w:pPr>
              <w:pStyle w:val="Bullet"/>
              <w:numPr>
                <w:ilvl w:val="0"/>
                <w:numId w:val="0"/>
              </w:numPr>
              <w:spacing w:before="120" w:after="120"/>
            </w:pPr>
            <w:r>
              <w:t>Déterminer si des rapports de gestion périodiques adéquats sont remis à la direction opérationnelle et au conseil d'administration (risques majeurs, volumes de clients par marché, volume par intermédiaires, progrès accomplis par rapport aux plans stratégiques, tenue des guides relatifs aux pays, statistiques de formation, par ex.).</w:t>
            </w:r>
          </w:p>
        </w:tc>
        <w:tc>
          <w:tcPr>
            <w:tcW w:w="3827" w:type="dxa"/>
            <w:shd w:val="clear" w:color="auto" w:fill="auto"/>
          </w:tcPr>
          <w:p w14:paraId="61A6BA3A" w14:textId="77777777" w:rsidR="00501862" w:rsidRPr="001D46BF" w:rsidRDefault="00501862" w:rsidP="008362E0">
            <w:pPr>
              <w:pStyle w:val="Bullet"/>
              <w:numPr>
                <w:ilvl w:val="0"/>
                <w:numId w:val="0"/>
              </w:numPr>
              <w:spacing w:before="120" w:after="120"/>
            </w:pPr>
          </w:p>
        </w:tc>
        <w:tc>
          <w:tcPr>
            <w:tcW w:w="3403" w:type="dxa"/>
            <w:shd w:val="clear" w:color="auto" w:fill="auto"/>
          </w:tcPr>
          <w:p w14:paraId="5443339D" w14:textId="77777777" w:rsidR="00501862" w:rsidRPr="001D46BF" w:rsidRDefault="00501862" w:rsidP="008362E0">
            <w:pPr>
              <w:spacing w:before="120" w:after="120" w:line="240" w:lineRule="auto"/>
              <w:rPr>
                <w:rFonts w:cs="Arial"/>
                <w:sz w:val="16"/>
                <w:szCs w:val="16"/>
              </w:rPr>
            </w:pPr>
          </w:p>
        </w:tc>
        <w:tc>
          <w:tcPr>
            <w:tcW w:w="992" w:type="dxa"/>
          </w:tcPr>
          <w:p w14:paraId="311FE122" w14:textId="77777777" w:rsidR="00501862" w:rsidRPr="001D46BF" w:rsidRDefault="00501862" w:rsidP="008362E0">
            <w:pPr>
              <w:spacing w:before="120" w:after="120" w:line="240" w:lineRule="auto"/>
              <w:rPr>
                <w:rFonts w:cs="Arial"/>
                <w:sz w:val="16"/>
                <w:szCs w:val="16"/>
              </w:rPr>
            </w:pPr>
          </w:p>
        </w:tc>
      </w:tr>
      <w:tr w:rsidR="00501862" w:rsidRPr="00AF6AA5" w14:paraId="0F3F2347" w14:textId="77777777" w:rsidTr="00902740">
        <w:tc>
          <w:tcPr>
            <w:tcW w:w="528" w:type="dxa"/>
            <w:shd w:val="clear" w:color="auto" w:fill="auto"/>
          </w:tcPr>
          <w:p w14:paraId="1170C198"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2DBF90BA" w14:textId="77777777" w:rsidR="00501862" w:rsidRPr="00E21810" w:rsidRDefault="00501862" w:rsidP="008362E0">
            <w:pPr>
              <w:spacing w:before="120" w:after="120" w:line="240" w:lineRule="auto"/>
              <w:rPr>
                <w:rFonts w:cs="Arial"/>
                <w:b/>
                <w:sz w:val="16"/>
                <w:szCs w:val="16"/>
              </w:rPr>
            </w:pPr>
            <w:r>
              <w:rPr>
                <w:b/>
                <w:sz w:val="16"/>
              </w:rPr>
              <w:t>Formation</w:t>
            </w:r>
          </w:p>
        </w:tc>
        <w:tc>
          <w:tcPr>
            <w:tcW w:w="3971" w:type="dxa"/>
            <w:shd w:val="clear" w:color="auto" w:fill="auto"/>
          </w:tcPr>
          <w:p w14:paraId="56727808" w14:textId="77777777" w:rsidR="00084ED5" w:rsidRPr="0070585F" w:rsidRDefault="00501862" w:rsidP="00084ED5">
            <w:pPr>
              <w:pStyle w:val="Bullet"/>
              <w:numPr>
                <w:ilvl w:val="0"/>
                <w:numId w:val="0"/>
              </w:numPr>
              <w:spacing w:before="120" w:after="120"/>
            </w:pPr>
            <w:r w:rsidRPr="00787399">
              <w:t>Evaluer l'adéquation des procédures de formation transfrontières (étendue et portée, fréquence, formateurs, actualité, contrôles internes) pour le personnel concerné par les activités transfrontières de la banque.</w:t>
            </w:r>
          </w:p>
          <w:p w14:paraId="72EAFDDF" w14:textId="77777777" w:rsidR="00084ED5" w:rsidRPr="00787399" w:rsidRDefault="00084ED5" w:rsidP="00084ED5">
            <w:pPr>
              <w:pStyle w:val="Bullet"/>
              <w:numPr>
                <w:ilvl w:val="0"/>
                <w:numId w:val="0"/>
              </w:numPr>
              <w:spacing w:before="120" w:after="120"/>
            </w:pPr>
          </w:p>
          <w:p w14:paraId="166B1F39" w14:textId="387F8BC6" w:rsidR="00501862" w:rsidRPr="00787399" w:rsidRDefault="00501862" w:rsidP="00084ED5">
            <w:pPr>
              <w:pStyle w:val="Bullet"/>
              <w:numPr>
                <w:ilvl w:val="0"/>
                <w:numId w:val="0"/>
              </w:numPr>
              <w:spacing w:before="120" w:after="120"/>
            </w:pPr>
          </w:p>
        </w:tc>
        <w:tc>
          <w:tcPr>
            <w:tcW w:w="3827" w:type="dxa"/>
            <w:shd w:val="clear" w:color="auto" w:fill="auto"/>
          </w:tcPr>
          <w:p w14:paraId="7A5D4592" w14:textId="77777777" w:rsidR="00084ED5" w:rsidRPr="00787399" w:rsidRDefault="00501862" w:rsidP="008362E0">
            <w:pPr>
              <w:pStyle w:val="Bullet"/>
              <w:numPr>
                <w:ilvl w:val="0"/>
                <w:numId w:val="0"/>
              </w:numPr>
              <w:spacing w:before="120" w:after="120"/>
            </w:pPr>
            <w:r w:rsidRPr="00787399">
              <w:lastRenderedPageBreak/>
              <w:t>Tester sur un échantillon que le personnel a effectivement suivi les séances de formation définies comme obligatoires par l'établissement financier et a réussi les éventuels tests correspondants.</w:t>
            </w:r>
          </w:p>
          <w:p w14:paraId="0CCFF7A8" w14:textId="77777777" w:rsidR="00084ED5" w:rsidRPr="00787399" w:rsidRDefault="00084ED5" w:rsidP="008362E0">
            <w:pPr>
              <w:pStyle w:val="Bullet"/>
              <w:numPr>
                <w:ilvl w:val="0"/>
                <w:numId w:val="0"/>
              </w:numPr>
              <w:spacing w:before="120" w:after="120"/>
            </w:pPr>
          </w:p>
          <w:p w14:paraId="50C5BB28" w14:textId="010A2EAD" w:rsidR="00501862" w:rsidRPr="00787399" w:rsidRDefault="00501862" w:rsidP="008362E0">
            <w:pPr>
              <w:pStyle w:val="Bullet"/>
              <w:numPr>
                <w:ilvl w:val="0"/>
                <w:numId w:val="0"/>
              </w:numPr>
              <w:spacing w:before="120" w:after="120"/>
            </w:pPr>
          </w:p>
        </w:tc>
        <w:tc>
          <w:tcPr>
            <w:tcW w:w="3403" w:type="dxa"/>
            <w:shd w:val="clear" w:color="auto" w:fill="auto"/>
          </w:tcPr>
          <w:p w14:paraId="4CA9E02C" w14:textId="77777777" w:rsidR="00501862" w:rsidRPr="001D46BF" w:rsidRDefault="00501862" w:rsidP="008362E0">
            <w:pPr>
              <w:spacing w:before="120" w:after="120" w:line="240" w:lineRule="auto"/>
              <w:rPr>
                <w:rFonts w:cs="Arial"/>
                <w:sz w:val="16"/>
                <w:szCs w:val="16"/>
              </w:rPr>
            </w:pPr>
          </w:p>
        </w:tc>
        <w:tc>
          <w:tcPr>
            <w:tcW w:w="992" w:type="dxa"/>
          </w:tcPr>
          <w:p w14:paraId="2C09CE61" w14:textId="77777777" w:rsidR="00501862" w:rsidRPr="001D46BF" w:rsidRDefault="00501862" w:rsidP="008362E0">
            <w:pPr>
              <w:spacing w:before="120" w:after="120" w:line="240" w:lineRule="auto"/>
              <w:rPr>
                <w:rFonts w:cs="Arial"/>
                <w:sz w:val="16"/>
                <w:szCs w:val="16"/>
              </w:rPr>
            </w:pPr>
          </w:p>
        </w:tc>
      </w:tr>
      <w:tr w:rsidR="00501862" w:rsidRPr="00AF6AA5" w14:paraId="07EB7794" w14:textId="77777777" w:rsidTr="00902740">
        <w:tc>
          <w:tcPr>
            <w:tcW w:w="528" w:type="dxa"/>
            <w:vMerge w:val="restart"/>
            <w:shd w:val="clear" w:color="auto" w:fill="auto"/>
          </w:tcPr>
          <w:p w14:paraId="04390B93" w14:textId="77777777" w:rsidR="00501862" w:rsidRPr="001D46BF" w:rsidRDefault="00501862" w:rsidP="008362E0">
            <w:pPr>
              <w:spacing w:before="120" w:after="120" w:line="240" w:lineRule="auto"/>
              <w:rPr>
                <w:rFonts w:cs="Arial"/>
                <w:sz w:val="16"/>
                <w:szCs w:val="16"/>
              </w:rPr>
            </w:pPr>
          </w:p>
        </w:tc>
        <w:tc>
          <w:tcPr>
            <w:tcW w:w="1596" w:type="dxa"/>
            <w:vMerge w:val="restart"/>
            <w:shd w:val="clear" w:color="auto" w:fill="auto"/>
          </w:tcPr>
          <w:p w14:paraId="1B7DC366" w14:textId="7EAD6681" w:rsidR="00501862" w:rsidRPr="00E21810" w:rsidRDefault="00757485" w:rsidP="008362E0">
            <w:pPr>
              <w:spacing w:before="120" w:after="120" w:line="240" w:lineRule="auto"/>
              <w:rPr>
                <w:rFonts w:cs="Arial"/>
                <w:b/>
                <w:sz w:val="16"/>
                <w:szCs w:val="16"/>
              </w:rPr>
            </w:pPr>
            <w:r>
              <w:rPr>
                <w:b/>
                <w:sz w:val="16"/>
              </w:rPr>
              <w:t xml:space="preserve">Modèles </w:t>
            </w:r>
            <w:r w:rsidR="00501862">
              <w:rPr>
                <w:b/>
                <w:sz w:val="16"/>
              </w:rPr>
              <w:t xml:space="preserve">de </w:t>
            </w:r>
            <w:r w:rsidR="001139E7">
              <w:rPr>
                <w:b/>
                <w:sz w:val="16"/>
              </w:rPr>
              <w:br/>
            </w:r>
            <w:r w:rsidR="00501862">
              <w:rPr>
                <w:b/>
                <w:sz w:val="16"/>
              </w:rPr>
              <w:t>rémunération</w:t>
            </w:r>
            <w:r>
              <w:rPr>
                <w:b/>
                <w:sz w:val="16"/>
              </w:rPr>
              <w:t xml:space="preserve"> (</w:t>
            </w:r>
            <w:proofErr w:type="spellStart"/>
            <w:r w:rsidR="005763DC">
              <w:rPr>
                <w:b/>
                <w:sz w:val="16"/>
              </w:rPr>
              <w:t>Circ.-FINMA</w:t>
            </w:r>
            <w:proofErr w:type="spellEnd"/>
            <w:r w:rsidR="005763DC">
              <w:rPr>
                <w:b/>
                <w:sz w:val="16"/>
              </w:rPr>
              <w:t xml:space="preserve"> 08/21, </w:t>
            </w:r>
            <w:r>
              <w:rPr>
                <w:b/>
                <w:sz w:val="16"/>
              </w:rPr>
              <w:t>Cm 136.3)</w:t>
            </w:r>
          </w:p>
        </w:tc>
        <w:tc>
          <w:tcPr>
            <w:tcW w:w="3971" w:type="dxa"/>
            <w:shd w:val="clear" w:color="auto" w:fill="auto"/>
          </w:tcPr>
          <w:p w14:paraId="42BDCDFC" w14:textId="5D4263E4" w:rsidR="00437BEE" w:rsidRPr="0070585F" w:rsidRDefault="00501862" w:rsidP="008362E0">
            <w:pPr>
              <w:pStyle w:val="Bullet"/>
              <w:numPr>
                <w:ilvl w:val="0"/>
                <w:numId w:val="0"/>
              </w:numPr>
              <w:spacing w:before="120" w:after="120"/>
              <w:rPr>
                <w:i/>
              </w:rPr>
            </w:pPr>
            <w:r w:rsidRPr="00787399">
              <w:rPr>
                <w:i/>
              </w:rPr>
              <w:t xml:space="preserve">Evaluer l'adéquation </w:t>
            </w:r>
            <w:r w:rsidR="00757485">
              <w:rPr>
                <w:i/>
              </w:rPr>
              <w:t>des modèles</w:t>
            </w:r>
            <w:r w:rsidRPr="00787399">
              <w:rPr>
                <w:i/>
              </w:rPr>
              <w:t xml:space="preserve"> de rémunération relative aux incitations pour les conseillers à la clientèle et tout autre membre du personnel chargé de prospection et de fidélisation de la clientèle en lien avec les risques transfrontières, notamment</w:t>
            </w:r>
            <w:r w:rsidRPr="0070585F">
              <w:rPr>
                <w:i/>
              </w:rPr>
              <w:t> :</w:t>
            </w:r>
          </w:p>
        </w:tc>
        <w:tc>
          <w:tcPr>
            <w:tcW w:w="3827" w:type="dxa"/>
            <w:shd w:val="clear" w:color="auto" w:fill="auto"/>
          </w:tcPr>
          <w:p w14:paraId="069423A7" w14:textId="77777777" w:rsidR="00501862" w:rsidRPr="00787399" w:rsidRDefault="00501862" w:rsidP="008362E0">
            <w:pPr>
              <w:autoSpaceDE w:val="0"/>
              <w:autoSpaceDN w:val="0"/>
              <w:adjustRightInd w:val="0"/>
              <w:spacing w:before="120" w:after="120" w:line="240" w:lineRule="auto"/>
              <w:jc w:val="both"/>
            </w:pPr>
          </w:p>
        </w:tc>
        <w:tc>
          <w:tcPr>
            <w:tcW w:w="3403" w:type="dxa"/>
            <w:shd w:val="clear" w:color="auto" w:fill="auto"/>
          </w:tcPr>
          <w:p w14:paraId="7C286EBE" w14:textId="77777777" w:rsidR="00501862" w:rsidRPr="001D46BF" w:rsidRDefault="00501862" w:rsidP="008362E0">
            <w:pPr>
              <w:spacing w:before="120" w:after="120" w:line="240" w:lineRule="auto"/>
              <w:rPr>
                <w:rFonts w:cs="Arial"/>
                <w:sz w:val="16"/>
                <w:szCs w:val="16"/>
              </w:rPr>
            </w:pPr>
          </w:p>
        </w:tc>
        <w:tc>
          <w:tcPr>
            <w:tcW w:w="992" w:type="dxa"/>
          </w:tcPr>
          <w:p w14:paraId="362D6E41" w14:textId="77777777" w:rsidR="00501862" w:rsidRPr="001D46BF" w:rsidRDefault="00501862" w:rsidP="008362E0">
            <w:pPr>
              <w:spacing w:before="120" w:after="120" w:line="240" w:lineRule="auto"/>
              <w:rPr>
                <w:rFonts w:cs="Arial"/>
                <w:sz w:val="16"/>
                <w:szCs w:val="16"/>
              </w:rPr>
            </w:pPr>
          </w:p>
        </w:tc>
      </w:tr>
      <w:tr w:rsidR="00501862" w:rsidRPr="00AF6AA5" w14:paraId="5ECFDD16" w14:textId="77777777" w:rsidTr="00902740">
        <w:tc>
          <w:tcPr>
            <w:tcW w:w="528" w:type="dxa"/>
            <w:vMerge/>
            <w:shd w:val="clear" w:color="auto" w:fill="auto"/>
          </w:tcPr>
          <w:p w14:paraId="6F571293"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7A7078E0" w14:textId="77777777" w:rsidR="00501862" w:rsidRPr="00E21810" w:rsidRDefault="00501862" w:rsidP="008362E0">
            <w:pPr>
              <w:spacing w:before="120" w:after="120" w:line="240" w:lineRule="auto"/>
              <w:rPr>
                <w:rFonts w:cs="Arial"/>
                <w:b/>
                <w:sz w:val="16"/>
                <w:szCs w:val="16"/>
              </w:rPr>
            </w:pPr>
          </w:p>
        </w:tc>
        <w:tc>
          <w:tcPr>
            <w:tcW w:w="3971" w:type="dxa"/>
            <w:shd w:val="clear" w:color="auto" w:fill="auto"/>
          </w:tcPr>
          <w:p w14:paraId="47DA23BC" w14:textId="77777777" w:rsidR="00501862" w:rsidRPr="00787399" w:rsidRDefault="00501862" w:rsidP="00F17892">
            <w:pPr>
              <w:autoSpaceDE w:val="0"/>
              <w:autoSpaceDN w:val="0"/>
              <w:adjustRightInd w:val="0"/>
              <w:spacing w:before="120" w:after="120" w:line="240" w:lineRule="auto"/>
              <w:rPr>
                <w:rFonts w:cs="Arial"/>
                <w:sz w:val="16"/>
                <w:szCs w:val="16"/>
              </w:rPr>
            </w:pPr>
            <w:r w:rsidRPr="00787399">
              <w:rPr>
                <w:sz w:val="16"/>
              </w:rPr>
              <w:t>Evaluer au moyen d'enquêtes et d'analyses de documents pertinents l'adéquation :</w:t>
            </w:r>
          </w:p>
          <w:p w14:paraId="1699AE9A" w14:textId="0F881B1B" w:rsidR="00501862" w:rsidRPr="00787399" w:rsidRDefault="00757485" w:rsidP="001139E7">
            <w:pPr>
              <w:pStyle w:val="Listenabsatz"/>
              <w:numPr>
                <w:ilvl w:val="0"/>
                <w:numId w:val="18"/>
              </w:numPr>
              <w:autoSpaceDE w:val="0"/>
              <w:autoSpaceDN w:val="0"/>
              <w:adjustRightInd w:val="0"/>
              <w:spacing w:before="120" w:after="120" w:line="240" w:lineRule="auto"/>
              <w:ind w:left="346" w:hanging="346"/>
              <w:contextualSpacing w:val="0"/>
              <w:rPr>
                <w:rFonts w:cs="Arial"/>
                <w:sz w:val="16"/>
                <w:szCs w:val="16"/>
              </w:rPr>
            </w:pPr>
            <w:r>
              <w:rPr>
                <w:sz w:val="16"/>
              </w:rPr>
              <w:t>des modèles</w:t>
            </w:r>
            <w:r w:rsidR="00501862" w:rsidRPr="00787399">
              <w:rPr>
                <w:sz w:val="16"/>
              </w:rPr>
              <w:t xml:space="preserve"> de rémunération de l'établissement au regard des risques transfrontières,</w:t>
            </w:r>
            <w:r w:rsidR="001139E7" w:rsidRPr="00787399">
              <w:rPr>
                <w:sz w:val="16"/>
              </w:rPr>
              <w:br/>
            </w:r>
            <w:r w:rsidR="00501862" w:rsidRPr="00787399">
              <w:rPr>
                <w:sz w:val="16"/>
              </w:rPr>
              <w:t xml:space="preserve"> notamment de la </w:t>
            </w:r>
            <w:r>
              <w:rPr>
                <w:sz w:val="16"/>
              </w:rPr>
              <w:t>prévention</w:t>
            </w:r>
            <w:r w:rsidR="00501862" w:rsidRPr="00787399">
              <w:rPr>
                <w:sz w:val="16"/>
              </w:rPr>
              <w:t xml:space="preserve"> d'incitations</w:t>
            </w:r>
            <w:r>
              <w:rPr>
                <w:sz w:val="16"/>
              </w:rPr>
              <w:t xml:space="preserve"> abusives</w:t>
            </w:r>
            <w:r w:rsidR="00501862" w:rsidRPr="00787399">
              <w:rPr>
                <w:sz w:val="16"/>
              </w:rPr>
              <w:t xml:space="preserve"> à l'acquisition et à la fidélisation des clients, de sanctions pour violations et de promotion d'une bonne </w:t>
            </w:r>
            <w:r w:rsidR="00501862" w:rsidRPr="00787399">
              <w:rPr>
                <w:i/>
                <w:sz w:val="16"/>
              </w:rPr>
              <w:t>compliance</w:t>
            </w:r>
            <w:r w:rsidR="00501862" w:rsidRPr="00787399">
              <w:rPr>
                <w:sz w:val="16"/>
              </w:rPr>
              <w:t>, et évaluer si cette politique se conforme aux conditions-cadres générales de la politique de rémunération de l'établissement</w:t>
            </w:r>
          </w:p>
          <w:p w14:paraId="4FEDA591" w14:textId="4BB6500D" w:rsidR="00501862" w:rsidRPr="00787399" w:rsidRDefault="00501862" w:rsidP="00F17892">
            <w:pPr>
              <w:pStyle w:val="Listenabsatz"/>
              <w:numPr>
                <w:ilvl w:val="0"/>
                <w:numId w:val="18"/>
              </w:numPr>
              <w:autoSpaceDE w:val="0"/>
              <w:autoSpaceDN w:val="0"/>
              <w:adjustRightInd w:val="0"/>
              <w:spacing w:before="120" w:after="120" w:line="240" w:lineRule="auto"/>
              <w:ind w:left="346" w:hanging="346"/>
              <w:contextualSpacing w:val="0"/>
              <w:rPr>
                <w:rFonts w:cs="Arial"/>
                <w:sz w:val="16"/>
                <w:szCs w:val="16"/>
              </w:rPr>
            </w:pPr>
          </w:p>
        </w:tc>
        <w:tc>
          <w:tcPr>
            <w:tcW w:w="3827" w:type="dxa"/>
            <w:shd w:val="clear" w:color="auto" w:fill="auto"/>
          </w:tcPr>
          <w:p w14:paraId="66ED97AF" w14:textId="62B42A75" w:rsidR="00501862" w:rsidRPr="00F0172A" w:rsidRDefault="00501862" w:rsidP="00F0172A">
            <w:pPr>
              <w:autoSpaceDE w:val="0"/>
              <w:autoSpaceDN w:val="0"/>
              <w:adjustRightInd w:val="0"/>
              <w:spacing w:before="120" w:after="120" w:line="240" w:lineRule="auto"/>
              <w:rPr>
                <w:rFonts w:cs="Arial"/>
                <w:sz w:val="16"/>
                <w:szCs w:val="16"/>
              </w:rPr>
            </w:pPr>
            <w:r w:rsidRPr="00787399">
              <w:rPr>
                <w:sz w:val="16"/>
              </w:rPr>
              <w:t xml:space="preserve">Tester un échantillon et </w:t>
            </w:r>
            <w:r w:rsidR="00AD20F6" w:rsidRPr="00BF42C5">
              <w:rPr>
                <w:sz w:val="16"/>
              </w:rPr>
              <w:t xml:space="preserve">en </w:t>
            </w:r>
            <w:r w:rsidRPr="00787399">
              <w:rPr>
                <w:sz w:val="16"/>
              </w:rPr>
              <w:t xml:space="preserve">se </w:t>
            </w:r>
            <w:r w:rsidR="00AD20F6" w:rsidRPr="00787399">
              <w:rPr>
                <w:sz w:val="16"/>
              </w:rPr>
              <w:t>concentr</w:t>
            </w:r>
            <w:r w:rsidR="00AD20F6" w:rsidRPr="00BF42C5">
              <w:rPr>
                <w:sz w:val="16"/>
              </w:rPr>
              <w:t>ant</w:t>
            </w:r>
            <w:r w:rsidR="00AD20F6" w:rsidRPr="00787399">
              <w:rPr>
                <w:sz w:val="16"/>
              </w:rPr>
              <w:t xml:space="preserve"> </w:t>
            </w:r>
            <w:r w:rsidRPr="00787399">
              <w:rPr>
                <w:sz w:val="16"/>
              </w:rPr>
              <w:t xml:space="preserve">sur les aspects transfrontières </w:t>
            </w:r>
            <w:r w:rsidR="00F0172A">
              <w:rPr>
                <w:rFonts w:cs="Arial"/>
                <w:sz w:val="16"/>
                <w:szCs w:val="16"/>
              </w:rPr>
              <w:t>pour s</w:t>
            </w:r>
            <w:r w:rsidRPr="00F0172A">
              <w:rPr>
                <w:sz w:val="16"/>
              </w:rPr>
              <w:t xml:space="preserve">'assurer que </w:t>
            </w:r>
            <w:r w:rsidR="00757485">
              <w:rPr>
                <w:sz w:val="16"/>
              </w:rPr>
              <w:t>les modèles</w:t>
            </w:r>
            <w:r w:rsidRPr="00F0172A">
              <w:rPr>
                <w:sz w:val="16"/>
              </w:rPr>
              <w:t xml:space="preserve"> de rémunération </w:t>
            </w:r>
            <w:r w:rsidR="00757485">
              <w:rPr>
                <w:sz w:val="16"/>
              </w:rPr>
              <w:t>ont</w:t>
            </w:r>
            <w:r w:rsidRPr="00F0172A">
              <w:rPr>
                <w:sz w:val="16"/>
              </w:rPr>
              <w:t xml:space="preserve"> bien été appliqué</w:t>
            </w:r>
            <w:r w:rsidR="00757485">
              <w:rPr>
                <w:sz w:val="16"/>
              </w:rPr>
              <w:t>s</w:t>
            </w:r>
            <w:r w:rsidRPr="00F0172A">
              <w:rPr>
                <w:sz w:val="16"/>
              </w:rPr>
              <w:t xml:space="preserve"> et qu'aucun objectif </w:t>
            </w:r>
            <w:r w:rsidR="00AD20F6" w:rsidRPr="00F0172A">
              <w:rPr>
                <w:sz w:val="16"/>
              </w:rPr>
              <w:t xml:space="preserve">fixé </w:t>
            </w:r>
            <w:r w:rsidRPr="00F0172A">
              <w:rPr>
                <w:sz w:val="16"/>
              </w:rPr>
              <w:t xml:space="preserve">ne contredit les lignes directrices internes </w:t>
            </w:r>
            <w:r w:rsidR="00F17892" w:rsidRPr="00F0172A">
              <w:rPr>
                <w:sz w:val="16"/>
              </w:rPr>
              <w:br/>
            </w:r>
            <w:r w:rsidRPr="00F0172A">
              <w:rPr>
                <w:sz w:val="16"/>
              </w:rPr>
              <w:t xml:space="preserve">définies. </w:t>
            </w:r>
          </w:p>
        </w:tc>
        <w:tc>
          <w:tcPr>
            <w:tcW w:w="3403" w:type="dxa"/>
            <w:shd w:val="clear" w:color="auto" w:fill="auto"/>
          </w:tcPr>
          <w:p w14:paraId="43E10EA2" w14:textId="77777777" w:rsidR="00501862" w:rsidRPr="001D46BF" w:rsidRDefault="00501862" w:rsidP="008362E0">
            <w:pPr>
              <w:spacing w:before="120" w:after="120" w:line="240" w:lineRule="auto"/>
              <w:rPr>
                <w:rFonts w:cs="Arial"/>
                <w:sz w:val="16"/>
                <w:szCs w:val="16"/>
              </w:rPr>
            </w:pPr>
          </w:p>
        </w:tc>
        <w:tc>
          <w:tcPr>
            <w:tcW w:w="992" w:type="dxa"/>
          </w:tcPr>
          <w:p w14:paraId="2BFB3292" w14:textId="77777777" w:rsidR="00501862" w:rsidRPr="001D46BF" w:rsidRDefault="00501862" w:rsidP="008362E0">
            <w:pPr>
              <w:spacing w:before="120" w:after="120" w:line="240" w:lineRule="auto"/>
              <w:rPr>
                <w:rFonts w:cs="Arial"/>
                <w:sz w:val="16"/>
                <w:szCs w:val="16"/>
              </w:rPr>
            </w:pPr>
          </w:p>
        </w:tc>
      </w:tr>
      <w:tr w:rsidR="00501862" w:rsidRPr="00AF6AA5" w14:paraId="76477476" w14:textId="77777777" w:rsidTr="00902740">
        <w:tc>
          <w:tcPr>
            <w:tcW w:w="528" w:type="dxa"/>
            <w:vMerge w:val="restart"/>
            <w:shd w:val="clear" w:color="auto" w:fill="auto"/>
          </w:tcPr>
          <w:p w14:paraId="757EE6E7"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206D3304" w14:textId="34CDB6ED" w:rsidR="00501862" w:rsidRPr="004B65A1" w:rsidRDefault="00501862" w:rsidP="008362E0">
            <w:pPr>
              <w:spacing w:before="120" w:after="120" w:line="240" w:lineRule="auto"/>
              <w:rPr>
                <w:rFonts w:cs="Arial"/>
                <w:b/>
                <w:sz w:val="16"/>
                <w:szCs w:val="16"/>
              </w:rPr>
            </w:pPr>
            <w:r>
              <w:rPr>
                <w:b/>
                <w:sz w:val="16"/>
              </w:rPr>
              <w:t>Conformité avec la politique des risques</w:t>
            </w:r>
          </w:p>
        </w:tc>
        <w:tc>
          <w:tcPr>
            <w:tcW w:w="3971" w:type="dxa"/>
            <w:shd w:val="clear" w:color="auto" w:fill="auto"/>
          </w:tcPr>
          <w:p w14:paraId="184AE71D" w14:textId="2741BB26" w:rsidR="00501862" w:rsidRPr="00DB0DF5" w:rsidRDefault="00501862" w:rsidP="008362E0">
            <w:pPr>
              <w:pStyle w:val="Bullet"/>
              <w:numPr>
                <w:ilvl w:val="0"/>
                <w:numId w:val="0"/>
              </w:numPr>
              <w:spacing w:before="120" w:after="120"/>
            </w:pPr>
            <w:r>
              <w:rPr>
                <w:i/>
              </w:rPr>
              <w:t xml:space="preserve">Evaluer si la politique relative aux risques issus des services transfrontières </w:t>
            </w:r>
            <w:r w:rsidR="00757485">
              <w:rPr>
                <w:i/>
              </w:rPr>
              <w:t xml:space="preserve">a </w:t>
            </w:r>
            <w:r>
              <w:rPr>
                <w:i/>
              </w:rPr>
              <w:t>été effectivement appliquée et respectée, notamment :</w:t>
            </w:r>
          </w:p>
        </w:tc>
        <w:tc>
          <w:tcPr>
            <w:tcW w:w="3827" w:type="dxa"/>
            <w:shd w:val="clear" w:color="auto" w:fill="auto"/>
          </w:tcPr>
          <w:p w14:paraId="0C910207" w14:textId="7439909D" w:rsidR="00501862" w:rsidRPr="00DB0DF5" w:rsidRDefault="00501862" w:rsidP="008362E0">
            <w:pPr>
              <w:pStyle w:val="Bullet"/>
              <w:numPr>
                <w:ilvl w:val="0"/>
                <w:numId w:val="0"/>
              </w:numPr>
              <w:spacing w:before="120" w:after="120"/>
            </w:pPr>
            <w:r>
              <w:t>Déterminer si la sortie du marché pour les relations clients qui ne doivent pas être maintenues est réalisée en accord avec la stratégie, les lignes directrices et/ou directives de l'établissement.</w:t>
            </w:r>
          </w:p>
        </w:tc>
        <w:tc>
          <w:tcPr>
            <w:tcW w:w="3403" w:type="dxa"/>
            <w:shd w:val="clear" w:color="auto" w:fill="auto"/>
          </w:tcPr>
          <w:p w14:paraId="32078CC1" w14:textId="77777777" w:rsidR="00501862" w:rsidRPr="00DB0DF5" w:rsidRDefault="00501862" w:rsidP="008362E0">
            <w:pPr>
              <w:spacing w:before="120" w:after="120" w:line="240" w:lineRule="auto"/>
              <w:rPr>
                <w:rFonts w:cs="Arial"/>
                <w:sz w:val="16"/>
                <w:szCs w:val="16"/>
              </w:rPr>
            </w:pPr>
          </w:p>
        </w:tc>
        <w:tc>
          <w:tcPr>
            <w:tcW w:w="992" w:type="dxa"/>
            <w:shd w:val="clear" w:color="auto" w:fill="auto"/>
          </w:tcPr>
          <w:p w14:paraId="66AF8328" w14:textId="77777777" w:rsidR="00501862" w:rsidRPr="00C04F0F" w:rsidRDefault="00501862" w:rsidP="008362E0">
            <w:pPr>
              <w:spacing w:before="120" w:after="120" w:line="240" w:lineRule="auto"/>
            </w:pPr>
          </w:p>
        </w:tc>
      </w:tr>
      <w:tr w:rsidR="00501862" w:rsidRPr="00AF6AA5" w14:paraId="403CD487" w14:textId="77777777" w:rsidTr="00902740">
        <w:tc>
          <w:tcPr>
            <w:tcW w:w="528" w:type="dxa"/>
            <w:vMerge/>
            <w:shd w:val="clear" w:color="auto" w:fill="auto"/>
          </w:tcPr>
          <w:p w14:paraId="2E4BD864" w14:textId="77777777" w:rsidR="00501862" w:rsidRPr="00DB0DF5" w:rsidRDefault="00501862" w:rsidP="008362E0">
            <w:pPr>
              <w:spacing w:before="120" w:after="120" w:line="240" w:lineRule="auto"/>
              <w:rPr>
                <w:rFonts w:cs="Arial"/>
                <w:sz w:val="16"/>
                <w:szCs w:val="16"/>
              </w:rPr>
            </w:pPr>
          </w:p>
        </w:tc>
        <w:tc>
          <w:tcPr>
            <w:tcW w:w="1596" w:type="dxa"/>
            <w:vMerge/>
            <w:shd w:val="clear" w:color="auto" w:fill="auto"/>
          </w:tcPr>
          <w:p w14:paraId="2EB9422E" w14:textId="77777777" w:rsidR="00501862" w:rsidRPr="00DB0DF5" w:rsidRDefault="00501862" w:rsidP="008362E0">
            <w:pPr>
              <w:spacing w:before="120" w:after="120" w:line="240" w:lineRule="auto"/>
              <w:rPr>
                <w:rFonts w:cs="Arial"/>
                <w:b/>
                <w:sz w:val="16"/>
                <w:szCs w:val="16"/>
              </w:rPr>
            </w:pPr>
          </w:p>
        </w:tc>
        <w:tc>
          <w:tcPr>
            <w:tcW w:w="3971" w:type="dxa"/>
            <w:shd w:val="clear" w:color="auto" w:fill="auto"/>
          </w:tcPr>
          <w:p w14:paraId="142CADFD" w14:textId="2C3E5958" w:rsidR="00501862" w:rsidRPr="003203D5" w:rsidRDefault="00424136" w:rsidP="008362E0">
            <w:pPr>
              <w:pStyle w:val="Bullet"/>
              <w:numPr>
                <w:ilvl w:val="0"/>
                <w:numId w:val="0"/>
              </w:numPr>
              <w:spacing w:before="120" w:after="120"/>
            </w:pPr>
            <w:r>
              <w:t>Procéder à l'</w:t>
            </w:r>
            <w:r w:rsidR="00D30EB9">
              <w:t>i</w:t>
            </w:r>
            <w:r w:rsidR="00501862">
              <w:t>dentifi</w:t>
            </w:r>
            <w:r>
              <w:t>cation</w:t>
            </w:r>
            <w:r w:rsidR="00501862">
              <w:t xml:space="preserve"> et </w:t>
            </w:r>
            <w:r>
              <w:t>documentation d</w:t>
            </w:r>
            <w:r w:rsidR="00501862">
              <w:t xml:space="preserve">es contrôles internes relatifs à </w:t>
            </w:r>
          </w:p>
          <w:p w14:paraId="111B7D22" w14:textId="77777777" w:rsidR="00501862" w:rsidRPr="003203D5" w:rsidRDefault="00501862" w:rsidP="008362E0">
            <w:pPr>
              <w:pStyle w:val="Bullet"/>
              <w:numPr>
                <w:ilvl w:val="0"/>
                <w:numId w:val="15"/>
              </w:numPr>
              <w:spacing w:before="120" w:after="120"/>
              <w:ind w:left="227" w:hanging="227"/>
            </w:pPr>
            <w:proofErr w:type="gramStart"/>
            <w:r>
              <w:t>l'acceptation</w:t>
            </w:r>
            <w:proofErr w:type="gramEnd"/>
            <w:r>
              <w:t xml:space="preserve">, la gestion et le contrôle des clients </w:t>
            </w:r>
          </w:p>
          <w:p w14:paraId="669C39FF" w14:textId="3D418B19" w:rsidR="00501862" w:rsidRDefault="00501862" w:rsidP="008362E0">
            <w:pPr>
              <w:pStyle w:val="Bullet"/>
              <w:numPr>
                <w:ilvl w:val="0"/>
                <w:numId w:val="15"/>
              </w:numPr>
              <w:spacing w:before="120" w:after="120"/>
              <w:ind w:left="227" w:hanging="227"/>
            </w:pPr>
            <w:proofErr w:type="gramStart"/>
            <w:r>
              <w:t>le</w:t>
            </w:r>
            <w:proofErr w:type="gramEnd"/>
            <w:r>
              <w:t xml:space="preserve"> suivi de la conduite des gestionnaires de la relation client (en ce qui concerne les rapports relatifs aux déplacements, les fiches de contact basées sur la visite au point de vente, la formation, etc., par ex.)</w:t>
            </w:r>
          </w:p>
          <w:p w14:paraId="1269D1C4" w14:textId="3F6147F7" w:rsidR="00501862" w:rsidRPr="003203D5" w:rsidRDefault="00501862" w:rsidP="008362E0">
            <w:pPr>
              <w:pStyle w:val="Bullet"/>
              <w:numPr>
                <w:ilvl w:val="0"/>
                <w:numId w:val="15"/>
              </w:numPr>
              <w:spacing w:before="120" w:after="120"/>
              <w:ind w:left="227" w:hanging="227"/>
            </w:pPr>
            <w:proofErr w:type="gramStart"/>
            <w:r>
              <w:lastRenderedPageBreak/>
              <w:t>l'homologation</w:t>
            </w:r>
            <w:proofErr w:type="gramEnd"/>
            <w:r>
              <w:t xml:space="preserve"> et l'examen périodique des gérants de fortune indépendants et autres intermédiaires</w:t>
            </w:r>
            <w:r w:rsidR="000C04B5">
              <w:t xml:space="preserve"> </w:t>
            </w:r>
          </w:p>
          <w:p w14:paraId="00A115C9" w14:textId="4A3A0035" w:rsidR="00501862" w:rsidRPr="003203D5" w:rsidRDefault="00501862" w:rsidP="00AD20F6">
            <w:pPr>
              <w:pStyle w:val="Bullet"/>
              <w:numPr>
                <w:ilvl w:val="0"/>
                <w:numId w:val="0"/>
              </w:numPr>
              <w:spacing w:before="120" w:after="120"/>
            </w:pPr>
            <w:r w:rsidRPr="00787399">
              <w:t>et évaluer</w:t>
            </w:r>
            <w:r w:rsidR="00BE6BAB" w:rsidRPr="00787399">
              <w:t xml:space="preserve"> </w:t>
            </w:r>
            <w:r w:rsidR="00AD20F6" w:rsidRPr="00BF42C5">
              <w:t>l’adéquation</w:t>
            </w:r>
            <w:r w:rsidR="00BE6BAB" w:rsidRPr="00787399">
              <w:t xml:space="preserve"> de</w:t>
            </w:r>
            <w:r w:rsidRPr="00787399">
              <w:t xml:space="preserve"> leur efficacité conceptuelle / exhaustivité</w:t>
            </w:r>
            <w:r w:rsidR="00BE6BAB" w:rsidRPr="00787399">
              <w:t>, eu égard</w:t>
            </w:r>
            <w:r w:rsidR="00AD20F6" w:rsidRPr="00BF42C5">
              <w:t xml:space="preserve"> à </w:t>
            </w:r>
            <w:r w:rsidR="00BE6BAB" w:rsidRPr="00787399">
              <w:t>l'ampleur et à la complexité des activités tra</w:t>
            </w:r>
            <w:r w:rsidR="00764B45">
              <w:t>nsfrontières de l'établissement</w:t>
            </w:r>
            <w:r w:rsidR="00BE6BAB" w:rsidRPr="00787399">
              <w:t>.</w:t>
            </w:r>
          </w:p>
        </w:tc>
        <w:tc>
          <w:tcPr>
            <w:tcW w:w="3827" w:type="dxa"/>
            <w:shd w:val="clear" w:color="auto" w:fill="auto"/>
          </w:tcPr>
          <w:p w14:paraId="3ECD81BB" w14:textId="1FB555A2" w:rsidR="00501862" w:rsidRPr="003203D5" w:rsidRDefault="00757485" w:rsidP="008362E0">
            <w:pPr>
              <w:pStyle w:val="Bullet"/>
              <w:numPr>
                <w:ilvl w:val="0"/>
                <w:numId w:val="0"/>
              </w:numPr>
              <w:spacing w:before="120" w:after="120"/>
            </w:pPr>
            <w:r>
              <w:lastRenderedPageBreak/>
              <w:t>E</w:t>
            </w:r>
            <w:r w:rsidR="00501862">
              <w:t xml:space="preserve">ffectuer des tests de procédure afin de confirmer l'efficacité du fonctionnement des contrôles internes menés et effectuer un contrôle substantif relatif à </w:t>
            </w:r>
          </w:p>
          <w:p w14:paraId="6CF6C83C" w14:textId="2A7FAD06" w:rsidR="00501862" w:rsidRDefault="00501862" w:rsidP="008362E0">
            <w:pPr>
              <w:pStyle w:val="Bullet"/>
              <w:numPr>
                <w:ilvl w:val="0"/>
                <w:numId w:val="15"/>
              </w:numPr>
              <w:spacing w:before="120" w:after="120"/>
              <w:ind w:left="227" w:hanging="227"/>
            </w:pPr>
            <w:proofErr w:type="gramStart"/>
            <w:r>
              <w:t>l'acceptation</w:t>
            </w:r>
            <w:proofErr w:type="gramEnd"/>
            <w:r>
              <w:t>, la gestion et le contrôle des clients</w:t>
            </w:r>
          </w:p>
          <w:p w14:paraId="526CA147" w14:textId="77777777" w:rsidR="00501862" w:rsidRPr="003203D5" w:rsidRDefault="00501862" w:rsidP="008362E0">
            <w:pPr>
              <w:pStyle w:val="Bullet"/>
              <w:numPr>
                <w:ilvl w:val="0"/>
                <w:numId w:val="15"/>
              </w:numPr>
              <w:spacing w:before="120" w:after="120"/>
              <w:ind w:left="227" w:hanging="227"/>
            </w:pPr>
            <w:proofErr w:type="gramStart"/>
            <w:r>
              <w:t>le</w:t>
            </w:r>
            <w:proofErr w:type="gramEnd"/>
            <w:r>
              <w:t xml:space="preserve"> contrôle de la conduite des gestionnaires de la relation client (en ce qui concerne les rapports relatifs aux déplacements, les fiches de </w:t>
            </w:r>
            <w:r>
              <w:lastRenderedPageBreak/>
              <w:t>contact basées sur la visite au point de vente, la formation, etc., par ex.)</w:t>
            </w:r>
          </w:p>
          <w:p w14:paraId="2C7407D2" w14:textId="622366E4" w:rsidR="00501862" w:rsidRPr="003203D5" w:rsidRDefault="00501862" w:rsidP="008362E0">
            <w:pPr>
              <w:pStyle w:val="Bullet"/>
              <w:numPr>
                <w:ilvl w:val="0"/>
                <w:numId w:val="15"/>
              </w:numPr>
              <w:spacing w:before="120" w:after="120"/>
              <w:ind w:left="227" w:hanging="227"/>
            </w:pPr>
            <w:r>
              <w:t>l'acceptation et l'analyse périodique des gérants de fortune indépendants et autres intermédiaires</w:t>
            </w:r>
          </w:p>
        </w:tc>
        <w:tc>
          <w:tcPr>
            <w:tcW w:w="3403" w:type="dxa"/>
            <w:shd w:val="clear" w:color="auto" w:fill="auto"/>
          </w:tcPr>
          <w:p w14:paraId="7A5CD3C2" w14:textId="77777777" w:rsidR="00501862" w:rsidRPr="00DB0DF5" w:rsidRDefault="00501862" w:rsidP="008362E0">
            <w:pPr>
              <w:spacing w:before="120" w:after="120" w:line="240" w:lineRule="auto"/>
              <w:rPr>
                <w:rFonts w:cs="Arial"/>
                <w:sz w:val="16"/>
                <w:szCs w:val="16"/>
              </w:rPr>
            </w:pPr>
          </w:p>
        </w:tc>
        <w:tc>
          <w:tcPr>
            <w:tcW w:w="992" w:type="dxa"/>
            <w:shd w:val="clear" w:color="auto" w:fill="auto"/>
          </w:tcPr>
          <w:p w14:paraId="5634BCD3" w14:textId="77777777" w:rsidR="00501862" w:rsidRPr="00C04F0F" w:rsidRDefault="00501862" w:rsidP="008362E0">
            <w:pPr>
              <w:spacing w:before="120" w:after="120" w:line="240" w:lineRule="auto"/>
            </w:pPr>
          </w:p>
        </w:tc>
      </w:tr>
    </w:tbl>
    <w:p w14:paraId="617A5E67" w14:textId="77A2F962" w:rsidR="005763DC" w:rsidRDefault="005763DC" w:rsidP="008362E0">
      <w:pPr>
        <w:spacing w:before="120" w:after="120" w:line="240" w:lineRule="auto"/>
        <w:rPr>
          <w:rFonts w:cs="Arial"/>
          <w:b/>
        </w:rPr>
      </w:pPr>
      <w:r>
        <w:rPr>
          <w:rFonts w:cs="Arial"/>
          <w:b/>
        </w:rPr>
        <w:br w:type="page"/>
      </w:r>
    </w:p>
    <w:tbl>
      <w:tblPr>
        <w:tblpPr w:leftFromText="141" w:rightFromText="141" w:vertAnchor="text" w:tblpX="13745" w:tblpY="-18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
      </w:tblGrid>
      <w:tr w:rsidR="00501862" w:rsidRPr="00AF6AA5" w14:paraId="2E365467" w14:textId="77777777" w:rsidTr="001139E7">
        <w:trPr>
          <w:trHeight w:val="138"/>
        </w:trPr>
        <w:tc>
          <w:tcPr>
            <w:tcW w:w="288" w:type="dxa"/>
          </w:tcPr>
          <w:p w14:paraId="2E848D88" w14:textId="77777777" w:rsidR="00501862" w:rsidRDefault="00501862" w:rsidP="008362E0">
            <w:pPr>
              <w:spacing w:before="120" w:after="120" w:line="240" w:lineRule="auto"/>
              <w:rPr>
                <w:rFonts w:cs="Arial"/>
                <w:b/>
              </w:rPr>
            </w:pPr>
          </w:p>
        </w:tc>
      </w:tr>
    </w:tbl>
    <w:p w14:paraId="7550BD85" w14:textId="77777777" w:rsidR="00501862" w:rsidRPr="003E0A1B" w:rsidRDefault="00501862" w:rsidP="008362E0">
      <w:pPr>
        <w:spacing w:before="120" w:after="120" w:line="240" w:lineRule="auto"/>
        <w:rPr>
          <w:rFonts w:cs="Arial"/>
          <w:b/>
          <w:sz w:val="2"/>
          <w:szCs w:val="2"/>
        </w:rPr>
      </w:pPr>
      <w:r>
        <w:rPr>
          <w:b/>
        </w:rPr>
        <w:t xml:space="preserve">Programme de travail – </w:t>
      </w:r>
      <w:r>
        <w:rPr>
          <w:b/>
          <w:u w:val="single"/>
        </w:rPr>
        <w:t xml:space="preserve">Autres risques liés à des questions de </w:t>
      </w:r>
      <w:r>
        <w:rPr>
          <w:b/>
          <w:i/>
          <w:u w:val="single"/>
        </w:rPr>
        <w:t>compliance</w:t>
      </w:r>
      <w:r>
        <w:rPr>
          <w:b/>
          <w:u w:val="single"/>
        </w:rPr>
        <w:t xml:space="preserve"> </w:t>
      </w:r>
      <w:r>
        <w:rPr>
          <w:u w:val="single"/>
        </w:rPr>
        <w:t xml:space="preserve">– Violations graves de la </w:t>
      </w:r>
      <w:r>
        <w:rPr>
          <w:i/>
          <w:u w:val="single"/>
        </w:rPr>
        <w:t>compliance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501862" w:rsidRPr="00DB7CF3" w14:paraId="090C87F9" w14:textId="77777777" w:rsidTr="001139E7">
        <w:trPr>
          <w:tblHeader/>
        </w:trPr>
        <w:tc>
          <w:tcPr>
            <w:tcW w:w="531" w:type="dxa"/>
            <w:tcBorders>
              <w:bottom w:val="single" w:sz="4" w:space="0" w:color="auto"/>
            </w:tcBorders>
            <w:shd w:val="pct20" w:color="auto" w:fill="auto"/>
          </w:tcPr>
          <w:p w14:paraId="358389CF" w14:textId="77777777" w:rsidR="00501862" w:rsidRPr="00DB7CF3" w:rsidRDefault="00501862" w:rsidP="008362E0">
            <w:pPr>
              <w:spacing w:before="120" w:after="120" w:line="240" w:lineRule="auto"/>
              <w:rPr>
                <w:rFonts w:cs="Arial"/>
                <w:b/>
                <w:sz w:val="16"/>
                <w:szCs w:val="16"/>
              </w:rPr>
            </w:pPr>
            <w:r>
              <w:rPr>
                <w:b/>
                <w:sz w:val="16"/>
              </w:rPr>
              <w:t>N°</w:t>
            </w:r>
          </w:p>
        </w:tc>
        <w:tc>
          <w:tcPr>
            <w:tcW w:w="1596" w:type="dxa"/>
            <w:tcBorders>
              <w:bottom w:val="single" w:sz="4" w:space="0" w:color="auto"/>
            </w:tcBorders>
            <w:shd w:val="pct20" w:color="auto" w:fill="auto"/>
          </w:tcPr>
          <w:p w14:paraId="124A92A8" w14:textId="77777777" w:rsidR="00501862" w:rsidRPr="00DB7CF3" w:rsidRDefault="00501862" w:rsidP="008362E0">
            <w:pPr>
              <w:spacing w:before="120" w:after="12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51E9034F" w14:textId="0AA2DD81" w:rsidR="00501862" w:rsidRPr="00084ED5" w:rsidRDefault="00501862" w:rsidP="008362E0">
            <w:pPr>
              <w:spacing w:before="120" w:after="120" w:line="240" w:lineRule="auto"/>
              <w:rPr>
                <w:rFonts w:cs="Arial"/>
                <w:b/>
                <w:sz w:val="16"/>
                <w:szCs w:val="16"/>
              </w:rPr>
            </w:pPr>
            <w:r w:rsidRPr="00084ED5">
              <w:rPr>
                <w:b/>
                <w:sz w:val="16"/>
                <w:szCs w:val="16"/>
              </w:rPr>
              <w:t>Procédures pour l'étendue d'audit « revue critique » :</w:t>
            </w:r>
          </w:p>
        </w:tc>
        <w:tc>
          <w:tcPr>
            <w:tcW w:w="3827" w:type="dxa"/>
            <w:tcBorders>
              <w:bottom w:val="single" w:sz="4" w:space="0" w:color="auto"/>
            </w:tcBorders>
            <w:shd w:val="pct20" w:color="auto" w:fill="auto"/>
          </w:tcPr>
          <w:p w14:paraId="7330C417" w14:textId="25185370" w:rsidR="00501862" w:rsidRPr="00084ED5" w:rsidRDefault="00501862" w:rsidP="008362E0">
            <w:pPr>
              <w:spacing w:before="120" w:after="120" w:line="240" w:lineRule="auto"/>
              <w:rPr>
                <w:rFonts w:cs="Arial"/>
                <w:b/>
                <w:sz w:val="16"/>
                <w:szCs w:val="16"/>
              </w:rPr>
            </w:pPr>
            <w:r w:rsidRPr="00084ED5">
              <w:rPr>
                <w:b/>
                <w:sz w:val="16"/>
                <w:szCs w:val="16"/>
              </w:rPr>
              <w:t xml:space="preserve">Procédures </w:t>
            </w:r>
            <w:r w:rsidRPr="00084ED5">
              <w:rPr>
                <w:b/>
                <w:sz w:val="16"/>
                <w:szCs w:val="16"/>
                <w:u w:val="single"/>
              </w:rPr>
              <w:t>supplémentaires</w:t>
            </w:r>
            <w:r w:rsidRPr="00084ED5">
              <w:rPr>
                <w:b/>
                <w:sz w:val="16"/>
                <w:szCs w:val="16"/>
              </w:rPr>
              <w:t xml:space="preserve"> pour l'étendue d'audit « audit » :</w:t>
            </w:r>
          </w:p>
        </w:tc>
        <w:tc>
          <w:tcPr>
            <w:tcW w:w="3686" w:type="dxa"/>
            <w:tcBorders>
              <w:bottom w:val="single" w:sz="4" w:space="0" w:color="auto"/>
            </w:tcBorders>
            <w:shd w:val="pct20" w:color="auto" w:fill="auto"/>
          </w:tcPr>
          <w:p w14:paraId="30DF90C1" w14:textId="77777777" w:rsidR="00501862" w:rsidRPr="00DB7CF3" w:rsidRDefault="00501862" w:rsidP="008362E0">
            <w:pPr>
              <w:spacing w:before="120" w:after="12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0BC11342" w14:textId="77777777" w:rsidR="00501862" w:rsidRPr="00DB7CF3" w:rsidRDefault="00501862" w:rsidP="008362E0">
            <w:pPr>
              <w:spacing w:before="120" w:after="120" w:line="240" w:lineRule="auto"/>
              <w:rPr>
                <w:rFonts w:cs="Arial"/>
                <w:b/>
                <w:sz w:val="16"/>
                <w:szCs w:val="16"/>
              </w:rPr>
            </w:pPr>
            <w:r>
              <w:rPr>
                <w:b/>
                <w:sz w:val="16"/>
              </w:rPr>
              <w:t>Réf. doc. de travail</w:t>
            </w:r>
          </w:p>
        </w:tc>
      </w:tr>
      <w:tr w:rsidR="00501862" w:rsidRPr="00AF6AA5" w14:paraId="3CB30F57" w14:textId="77777777" w:rsidTr="001139E7">
        <w:tc>
          <w:tcPr>
            <w:tcW w:w="14317" w:type="dxa"/>
            <w:gridSpan w:val="6"/>
            <w:shd w:val="pct10" w:color="auto" w:fill="auto"/>
          </w:tcPr>
          <w:p w14:paraId="40C90963" w14:textId="52726813" w:rsidR="00501862" w:rsidRPr="001139E7" w:rsidRDefault="00501862" w:rsidP="008362E0">
            <w:pPr>
              <w:spacing w:before="120" w:after="120" w:line="240" w:lineRule="auto"/>
              <w:rPr>
                <w:rFonts w:cs="Arial"/>
                <w:i/>
                <w:sz w:val="16"/>
                <w:szCs w:val="16"/>
                <w:lang w:val="en-US"/>
              </w:rPr>
            </w:pPr>
            <w:r w:rsidRPr="001139E7">
              <w:rPr>
                <w:i/>
                <w:sz w:val="16"/>
                <w:lang w:val="en-US"/>
              </w:rPr>
              <w:t>Confirmation that methods / processes for identification, measurement, management and monitoring of other risks in connection with compliance issues were adequate and, in case of the audit depth “audit”, were applied effectively.</w:t>
            </w:r>
          </w:p>
          <w:p w14:paraId="7B7A0210" w14:textId="29FE923A" w:rsidR="00501862" w:rsidRPr="001139E7" w:rsidRDefault="00501862" w:rsidP="008362E0">
            <w:pPr>
              <w:spacing w:before="120" w:after="120" w:line="240" w:lineRule="auto"/>
              <w:rPr>
                <w:bCs/>
                <w:i/>
                <w:sz w:val="16"/>
                <w:szCs w:val="16"/>
                <w:lang w:val="de-CH"/>
              </w:rPr>
            </w:pPr>
            <w:r w:rsidRPr="001139E7">
              <w:rPr>
                <w:i/>
                <w:sz w:val="16"/>
                <w:lang w:val="de-CH"/>
              </w:rPr>
              <w:t>Bestätigung, dass die Methoden / Prozesse zur Identifikation, Messung, Bewirtschaftung und Überwachung von anderen Risiken im Zusammenhang mit Compliance-Fragen Risiken angemessen waren und im Falle der Prüftiefe „Prüfung“ effektiv angewendet wurden.</w:t>
            </w:r>
          </w:p>
          <w:p w14:paraId="12AE1D9F" w14:textId="6FA011E5" w:rsidR="00501862" w:rsidRPr="00D9081B" w:rsidRDefault="00501862" w:rsidP="008362E0">
            <w:pPr>
              <w:spacing w:before="120" w:after="120" w:line="240" w:lineRule="auto"/>
              <w:rPr>
                <w:bCs/>
                <w:i/>
                <w:sz w:val="16"/>
                <w:szCs w:val="16"/>
              </w:rPr>
            </w:pPr>
            <w:r>
              <w:rPr>
                <w:i/>
                <w:sz w:val="16"/>
              </w:rPr>
              <w:t xml:space="preserve">Confirmation que les méthodes / processus d'identification, de mesure, de gestion et de surveillance d'autres risques en lien avec les questions de </w:t>
            </w:r>
            <w:r>
              <w:rPr>
                <w:sz w:val="16"/>
              </w:rPr>
              <w:t>compliance</w:t>
            </w:r>
            <w:r>
              <w:rPr>
                <w:i/>
                <w:sz w:val="16"/>
              </w:rPr>
              <w:t xml:space="preserve"> étaient appropriés et en cas d'étendue d'audit « audit » ont été effectivement appliqués.</w:t>
            </w:r>
          </w:p>
        </w:tc>
      </w:tr>
      <w:tr w:rsidR="00501862" w:rsidRPr="00AF6AA5" w14:paraId="771F068B" w14:textId="77777777" w:rsidTr="001139E7">
        <w:tc>
          <w:tcPr>
            <w:tcW w:w="531" w:type="dxa"/>
            <w:vMerge w:val="restart"/>
            <w:shd w:val="clear" w:color="auto" w:fill="auto"/>
          </w:tcPr>
          <w:p w14:paraId="3C604762" w14:textId="77777777" w:rsidR="00501862" w:rsidRPr="00E72478" w:rsidRDefault="00501862" w:rsidP="008362E0">
            <w:pPr>
              <w:spacing w:before="120" w:after="120" w:line="240" w:lineRule="auto"/>
              <w:rPr>
                <w:rFonts w:cs="Arial"/>
                <w:sz w:val="16"/>
                <w:szCs w:val="16"/>
              </w:rPr>
            </w:pPr>
          </w:p>
        </w:tc>
        <w:tc>
          <w:tcPr>
            <w:tcW w:w="1596" w:type="dxa"/>
            <w:vMerge w:val="restart"/>
            <w:shd w:val="clear" w:color="auto" w:fill="auto"/>
          </w:tcPr>
          <w:p w14:paraId="549F5F14" w14:textId="77777777" w:rsidR="00501862" w:rsidRPr="00D43330" w:rsidRDefault="00501862" w:rsidP="008362E0">
            <w:pPr>
              <w:spacing w:before="120" w:after="120" w:line="240" w:lineRule="auto"/>
              <w:rPr>
                <w:rFonts w:cs="Arial"/>
                <w:b/>
                <w:sz w:val="16"/>
                <w:szCs w:val="16"/>
              </w:rPr>
            </w:pPr>
            <w:r>
              <w:rPr>
                <w:b/>
                <w:sz w:val="16"/>
              </w:rPr>
              <w:t>Méthodes / processus d'identification, de mesure, de gestion et de surveillance des risques</w:t>
            </w:r>
          </w:p>
        </w:tc>
        <w:tc>
          <w:tcPr>
            <w:tcW w:w="3685" w:type="dxa"/>
            <w:shd w:val="clear" w:color="auto" w:fill="auto"/>
          </w:tcPr>
          <w:p w14:paraId="010F725D" w14:textId="77777777" w:rsidR="00501862" w:rsidRPr="00601043" w:rsidRDefault="00501862" w:rsidP="008362E0">
            <w:pPr>
              <w:pStyle w:val="Bullet"/>
              <w:numPr>
                <w:ilvl w:val="0"/>
                <w:numId w:val="0"/>
              </w:numPr>
              <w:spacing w:before="120" w:after="120"/>
              <w:rPr>
                <w:i/>
              </w:rPr>
            </w:pPr>
            <w:r>
              <w:rPr>
                <w:i/>
              </w:rPr>
              <w:t xml:space="preserve">Evaluer l'adéquation des méthodes / processus d'identification, de mesure, de gestion et de surveillance des graves violations de la </w:t>
            </w:r>
            <w:r>
              <w:t>compliance</w:t>
            </w:r>
            <w:r>
              <w:rPr>
                <w:i/>
              </w:rPr>
              <w:t xml:space="preserve">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48A30312" w14:textId="77777777" w:rsidR="00501862" w:rsidRDefault="00501862" w:rsidP="008362E0">
            <w:pPr>
              <w:spacing w:before="120" w:after="120" w:line="240" w:lineRule="auto"/>
              <w:rPr>
                <w:rFonts w:cs="Arial"/>
                <w:sz w:val="16"/>
                <w:szCs w:val="16"/>
              </w:rPr>
            </w:pPr>
          </w:p>
        </w:tc>
        <w:tc>
          <w:tcPr>
            <w:tcW w:w="3686" w:type="dxa"/>
            <w:shd w:val="clear" w:color="auto" w:fill="auto"/>
          </w:tcPr>
          <w:p w14:paraId="30B9A69A"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5D3937D0" w14:textId="77777777" w:rsidR="00501862" w:rsidRPr="00051CD5" w:rsidRDefault="00501862" w:rsidP="008362E0">
            <w:pPr>
              <w:spacing w:before="120" w:after="120" w:line="240" w:lineRule="auto"/>
              <w:rPr>
                <w:rFonts w:cs="Arial"/>
                <w:sz w:val="16"/>
                <w:szCs w:val="16"/>
              </w:rPr>
            </w:pPr>
          </w:p>
        </w:tc>
      </w:tr>
      <w:tr w:rsidR="00501862" w:rsidRPr="00AF6AA5" w14:paraId="78A7EE41" w14:textId="77777777" w:rsidTr="001139E7">
        <w:tc>
          <w:tcPr>
            <w:tcW w:w="531" w:type="dxa"/>
            <w:vMerge/>
            <w:shd w:val="clear" w:color="auto" w:fill="auto"/>
          </w:tcPr>
          <w:p w14:paraId="7C4AF67B" w14:textId="77777777" w:rsidR="00501862" w:rsidRPr="00601043" w:rsidRDefault="00501862" w:rsidP="008362E0">
            <w:pPr>
              <w:spacing w:before="120" w:after="120" w:line="240" w:lineRule="auto"/>
              <w:rPr>
                <w:rFonts w:cs="Arial"/>
                <w:sz w:val="16"/>
                <w:szCs w:val="16"/>
              </w:rPr>
            </w:pPr>
          </w:p>
        </w:tc>
        <w:tc>
          <w:tcPr>
            <w:tcW w:w="1596" w:type="dxa"/>
            <w:vMerge/>
            <w:shd w:val="clear" w:color="auto" w:fill="auto"/>
          </w:tcPr>
          <w:p w14:paraId="62DED3C7" w14:textId="77777777" w:rsidR="00501862" w:rsidRPr="00E72478" w:rsidRDefault="00501862" w:rsidP="008362E0">
            <w:pPr>
              <w:spacing w:before="120" w:after="120" w:line="240" w:lineRule="auto"/>
              <w:rPr>
                <w:rFonts w:cs="Arial"/>
                <w:b/>
                <w:sz w:val="16"/>
                <w:szCs w:val="16"/>
              </w:rPr>
            </w:pPr>
          </w:p>
        </w:tc>
        <w:tc>
          <w:tcPr>
            <w:tcW w:w="3685" w:type="dxa"/>
            <w:shd w:val="clear" w:color="auto" w:fill="auto"/>
          </w:tcPr>
          <w:p w14:paraId="196F6651" w14:textId="741C2DFB" w:rsidR="00501862" w:rsidRPr="00CF0173" w:rsidRDefault="00757485" w:rsidP="008362E0">
            <w:pPr>
              <w:pStyle w:val="Bullet"/>
              <w:numPr>
                <w:ilvl w:val="0"/>
                <w:numId w:val="0"/>
              </w:numPr>
              <w:spacing w:before="120" w:after="120"/>
            </w:pPr>
            <w:bookmarkStart w:id="1" w:name="_GoBack"/>
            <w:r w:rsidRPr="006D2440">
              <w:rPr>
                <w:b/>
                <w:sz w:val="24"/>
                <w:szCs w:val="24"/>
              </w:rPr>
              <w:t>*</w:t>
            </w:r>
            <w:bookmarkEnd w:id="1"/>
            <w:r>
              <w:t xml:space="preserve"> </w:t>
            </w:r>
            <w:r w:rsidR="00501862">
              <w:t xml:space="preserve">Evaluer l'adéquation des procédures mises en œuvre par la fonction de </w:t>
            </w:r>
            <w:r w:rsidR="00501862">
              <w:rPr>
                <w:i/>
              </w:rPr>
              <w:t>compliance</w:t>
            </w:r>
            <w:r w:rsidR="00501862">
              <w:t xml:space="preserve"> pour </w:t>
            </w:r>
          </w:p>
          <w:p w14:paraId="61B4EFEA" w14:textId="77777777" w:rsidR="00501862" w:rsidRPr="00CF0173" w:rsidRDefault="00501862" w:rsidP="008362E0">
            <w:pPr>
              <w:pStyle w:val="Bullet"/>
              <w:numPr>
                <w:ilvl w:val="0"/>
                <w:numId w:val="17"/>
              </w:numPr>
              <w:spacing w:before="120" w:after="120"/>
              <w:ind w:left="170" w:hanging="170"/>
            </w:pPr>
            <w:proofErr w:type="gramStart"/>
            <w:r>
              <w:t>constater</w:t>
            </w:r>
            <w:proofErr w:type="gramEnd"/>
            <w:r>
              <w:t xml:space="preserve"> les violations graves de la </w:t>
            </w:r>
            <w:r>
              <w:rPr>
                <w:i/>
              </w:rPr>
              <w:t>compliance</w:t>
            </w:r>
            <w:r>
              <w:t xml:space="preserve"> eu égard aux lois et réglementations applicables</w:t>
            </w:r>
          </w:p>
          <w:p w14:paraId="7564D093" w14:textId="18500990" w:rsidR="00501862" w:rsidRPr="00CF0173" w:rsidRDefault="00501862" w:rsidP="008362E0">
            <w:pPr>
              <w:pStyle w:val="Bullet"/>
              <w:numPr>
                <w:ilvl w:val="0"/>
                <w:numId w:val="17"/>
              </w:numPr>
              <w:spacing w:before="120" w:after="120"/>
              <w:ind w:left="170" w:hanging="170"/>
            </w:pPr>
            <w:r>
              <w:t>recueillir, apprécier, documenter et évaluer les allégations et les soupçons.</w:t>
            </w:r>
          </w:p>
        </w:tc>
        <w:tc>
          <w:tcPr>
            <w:tcW w:w="3827" w:type="dxa"/>
            <w:shd w:val="clear" w:color="auto" w:fill="auto"/>
          </w:tcPr>
          <w:p w14:paraId="37A29F2C" w14:textId="77777777" w:rsidR="00501862" w:rsidRPr="00CF0173" w:rsidRDefault="00501862" w:rsidP="008362E0">
            <w:pPr>
              <w:spacing w:before="120" w:after="120" w:line="240" w:lineRule="auto"/>
              <w:rPr>
                <w:rFonts w:cs="Arial"/>
                <w:sz w:val="16"/>
                <w:szCs w:val="16"/>
              </w:rPr>
            </w:pPr>
          </w:p>
        </w:tc>
        <w:tc>
          <w:tcPr>
            <w:tcW w:w="3686" w:type="dxa"/>
            <w:shd w:val="clear" w:color="auto" w:fill="auto"/>
          </w:tcPr>
          <w:p w14:paraId="74C139EA"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33D7CB88" w14:textId="77777777" w:rsidR="00501862" w:rsidRPr="00051CD5" w:rsidRDefault="00501862" w:rsidP="008362E0">
            <w:pPr>
              <w:spacing w:before="120" w:after="120" w:line="240" w:lineRule="auto"/>
              <w:rPr>
                <w:rFonts w:cs="Arial"/>
                <w:sz w:val="16"/>
                <w:szCs w:val="16"/>
              </w:rPr>
            </w:pPr>
          </w:p>
        </w:tc>
      </w:tr>
      <w:tr w:rsidR="00501862" w:rsidRPr="00AF6AA5" w14:paraId="737197B0" w14:textId="77777777" w:rsidTr="001139E7">
        <w:tc>
          <w:tcPr>
            <w:tcW w:w="531" w:type="dxa"/>
            <w:vMerge/>
            <w:shd w:val="clear" w:color="auto" w:fill="auto"/>
          </w:tcPr>
          <w:p w14:paraId="5D6C2940" w14:textId="77777777" w:rsidR="00501862" w:rsidRPr="00071D3A" w:rsidRDefault="00501862" w:rsidP="008362E0">
            <w:pPr>
              <w:spacing w:before="120" w:after="120" w:line="240" w:lineRule="auto"/>
              <w:rPr>
                <w:rFonts w:cs="Arial"/>
                <w:sz w:val="16"/>
                <w:szCs w:val="16"/>
              </w:rPr>
            </w:pPr>
          </w:p>
        </w:tc>
        <w:tc>
          <w:tcPr>
            <w:tcW w:w="1596" w:type="dxa"/>
            <w:vMerge/>
            <w:shd w:val="clear" w:color="auto" w:fill="auto"/>
          </w:tcPr>
          <w:p w14:paraId="19775CFC" w14:textId="77777777" w:rsidR="00501862" w:rsidRPr="00D43330" w:rsidRDefault="00501862" w:rsidP="008362E0">
            <w:pPr>
              <w:spacing w:before="120" w:after="120" w:line="240" w:lineRule="auto"/>
              <w:rPr>
                <w:rFonts w:cs="Arial"/>
                <w:b/>
                <w:sz w:val="16"/>
                <w:szCs w:val="16"/>
              </w:rPr>
            </w:pPr>
          </w:p>
        </w:tc>
        <w:tc>
          <w:tcPr>
            <w:tcW w:w="3685" w:type="dxa"/>
            <w:tcBorders>
              <w:bottom w:val="single" w:sz="4" w:space="0" w:color="auto"/>
            </w:tcBorders>
            <w:shd w:val="clear" w:color="auto" w:fill="auto"/>
          </w:tcPr>
          <w:p w14:paraId="1336F622" w14:textId="6E6DE466" w:rsidR="00501862" w:rsidRDefault="00501862" w:rsidP="000C04B5">
            <w:pPr>
              <w:pStyle w:val="Bullet"/>
              <w:numPr>
                <w:ilvl w:val="0"/>
                <w:numId w:val="0"/>
              </w:numPr>
              <w:spacing w:before="120" w:after="120"/>
            </w:pPr>
            <w:r>
              <w:t xml:space="preserve">Evaluer l'adéquation des processus et contrôles liés au traitement des violations de la </w:t>
            </w:r>
            <w:r>
              <w:rPr>
                <w:i/>
              </w:rPr>
              <w:t>compliance</w:t>
            </w:r>
            <w:r>
              <w:t xml:space="preserve"> identifiées et évaluer la façon dont les étapes ultérieures sont définies ou engagées, y c. les procédures de remontée de l'information.</w:t>
            </w:r>
          </w:p>
        </w:tc>
        <w:tc>
          <w:tcPr>
            <w:tcW w:w="3827" w:type="dxa"/>
            <w:tcBorders>
              <w:bottom w:val="single" w:sz="4" w:space="0" w:color="auto"/>
            </w:tcBorders>
            <w:shd w:val="clear" w:color="auto" w:fill="auto"/>
          </w:tcPr>
          <w:p w14:paraId="3E8D2DE0" w14:textId="77777777" w:rsidR="00501862" w:rsidRPr="00071D3A" w:rsidRDefault="00501862" w:rsidP="008362E0">
            <w:pPr>
              <w:pStyle w:val="Bullet"/>
              <w:numPr>
                <w:ilvl w:val="0"/>
                <w:numId w:val="0"/>
              </w:numPr>
              <w:spacing w:before="120" w:after="120"/>
            </w:pPr>
          </w:p>
        </w:tc>
        <w:tc>
          <w:tcPr>
            <w:tcW w:w="3686" w:type="dxa"/>
            <w:tcBorders>
              <w:bottom w:val="single" w:sz="4" w:space="0" w:color="auto"/>
            </w:tcBorders>
            <w:shd w:val="clear" w:color="auto" w:fill="auto"/>
          </w:tcPr>
          <w:p w14:paraId="4925B4B4" w14:textId="77777777" w:rsidR="00501862" w:rsidRPr="00071D3A" w:rsidRDefault="00501862" w:rsidP="008362E0">
            <w:pPr>
              <w:spacing w:before="120" w:after="120" w:line="240" w:lineRule="auto"/>
              <w:rPr>
                <w:rFonts w:cs="Arial"/>
                <w:sz w:val="16"/>
                <w:szCs w:val="16"/>
              </w:rPr>
            </w:pPr>
          </w:p>
        </w:tc>
        <w:tc>
          <w:tcPr>
            <w:tcW w:w="992" w:type="dxa"/>
            <w:tcBorders>
              <w:bottom w:val="single" w:sz="4" w:space="0" w:color="auto"/>
            </w:tcBorders>
            <w:shd w:val="clear" w:color="auto" w:fill="auto"/>
          </w:tcPr>
          <w:p w14:paraId="46923E6C" w14:textId="77777777" w:rsidR="00501862" w:rsidRPr="00071D3A" w:rsidRDefault="00501862" w:rsidP="008362E0">
            <w:pPr>
              <w:spacing w:before="120" w:after="120" w:line="240" w:lineRule="auto"/>
              <w:rPr>
                <w:rFonts w:cs="Arial"/>
                <w:sz w:val="16"/>
                <w:szCs w:val="16"/>
              </w:rPr>
            </w:pPr>
          </w:p>
        </w:tc>
      </w:tr>
      <w:tr w:rsidR="00501862" w:rsidRPr="00AF6AA5" w14:paraId="7258B806" w14:textId="77777777" w:rsidTr="001139E7">
        <w:tc>
          <w:tcPr>
            <w:tcW w:w="531" w:type="dxa"/>
            <w:vMerge/>
            <w:shd w:val="clear" w:color="auto" w:fill="auto"/>
          </w:tcPr>
          <w:p w14:paraId="67D52EB3" w14:textId="77777777" w:rsidR="00501862" w:rsidRPr="00071D3A" w:rsidRDefault="00501862" w:rsidP="008362E0">
            <w:pPr>
              <w:spacing w:before="120" w:after="120" w:line="240" w:lineRule="auto"/>
              <w:rPr>
                <w:rFonts w:cs="Arial"/>
                <w:sz w:val="16"/>
                <w:szCs w:val="16"/>
              </w:rPr>
            </w:pPr>
          </w:p>
        </w:tc>
        <w:tc>
          <w:tcPr>
            <w:tcW w:w="1596" w:type="dxa"/>
            <w:vMerge/>
            <w:shd w:val="clear" w:color="auto" w:fill="auto"/>
          </w:tcPr>
          <w:p w14:paraId="786D7B4A" w14:textId="77777777" w:rsidR="00501862" w:rsidRPr="00D43330" w:rsidRDefault="00501862" w:rsidP="008362E0">
            <w:pPr>
              <w:spacing w:before="120" w:after="120" w:line="240" w:lineRule="auto"/>
              <w:rPr>
                <w:rFonts w:cs="Arial"/>
                <w:b/>
                <w:sz w:val="16"/>
                <w:szCs w:val="16"/>
              </w:rPr>
            </w:pPr>
          </w:p>
        </w:tc>
        <w:tc>
          <w:tcPr>
            <w:tcW w:w="3685" w:type="dxa"/>
            <w:tcBorders>
              <w:bottom w:val="single" w:sz="4" w:space="0" w:color="auto"/>
            </w:tcBorders>
            <w:shd w:val="clear" w:color="auto" w:fill="auto"/>
          </w:tcPr>
          <w:p w14:paraId="1B1FC62A" w14:textId="665A3D09" w:rsidR="00501862" w:rsidRDefault="00501862" w:rsidP="008362E0">
            <w:pPr>
              <w:pStyle w:val="Bullet"/>
              <w:numPr>
                <w:ilvl w:val="0"/>
                <w:numId w:val="0"/>
              </w:numPr>
              <w:spacing w:before="120" w:after="120"/>
            </w:pPr>
            <w:r>
              <w:t xml:space="preserve">Evaluer l'adéquation des procédures définies pour l'interaction entre le conseil d'administration, le comité d'audit et la Révision interne s'agissant des graves violations – suspectées ou avérées – de la </w:t>
            </w:r>
            <w:r>
              <w:rPr>
                <w:i/>
              </w:rPr>
              <w:t>compliance</w:t>
            </w:r>
            <w:r>
              <w:t xml:space="preserve"> et des mesures prises en conséquence.</w:t>
            </w:r>
          </w:p>
        </w:tc>
        <w:tc>
          <w:tcPr>
            <w:tcW w:w="3827" w:type="dxa"/>
            <w:tcBorders>
              <w:bottom w:val="single" w:sz="4" w:space="0" w:color="auto"/>
            </w:tcBorders>
            <w:shd w:val="clear" w:color="auto" w:fill="auto"/>
          </w:tcPr>
          <w:p w14:paraId="2D01EB89" w14:textId="77777777" w:rsidR="00501862" w:rsidRPr="00071D3A" w:rsidRDefault="00501862" w:rsidP="008362E0">
            <w:pPr>
              <w:pStyle w:val="Bullet"/>
              <w:numPr>
                <w:ilvl w:val="0"/>
                <w:numId w:val="0"/>
              </w:numPr>
              <w:spacing w:before="120" w:after="120"/>
            </w:pPr>
          </w:p>
        </w:tc>
        <w:tc>
          <w:tcPr>
            <w:tcW w:w="3686" w:type="dxa"/>
            <w:tcBorders>
              <w:bottom w:val="single" w:sz="4" w:space="0" w:color="auto"/>
            </w:tcBorders>
            <w:shd w:val="clear" w:color="auto" w:fill="auto"/>
          </w:tcPr>
          <w:p w14:paraId="3DB5BC0A" w14:textId="77777777" w:rsidR="00501862" w:rsidRPr="00071D3A" w:rsidRDefault="00501862" w:rsidP="008362E0">
            <w:pPr>
              <w:spacing w:before="120" w:after="120" w:line="240" w:lineRule="auto"/>
              <w:rPr>
                <w:rFonts w:cs="Arial"/>
                <w:sz w:val="16"/>
                <w:szCs w:val="16"/>
              </w:rPr>
            </w:pPr>
          </w:p>
        </w:tc>
        <w:tc>
          <w:tcPr>
            <w:tcW w:w="992" w:type="dxa"/>
            <w:tcBorders>
              <w:bottom w:val="single" w:sz="4" w:space="0" w:color="auto"/>
            </w:tcBorders>
            <w:shd w:val="clear" w:color="auto" w:fill="auto"/>
          </w:tcPr>
          <w:p w14:paraId="7FFB9A3B" w14:textId="77777777" w:rsidR="00501862" w:rsidRPr="00071D3A" w:rsidRDefault="00501862" w:rsidP="008362E0">
            <w:pPr>
              <w:spacing w:before="120" w:after="120" w:line="240" w:lineRule="auto"/>
              <w:rPr>
                <w:rFonts w:cs="Arial"/>
                <w:sz w:val="16"/>
                <w:szCs w:val="16"/>
              </w:rPr>
            </w:pPr>
          </w:p>
        </w:tc>
      </w:tr>
      <w:tr w:rsidR="00501862" w:rsidRPr="00AF6AA5" w14:paraId="6EF48AD4" w14:textId="77777777" w:rsidTr="001139E7">
        <w:tc>
          <w:tcPr>
            <w:tcW w:w="531" w:type="dxa"/>
            <w:vMerge w:val="restart"/>
            <w:shd w:val="clear" w:color="auto" w:fill="auto"/>
          </w:tcPr>
          <w:p w14:paraId="5098C247"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0F6200A0" w14:textId="0A408FFB" w:rsidR="00501862" w:rsidRPr="005A0C5D" w:rsidRDefault="00501862" w:rsidP="008362E0">
            <w:pPr>
              <w:spacing w:before="120" w:after="120" w:line="240" w:lineRule="auto"/>
              <w:rPr>
                <w:rFonts w:cs="Arial"/>
                <w:b/>
                <w:sz w:val="16"/>
                <w:szCs w:val="16"/>
              </w:rPr>
            </w:pPr>
            <w:r>
              <w:rPr>
                <w:b/>
                <w:sz w:val="16"/>
              </w:rPr>
              <w:t>Politique en matière de risques</w:t>
            </w:r>
          </w:p>
        </w:tc>
        <w:tc>
          <w:tcPr>
            <w:tcW w:w="3685" w:type="dxa"/>
            <w:shd w:val="clear" w:color="auto" w:fill="auto"/>
          </w:tcPr>
          <w:p w14:paraId="3DBEC401" w14:textId="2E26CB8B" w:rsidR="00501862" w:rsidRPr="00FB4707" w:rsidRDefault="00501862" w:rsidP="00787399">
            <w:pPr>
              <w:pStyle w:val="Bullet"/>
              <w:numPr>
                <w:ilvl w:val="0"/>
                <w:numId w:val="0"/>
              </w:numPr>
              <w:spacing w:before="120" w:after="120"/>
              <w:rPr>
                <w:i/>
              </w:rPr>
            </w:pPr>
            <w:r>
              <w:rPr>
                <w:i/>
              </w:rPr>
              <w:t>Evaluer si la politique des risques, les règlements internes, les directives, les manuels</w:t>
            </w:r>
            <w:r w:rsidR="00424136">
              <w:rPr>
                <w:i/>
              </w:rPr>
              <w:t xml:space="preserve"> </w:t>
            </w:r>
            <w:r>
              <w:rPr>
                <w:i/>
              </w:rPr>
              <w:t xml:space="preserve"> et les descriptions de poste définissent de manière adéquate les responsabilités, les </w:t>
            </w:r>
            <w:r w:rsidR="007715B7">
              <w:rPr>
                <w:i/>
              </w:rPr>
              <w:t xml:space="preserve">compétences </w:t>
            </w:r>
            <w:r>
              <w:rPr>
                <w:i/>
              </w:rPr>
              <w:t xml:space="preserve">d'approbation, les lignes de </w:t>
            </w:r>
            <w:proofErr w:type="spellStart"/>
            <w:r w:rsidRPr="00BF42C5">
              <w:rPr>
                <w:i/>
              </w:rPr>
              <w:t>reporting</w:t>
            </w:r>
            <w:proofErr w:type="spellEnd"/>
            <w:r>
              <w:rPr>
                <w:i/>
              </w:rPr>
              <w:t xml:space="preserve"> et de remontée de l'information ainsi que les sanctions pour les graves violations de la </w:t>
            </w:r>
            <w:r>
              <w:t>compliance</w:t>
            </w:r>
            <w:r>
              <w:rPr>
                <w:i/>
              </w:rPr>
              <w:t xml:space="preserve"> compte tenu de la taille de l'établissement, de la complexité de son activité et de son organisation ainsi que du risque de </w:t>
            </w:r>
            <w:r>
              <w:t>compliance</w:t>
            </w:r>
            <w:r>
              <w:rPr>
                <w:i/>
              </w:rPr>
              <w:t xml:space="preserve"> auquel il est exposé, notamment :</w:t>
            </w:r>
          </w:p>
        </w:tc>
        <w:tc>
          <w:tcPr>
            <w:tcW w:w="3827" w:type="dxa"/>
            <w:shd w:val="clear" w:color="auto" w:fill="auto"/>
          </w:tcPr>
          <w:p w14:paraId="5A7237F3" w14:textId="77777777" w:rsidR="00501862" w:rsidRPr="005A0C5D" w:rsidRDefault="00501862" w:rsidP="008362E0">
            <w:pPr>
              <w:pStyle w:val="Bullet"/>
              <w:numPr>
                <w:ilvl w:val="0"/>
                <w:numId w:val="0"/>
              </w:numPr>
              <w:spacing w:before="120" w:after="120"/>
            </w:pPr>
          </w:p>
        </w:tc>
        <w:tc>
          <w:tcPr>
            <w:tcW w:w="3686" w:type="dxa"/>
            <w:shd w:val="clear" w:color="auto" w:fill="auto"/>
          </w:tcPr>
          <w:p w14:paraId="6AD93A18"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2A969C3D" w14:textId="77777777" w:rsidR="00501862" w:rsidRPr="001B731A" w:rsidRDefault="00501862" w:rsidP="008362E0">
            <w:pPr>
              <w:spacing w:before="120" w:after="120" w:line="240" w:lineRule="auto"/>
            </w:pPr>
          </w:p>
        </w:tc>
      </w:tr>
      <w:tr w:rsidR="00501862" w:rsidRPr="00AF6AA5" w14:paraId="0BCBA536" w14:textId="77777777" w:rsidTr="001139E7">
        <w:tc>
          <w:tcPr>
            <w:tcW w:w="531" w:type="dxa"/>
            <w:vMerge/>
            <w:shd w:val="clear" w:color="auto" w:fill="auto"/>
          </w:tcPr>
          <w:p w14:paraId="367EC979"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903F482"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67C7F8FD" w14:textId="72FF74CD" w:rsidR="00501862" w:rsidRPr="005A0C5D" w:rsidRDefault="00501862" w:rsidP="008362E0">
            <w:pPr>
              <w:pStyle w:val="Bullet"/>
              <w:numPr>
                <w:ilvl w:val="0"/>
                <w:numId w:val="0"/>
              </w:numPr>
              <w:spacing w:before="120" w:after="120"/>
            </w:pPr>
            <w:r>
              <w:t xml:space="preserve">Evaluer si des conditions-cadres adéquates ont été définies afin d'informer tout le personnel de l'établissement sur le comportement à adopter en cas de violation de la </w:t>
            </w:r>
            <w:r>
              <w:rPr>
                <w:i/>
              </w:rPr>
              <w:t>compliance</w:t>
            </w:r>
            <w:r>
              <w:t xml:space="preserve">, et de désigner un point de contact pour les violations graves de la </w:t>
            </w:r>
            <w:r>
              <w:rPr>
                <w:i/>
              </w:rPr>
              <w:t>compliance</w:t>
            </w:r>
            <w:r>
              <w:t xml:space="preserve"> (fonction de </w:t>
            </w:r>
            <w:r>
              <w:rPr>
                <w:i/>
              </w:rPr>
              <w:t>compliance</w:t>
            </w:r>
            <w:r>
              <w:t xml:space="preserve"> ou </w:t>
            </w:r>
            <w:r>
              <w:rPr>
                <w:i/>
              </w:rPr>
              <w:t>help line</w:t>
            </w:r>
            <w:r>
              <w:t xml:space="preserve"> pour le lancement d'alertes, par ex.).</w:t>
            </w:r>
          </w:p>
        </w:tc>
        <w:tc>
          <w:tcPr>
            <w:tcW w:w="3827" w:type="dxa"/>
            <w:shd w:val="clear" w:color="auto" w:fill="auto"/>
          </w:tcPr>
          <w:p w14:paraId="7DA7F2F9" w14:textId="77777777" w:rsidR="00501862" w:rsidRPr="005A0C5D" w:rsidRDefault="00501862" w:rsidP="008362E0">
            <w:pPr>
              <w:spacing w:before="120" w:after="120" w:line="240" w:lineRule="auto"/>
              <w:ind w:left="33"/>
              <w:rPr>
                <w:rFonts w:cs="Arial"/>
                <w:sz w:val="16"/>
                <w:szCs w:val="16"/>
              </w:rPr>
            </w:pPr>
          </w:p>
        </w:tc>
        <w:tc>
          <w:tcPr>
            <w:tcW w:w="3686" w:type="dxa"/>
            <w:shd w:val="clear" w:color="auto" w:fill="auto"/>
          </w:tcPr>
          <w:p w14:paraId="2F213E55"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296110BB" w14:textId="77777777" w:rsidR="00501862" w:rsidRPr="001B731A" w:rsidRDefault="00501862" w:rsidP="008362E0">
            <w:pPr>
              <w:spacing w:before="120" w:after="120" w:line="240" w:lineRule="auto"/>
            </w:pPr>
          </w:p>
        </w:tc>
      </w:tr>
      <w:tr w:rsidR="00501862" w:rsidRPr="00AF6AA5" w14:paraId="434A3008" w14:textId="77777777" w:rsidTr="001139E7">
        <w:tc>
          <w:tcPr>
            <w:tcW w:w="531" w:type="dxa"/>
            <w:vMerge/>
            <w:shd w:val="clear" w:color="auto" w:fill="auto"/>
          </w:tcPr>
          <w:p w14:paraId="1E8DC2D7"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F786AC0"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50FD7382" w14:textId="1D962BA7" w:rsidR="00084ED5" w:rsidRDefault="00757485" w:rsidP="000C04B5">
            <w:pPr>
              <w:spacing w:before="120" w:after="120" w:line="240" w:lineRule="auto"/>
            </w:pPr>
            <w:r w:rsidRPr="00431C62">
              <w:rPr>
                <w:sz w:val="24"/>
                <w:szCs w:val="24"/>
              </w:rPr>
              <w:t>*</w:t>
            </w:r>
            <w:r>
              <w:rPr>
                <w:sz w:val="16"/>
              </w:rPr>
              <w:t xml:space="preserve"> </w:t>
            </w:r>
            <w:r w:rsidR="00501862">
              <w:rPr>
                <w:sz w:val="16"/>
              </w:rPr>
              <w:t xml:space="preserve">Evaluer si les responsabilités ont été attribuées à la fonction de </w:t>
            </w:r>
            <w:r w:rsidR="00501862" w:rsidRPr="000C04B5">
              <w:rPr>
                <w:i/>
                <w:sz w:val="16"/>
              </w:rPr>
              <w:t>compliance</w:t>
            </w:r>
            <w:r w:rsidR="00501862">
              <w:rPr>
                <w:sz w:val="16"/>
              </w:rPr>
              <w:t xml:space="preserve"> de manière adé</w:t>
            </w:r>
            <w:r w:rsidR="00501862" w:rsidRPr="000C04B5">
              <w:rPr>
                <w:sz w:val="16"/>
              </w:rPr>
              <w:t>quate en vue</w:t>
            </w:r>
          </w:p>
          <w:p w14:paraId="7A80DA51" w14:textId="6F4F1B40" w:rsidR="00501862" w:rsidRPr="00084ED5" w:rsidRDefault="00084ED5" w:rsidP="00084ED5">
            <w:pPr>
              <w:numPr>
                <w:ilvl w:val="0"/>
                <w:numId w:val="9"/>
              </w:numPr>
              <w:spacing w:before="120" w:after="120" w:line="240" w:lineRule="auto"/>
              <w:ind w:left="170" w:hanging="170"/>
            </w:pPr>
            <w:proofErr w:type="gramStart"/>
            <w:r w:rsidRPr="00084ED5">
              <w:rPr>
                <w:sz w:val="16"/>
                <w:szCs w:val="16"/>
              </w:rPr>
              <w:t>d'</w:t>
            </w:r>
            <w:r w:rsidR="00501862" w:rsidRPr="00084ED5">
              <w:rPr>
                <w:sz w:val="16"/>
                <w:szCs w:val="16"/>
              </w:rPr>
              <w:t>i</w:t>
            </w:r>
            <w:r w:rsidR="00501862">
              <w:rPr>
                <w:sz w:val="16"/>
              </w:rPr>
              <w:t>dentifier</w:t>
            </w:r>
            <w:proofErr w:type="gramEnd"/>
            <w:r w:rsidR="00501862">
              <w:rPr>
                <w:sz w:val="16"/>
              </w:rPr>
              <w:t xml:space="preserve"> les violations graves de la </w:t>
            </w:r>
            <w:r w:rsidR="00501862">
              <w:rPr>
                <w:i/>
                <w:sz w:val="16"/>
              </w:rPr>
              <w:t>compliance</w:t>
            </w:r>
            <w:r w:rsidR="00501862">
              <w:rPr>
                <w:sz w:val="16"/>
              </w:rPr>
              <w:t xml:space="preserve"> et enquêter à ce sujet</w:t>
            </w:r>
          </w:p>
          <w:p w14:paraId="3C443D80" w14:textId="456BF331" w:rsidR="00501862" w:rsidRDefault="00084ED5" w:rsidP="008362E0">
            <w:pPr>
              <w:numPr>
                <w:ilvl w:val="0"/>
                <w:numId w:val="9"/>
              </w:numPr>
              <w:spacing w:before="120" w:after="120" w:line="240" w:lineRule="auto"/>
              <w:ind w:left="170" w:hanging="170"/>
              <w:rPr>
                <w:rFonts w:cs="Arial"/>
                <w:sz w:val="16"/>
                <w:szCs w:val="16"/>
              </w:rPr>
            </w:pPr>
            <w:proofErr w:type="gramStart"/>
            <w:r w:rsidRPr="00084ED5">
              <w:rPr>
                <w:sz w:val="16"/>
                <w:szCs w:val="16"/>
              </w:rPr>
              <w:t>d'</w:t>
            </w:r>
            <w:r w:rsidR="00501862">
              <w:rPr>
                <w:sz w:val="16"/>
              </w:rPr>
              <w:t>assister</w:t>
            </w:r>
            <w:proofErr w:type="gramEnd"/>
            <w:r w:rsidR="00501862">
              <w:rPr>
                <w:sz w:val="16"/>
              </w:rPr>
              <w:t xml:space="preserve"> la direction opérationnelle dans le choix des instructions et des mesures à définir</w:t>
            </w:r>
          </w:p>
          <w:p w14:paraId="20F83CE1" w14:textId="562A7BB8" w:rsidR="00501862" w:rsidRDefault="00084ED5" w:rsidP="008362E0">
            <w:pPr>
              <w:numPr>
                <w:ilvl w:val="0"/>
                <w:numId w:val="9"/>
              </w:numPr>
              <w:spacing w:before="120" w:after="120" w:line="240" w:lineRule="auto"/>
              <w:ind w:left="170" w:hanging="170"/>
              <w:rPr>
                <w:rFonts w:cs="Arial"/>
                <w:sz w:val="16"/>
                <w:szCs w:val="16"/>
              </w:rPr>
            </w:pPr>
            <w:proofErr w:type="gramStart"/>
            <w:r w:rsidRPr="00084ED5">
              <w:rPr>
                <w:sz w:val="16"/>
                <w:szCs w:val="16"/>
              </w:rPr>
              <w:t>d'</w:t>
            </w:r>
            <w:r w:rsidR="00501862" w:rsidRPr="00084ED5">
              <w:rPr>
                <w:sz w:val="16"/>
                <w:szCs w:val="16"/>
              </w:rPr>
              <w:t>i</w:t>
            </w:r>
            <w:r w:rsidR="00501862">
              <w:rPr>
                <w:sz w:val="16"/>
              </w:rPr>
              <w:t>nformer</w:t>
            </w:r>
            <w:proofErr w:type="gramEnd"/>
            <w:r w:rsidR="00501862">
              <w:rPr>
                <w:sz w:val="16"/>
              </w:rPr>
              <w:t xml:space="preserve"> la révision interne sur les violations graves de la </w:t>
            </w:r>
            <w:r w:rsidR="00501862">
              <w:rPr>
                <w:i/>
                <w:sz w:val="16"/>
              </w:rPr>
              <w:t>compliance</w:t>
            </w:r>
            <w:r w:rsidR="00501862">
              <w:rPr>
                <w:sz w:val="16"/>
              </w:rPr>
              <w:t xml:space="preserve"> et les évolutions significatives dans le domaine des risques de </w:t>
            </w:r>
            <w:r w:rsidR="00501862">
              <w:rPr>
                <w:i/>
                <w:sz w:val="16"/>
              </w:rPr>
              <w:t>compliance</w:t>
            </w:r>
          </w:p>
          <w:p w14:paraId="6E44545C" w14:textId="07C40A11" w:rsidR="00501862" w:rsidRPr="002B52B1" w:rsidRDefault="00084ED5" w:rsidP="008362E0">
            <w:pPr>
              <w:numPr>
                <w:ilvl w:val="0"/>
                <w:numId w:val="9"/>
              </w:numPr>
              <w:spacing w:before="120" w:after="120" w:line="240" w:lineRule="auto"/>
              <w:ind w:left="170" w:hanging="170"/>
              <w:rPr>
                <w:rFonts w:cs="Arial"/>
                <w:sz w:val="16"/>
                <w:szCs w:val="16"/>
              </w:rPr>
            </w:pPr>
            <w:r>
              <w:rPr>
                <w:sz w:val="16"/>
              </w:rPr>
              <w:t xml:space="preserve">de </w:t>
            </w:r>
            <w:r w:rsidR="00501862">
              <w:rPr>
                <w:sz w:val="16"/>
              </w:rPr>
              <w:t xml:space="preserve">faire remonter les informations concernant les violations de la </w:t>
            </w:r>
            <w:r w:rsidR="00501862">
              <w:rPr>
                <w:i/>
                <w:sz w:val="16"/>
              </w:rPr>
              <w:t>compliance</w:t>
            </w:r>
            <w:r w:rsidR="00501862">
              <w:rPr>
                <w:sz w:val="16"/>
              </w:rPr>
              <w:t xml:space="preserve"> aux organes de gouvernance ou comités compétents si la direction opérationnelle refuse tout traitement ou sanction.</w:t>
            </w:r>
          </w:p>
        </w:tc>
        <w:tc>
          <w:tcPr>
            <w:tcW w:w="3827" w:type="dxa"/>
            <w:shd w:val="clear" w:color="auto" w:fill="auto"/>
          </w:tcPr>
          <w:p w14:paraId="4E653858" w14:textId="77777777" w:rsidR="00501862" w:rsidRPr="005A0C5D" w:rsidRDefault="00501862" w:rsidP="008362E0">
            <w:pPr>
              <w:spacing w:before="120" w:after="120" w:line="240" w:lineRule="auto"/>
              <w:ind w:left="33"/>
              <w:rPr>
                <w:rFonts w:cs="Arial"/>
                <w:sz w:val="16"/>
                <w:szCs w:val="16"/>
              </w:rPr>
            </w:pPr>
          </w:p>
        </w:tc>
        <w:tc>
          <w:tcPr>
            <w:tcW w:w="3686" w:type="dxa"/>
            <w:shd w:val="clear" w:color="auto" w:fill="auto"/>
          </w:tcPr>
          <w:p w14:paraId="1C2F699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61F3066B" w14:textId="77777777" w:rsidR="00501862" w:rsidRPr="001B731A" w:rsidRDefault="00501862" w:rsidP="008362E0">
            <w:pPr>
              <w:spacing w:before="120" w:after="120" w:line="240" w:lineRule="auto"/>
            </w:pPr>
          </w:p>
        </w:tc>
      </w:tr>
      <w:tr w:rsidR="00501862" w:rsidRPr="00AF6AA5" w14:paraId="515CB099" w14:textId="77777777" w:rsidTr="001139E7">
        <w:tc>
          <w:tcPr>
            <w:tcW w:w="531" w:type="dxa"/>
            <w:vMerge/>
            <w:shd w:val="clear" w:color="auto" w:fill="auto"/>
          </w:tcPr>
          <w:p w14:paraId="102171BC"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6E14F011"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344AB3EA" w14:textId="215B689E" w:rsidR="00501862" w:rsidRPr="005A0C5D" w:rsidRDefault="00501862" w:rsidP="00D30EB9">
            <w:pPr>
              <w:pStyle w:val="Bullet"/>
              <w:numPr>
                <w:ilvl w:val="0"/>
                <w:numId w:val="0"/>
              </w:numPr>
              <w:spacing w:before="120" w:after="120"/>
            </w:pPr>
            <w:r>
              <w:t xml:space="preserve">Evaluer l'adéquation de l'attribution des </w:t>
            </w:r>
            <w:r w:rsidR="00D30EB9">
              <w:t xml:space="preserve">compétences </w:t>
            </w:r>
            <w:r>
              <w:t xml:space="preserve">d'approbation (à la direction opérationnelle et au conseil d'administration ou à l'un de ses comités, par ex.) s'agissant des instructions et des mesures concernant les violations graves de la </w:t>
            </w:r>
            <w:r>
              <w:rPr>
                <w:i/>
              </w:rPr>
              <w:t>compliance</w:t>
            </w:r>
            <w:r>
              <w:t>, y c. l'homologation de l'enquêteur et les mesures prises suite à l'enquête.</w:t>
            </w:r>
          </w:p>
        </w:tc>
        <w:tc>
          <w:tcPr>
            <w:tcW w:w="3827" w:type="dxa"/>
            <w:shd w:val="clear" w:color="auto" w:fill="auto"/>
          </w:tcPr>
          <w:p w14:paraId="30E4D5AD"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55E61421"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769F1E5C" w14:textId="77777777" w:rsidR="00501862" w:rsidRPr="001B731A" w:rsidRDefault="00501862" w:rsidP="008362E0">
            <w:pPr>
              <w:spacing w:before="120" w:after="120" w:line="240" w:lineRule="auto"/>
            </w:pPr>
          </w:p>
        </w:tc>
      </w:tr>
      <w:tr w:rsidR="00501862" w:rsidRPr="00AF6AA5" w14:paraId="6DCD4C23" w14:textId="77777777" w:rsidTr="001139E7">
        <w:tc>
          <w:tcPr>
            <w:tcW w:w="531" w:type="dxa"/>
            <w:shd w:val="clear" w:color="auto" w:fill="auto"/>
          </w:tcPr>
          <w:p w14:paraId="6BEFBD1D" w14:textId="77777777" w:rsidR="00501862" w:rsidRPr="005A0C5D" w:rsidRDefault="00501862" w:rsidP="008362E0">
            <w:pPr>
              <w:spacing w:before="120" w:after="120" w:line="240" w:lineRule="auto"/>
              <w:rPr>
                <w:rFonts w:cs="Arial"/>
                <w:sz w:val="16"/>
                <w:szCs w:val="16"/>
              </w:rPr>
            </w:pPr>
          </w:p>
        </w:tc>
        <w:tc>
          <w:tcPr>
            <w:tcW w:w="1596" w:type="dxa"/>
            <w:shd w:val="clear" w:color="auto" w:fill="auto"/>
          </w:tcPr>
          <w:p w14:paraId="6736F213"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41F1BC83" w14:textId="6DCAF799" w:rsidR="00501862" w:rsidRPr="00071D3A" w:rsidRDefault="00501862" w:rsidP="008362E0">
            <w:pPr>
              <w:pStyle w:val="Bullet"/>
              <w:numPr>
                <w:ilvl w:val="0"/>
                <w:numId w:val="0"/>
              </w:numPr>
              <w:spacing w:before="120" w:after="120"/>
            </w:pPr>
            <w:r>
              <w:t xml:space="preserve">Evaluer l'adéquation des procédures mises en œuvre pour tenir compte des objectifs de </w:t>
            </w:r>
            <w:r>
              <w:rPr>
                <w:i/>
              </w:rPr>
              <w:t>compliance</w:t>
            </w:r>
            <w:r>
              <w:t xml:space="preserve"> dans l'évaluation de la performance.</w:t>
            </w:r>
          </w:p>
        </w:tc>
        <w:tc>
          <w:tcPr>
            <w:tcW w:w="3827" w:type="dxa"/>
            <w:shd w:val="clear" w:color="auto" w:fill="auto"/>
          </w:tcPr>
          <w:p w14:paraId="71D9BFDC"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49A245B2"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7158915B" w14:textId="77777777" w:rsidR="00501862" w:rsidRPr="001B731A" w:rsidRDefault="00501862" w:rsidP="008362E0">
            <w:pPr>
              <w:spacing w:before="120" w:after="120" w:line="240" w:lineRule="auto"/>
            </w:pPr>
          </w:p>
        </w:tc>
      </w:tr>
      <w:tr w:rsidR="00501862" w:rsidRPr="00AF6AA5" w14:paraId="1F423731" w14:textId="77777777" w:rsidTr="001139E7">
        <w:tc>
          <w:tcPr>
            <w:tcW w:w="531" w:type="dxa"/>
            <w:shd w:val="clear" w:color="auto" w:fill="auto"/>
          </w:tcPr>
          <w:p w14:paraId="77EED31F" w14:textId="77777777" w:rsidR="00501862" w:rsidRPr="005A0C5D" w:rsidRDefault="00501862" w:rsidP="008362E0">
            <w:pPr>
              <w:spacing w:before="120" w:after="120" w:line="240" w:lineRule="auto"/>
              <w:rPr>
                <w:rFonts w:cs="Arial"/>
                <w:sz w:val="16"/>
                <w:szCs w:val="16"/>
              </w:rPr>
            </w:pPr>
          </w:p>
        </w:tc>
        <w:tc>
          <w:tcPr>
            <w:tcW w:w="1596" w:type="dxa"/>
            <w:shd w:val="clear" w:color="auto" w:fill="auto"/>
          </w:tcPr>
          <w:p w14:paraId="20264892"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77BAC9B3" w14:textId="74550D5D" w:rsidR="00501862" w:rsidRPr="00071D3A" w:rsidRDefault="00757485" w:rsidP="008362E0">
            <w:pPr>
              <w:pStyle w:val="Bullet"/>
              <w:numPr>
                <w:ilvl w:val="0"/>
                <w:numId w:val="0"/>
              </w:numPr>
              <w:spacing w:before="120" w:after="120"/>
            </w:pPr>
            <w:r w:rsidRPr="00431C62">
              <w:rPr>
                <w:sz w:val="24"/>
                <w:szCs w:val="24"/>
              </w:rPr>
              <w:t>*</w:t>
            </w:r>
            <w:r>
              <w:t xml:space="preserve"> </w:t>
            </w:r>
            <w:r w:rsidR="00501862">
              <w:t xml:space="preserve">Evaluer le caractère approprié du concept-cadre de sanctions défini par l'établissement en matière de </w:t>
            </w:r>
            <w:r w:rsidR="00501862">
              <w:rPr>
                <w:i/>
              </w:rPr>
              <w:t>compliance</w:t>
            </w:r>
            <w:r w:rsidR="00501862">
              <w:t xml:space="preserve"> envers les règles et la réglementation prudentielles.</w:t>
            </w:r>
          </w:p>
        </w:tc>
        <w:tc>
          <w:tcPr>
            <w:tcW w:w="3827" w:type="dxa"/>
            <w:shd w:val="clear" w:color="auto" w:fill="auto"/>
          </w:tcPr>
          <w:p w14:paraId="53D8CEDD"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3F84D16C"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6562ED9B" w14:textId="77777777" w:rsidR="00501862" w:rsidRPr="001B731A" w:rsidRDefault="00501862" w:rsidP="008362E0">
            <w:pPr>
              <w:spacing w:before="120" w:after="120" w:line="240" w:lineRule="auto"/>
            </w:pPr>
          </w:p>
        </w:tc>
      </w:tr>
      <w:tr w:rsidR="00501862" w:rsidRPr="00AF6AA5" w14:paraId="49811F38" w14:textId="77777777" w:rsidTr="001139E7">
        <w:tc>
          <w:tcPr>
            <w:tcW w:w="531" w:type="dxa"/>
            <w:vMerge w:val="restart"/>
            <w:shd w:val="clear" w:color="auto" w:fill="auto"/>
          </w:tcPr>
          <w:p w14:paraId="4A4C0B26"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62547B0F" w14:textId="69E0460E" w:rsidR="00501862" w:rsidRPr="00051CD5" w:rsidRDefault="00501862" w:rsidP="008362E0">
            <w:pPr>
              <w:spacing w:before="120" w:after="120" w:line="240" w:lineRule="auto"/>
              <w:rPr>
                <w:rFonts w:cs="Arial"/>
                <w:b/>
                <w:sz w:val="16"/>
                <w:szCs w:val="16"/>
              </w:rPr>
            </w:pPr>
            <w:r>
              <w:rPr>
                <w:b/>
                <w:sz w:val="16"/>
              </w:rPr>
              <w:t>Conformité avec la politique des risques</w:t>
            </w:r>
          </w:p>
        </w:tc>
        <w:tc>
          <w:tcPr>
            <w:tcW w:w="3685" w:type="dxa"/>
            <w:shd w:val="clear" w:color="auto" w:fill="auto"/>
          </w:tcPr>
          <w:p w14:paraId="5E01C883" w14:textId="06511179" w:rsidR="00501862" w:rsidRPr="00051CD5" w:rsidRDefault="00501862" w:rsidP="008362E0">
            <w:pPr>
              <w:pStyle w:val="Bullet"/>
              <w:numPr>
                <w:ilvl w:val="0"/>
                <w:numId w:val="0"/>
              </w:numPr>
              <w:spacing w:before="120" w:after="120"/>
              <w:rPr>
                <w:i/>
              </w:rPr>
            </w:pPr>
            <w:r>
              <w:rPr>
                <w:i/>
              </w:rPr>
              <w:t xml:space="preserve">Evaluer si la politique des risques relative aux graves violations de la </w:t>
            </w:r>
            <w:r>
              <w:t>compliance</w:t>
            </w:r>
            <w:r>
              <w:rPr>
                <w:i/>
              </w:rPr>
              <w:t xml:space="preserve"> </w:t>
            </w:r>
            <w:r w:rsidR="00757485">
              <w:rPr>
                <w:i/>
              </w:rPr>
              <w:t xml:space="preserve">a </w:t>
            </w:r>
            <w:r>
              <w:rPr>
                <w:i/>
              </w:rPr>
              <w:t>été effectivement appliquée et respectée, notamment :</w:t>
            </w:r>
          </w:p>
        </w:tc>
        <w:tc>
          <w:tcPr>
            <w:tcW w:w="3827" w:type="dxa"/>
            <w:shd w:val="clear" w:color="auto" w:fill="auto"/>
          </w:tcPr>
          <w:p w14:paraId="0576302C" w14:textId="77777777" w:rsidR="00501862" w:rsidRPr="00051CD5" w:rsidRDefault="00501862" w:rsidP="008362E0">
            <w:pPr>
              <w:pStyle w:val="Bullet"/>
              <w:numPr>
                <w:ilvl w:val="0"/>
                <w:numId w:val="0"/>
              </w:numPr>
              <w:spacing w:before="120" w:after="120"/>
            </w:pPr>
          </w:p>
        </w:tc>
        <w:tc>
          <w:tcPr>
            <w:tcW w:w="3686" w:type="dxa"/>
            <w:shd w:val="clear" w:color="auto" w:fill="auto"/>
          </w:tcPr>
          <w:p w14:paraId="2222AEA6"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2792E5A8" w14:textId="77777777" w:rsidR="00501862" w:rsidRPr="001B731A" w:rsidRDefault="00501862" w:rsidP="008362E0">
            <w:pPr>
              <w:spacing w:before="120" w:after="120" w:line="240" w:lineRule="auto"/>
            </w:pPr>
          </w:p>
        </w:tc>
      </w:tr>
      <w:tr w:rsidR="00501862" w:rsidRPr="00AF6AA5" w14:paraId="4DB20BA6" w14:textId="77777777" w:rsidTr="001139E7">
        <w:tc>
          <w:tcPr>
            <w:tcW w:w="531" w:type="dxa"/>
            <w:vMerge/>
            <w:shd w:val="clear" w:color="auto" w:fill="auto"/>
          </w:tcPr>
          <w:p w14:paraId="7997823B" w14:textId="77777777" w:rsidR="00501862" w:rsidRPr="00051CD5" w:rsidRDefault="00501862" w:rsidP="008362E0">
            <w:pPr>
              <w:spacing w:before="120" w:after="120" w:line="240" w:lineRule="auto"/>
              <w:rPr>
                <w:rFonts w:cs="Arial"/>
                <w:sz w:val="16"/>
                <w:szCs w:val="16"/>
              </w:rPr>
            </w:pPr>
          </w:p>
        </w:tc>
        <w:tc>
          <w:tcPr>
            <w:tcW w:w="1596" w:type="dxa"/>
            <w:vMerge/>
            <w:shd w:val="clear" w:color="auto" w:fill="auto"/>
          </w:tcPr>
          <w:p w14:paraId="446BF7F0" w14:textId="77777777" w:rsidR="00501862" w:rsidRPr="00051CD5" w:rsidRDefault="00501862" w:rsidP="008362E0">
            <w:pPr>
              <w:spacing w:before="120" w:after="120" w:line="240" w:lineRule="auto"/>
              <w:rPr>
                <w:rFonts w:cs="Arial"/>
                <w:b/>
                <w:sz w:val="16"/>
                <w:szCs w:val="16"/>
              </w:rPr>
            </w:pPr>
          </w:p>
        </w:tc>
        <w:tc>
          <w:tcPr>
            <w:tcW w:w="3685" w:type="dxa"/>
            <w:shd w:val="clear" w:color="auto" w:fill="auto"/>
          </w:tcPr>
          <w:p w14:paraId="7D13783E" w14:textId="7BAB4C63" w:rsidR="00501862" w:rsidRPr="00051CD5" w:rsidRDefault="00501862" w:rsidP="008362E0">
            <w:pPr>
              <w:pStyle w:val="Bullet"/>
              <w:numPr>
                <w:ilvl w:val="0"/>
                <w:numId w:val="0"/>
              </w:numPr>
              <w:spacing w:before="120" w:after="120"/>
            </w:pPr>
            <w:r>
              <w:t xml:space="preserve">Se procurer une vue d'ensemble des violations graves de la </w:t>
            </w:r>
            <w:r>
              <w:rPr>
                <w:i/>
              </w:rPr>
              <w:t>compliance</w:t>
            </w:r>
            <w:r>
              <w:t xml:space="preserve"> constatées pendant la période d'audit. Se renseigner sur la façon dont le management a garanti la conformité avec les lignes directrices, directives et limites internes et évaluer la façon dont il l'a fait.</w:t>
            </w:r>
          </w:p>
        </w:tc>
        <w:tc>
          <w:tcPr>
            <w:tcW w:w="3827" w:type="dxa"/>
            <w:shd w:val="clear" w:color="auto" w:fill="auto"/>
          </w:tcPr>
          <w:p w14:paraId="6EF8DC5B" w14:textId="317F16B6" w:rsidR="00501862" w:rsidRPr="00051CD5" w:rsidRDefault="00501862" w:rsidP="008362E0">
            <w:pPr>
              <w:spacing w:before="120" w:after="120" w:line="240" w:lineRule="auto"/>
              <w:ind w:left="33"/>
              <w:rPr>
                <w:rFonts w:cs="Arial"/>
                <w:sz w:val="16"/>
                <w:szCs w:val="16"/>
              </w:rPr>
            </w:pPr>
            <w:r>
              <w:rPr>
                <w:sz w:val="16"/>
              </w:rPr>
              <w:t xml:space="preserve">Effectuer un contrôle substantif, sur la base d'un échantillon, afin de déterminer si les lignes directrices, directives et limites internes ont été respectées eu égard au traitement des graves violations de la </w:t>
            </w:r>
            <w:r>
              <w:rPr>
                <w:i/>
                <w:sz w:val="16"/>
              </w:rPr>
              <w:t>compliance</w:t>
            </w:r>
            <w:r>
              <w:rPr>
                <w:sz w:val="16"/>
              </w:rPr>
              <w:t>.</w:t>
            </w:r>
          </w:p>
        </w:tc>
        <w:tc>
          <w:tcPr>
            <w:tcW w:w="3686" w:type="dxa"/>
            <w:shd w:val="clear" w:color="auto" w:fill="auto"/>
          </w:tcPr>
          <w:p w14:paraId="5C2A7662"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640C7A05" w14:textId="77777777" w:rsidR="00501862" w:rsidRPr="001B731A" w:rsidRDefault="00501862" w:rsidP="008362E0">
            <w:pPr>
              <w:spacing w:before="120" w:after="120" w:line="240" w:lineRule="auto"/>
            </w:pPr>
          </w:p>
        </w:tc>
      </w:tr>
    </w:tbl>
    <w:p w14:paraId="5C7495D0" w14:textId="26F08AFD" w:rsidR="007715B7" w:rsidRDefault="007715B7" w:rsidP="008362E0">
      <w:pPr>
        <w:spacing w:before="120" w:after="120" w:line="240" w:lineRule="auto"/>
        <w:rPr>
          <w:rFonts w:ascii="EYInterstate Light" w:hAnsi="EYInterstate Light"/>
        </w:rPr>
      </w:pPr>
    </w:p>
    <w:p w14:paraId="4CA386AF" w14:textId="56062835" w:rsidR="00892C1C" w:rsidRDefault="00892C1C">
      <w:pPr>
        <w:spacing w:line="240" w:lineRule="auto"/>
        <w:rPr>
          <w:rFonts w:ascii="EYInterstate Light" w:hAnsi="EYInterstate Light"/>
        </w:rPr>
      </w:pPr>
      <w:r>
        <w:rPr>
          <w:rFonts w:ascii="EYInterstate Light" w:hAnsi="EYInterstate Light"/>
        </w:rPr>
        <w:br w:type="page"/>
      </w:r>
    </w:p>
    <w:p w14:paraId="7C449987" w14:textId="09FBA747" w:rsidR="007715B7" w:rsidRPr="00BF42C5" w:rsidRDefault="00787399" w:rsidP="007715B7">
      <w:pPr>
        <w:spacing w:before="120" w:after="120" w:line="240" w:lineRule="auto"/>
        <w:rPr>
          <w:rFonts w:cs="Arial"/>
          <w:b/>
          <w:sz w:val="2"/>
          <w:szCs w:val="2"/>
          <w:lang w:eastAsia="de-DE" w:bidi="ar-SA"/>
        </w:rPr>
      </w:pPr>
      <w:r w:rsidRPr="00BF42C5">
        <w:rPr>
          <w:rFonts w:cs="Arial"/>
          <w:b/>
          <w:lang w:eastAsia="de-DE" w:bidi="ar-SA"/>
        </w:rPr>
        <w:lastRenderedPageBreak/>
        <w:t>Programme de travail</w:t>
      </w:r>
      <w:r w:rsidR="007715B7" w:rsidRPr="00BF42C5">
        <w:rPr>
          <w:rFonts w:cs="Arial"/>
          <w:b/>
          <w:lang w:eastAsia="de-DE" w:bidi="ar-SA"/>
        </w:rPr>
        <w:t xml:space="preserve"> – </w:t>
      </w:r>
      <w:r w:rsidR="007715B7" w:rsidRPr="00BF42C5">
        <w:rPr>
          <w:rFonts w:cs="Arial"/>
          <w:b/>
          <w:u w:val="single"/>
          <w:lang w:eastAsia="de-DE" w:bidi="ar-SA"/>
        </w:rPr>
        <w:t>autres risques liés à des questions de compliance</w:t>
      </w:r>
      <w:r w:rsidR="007715B7" w:rsidRPr="00BF42C5">
        <w:rPr>
          <w:rFonts w:cs="Arial"/>
          <w:u w:val="single"/>
          <w:lang w:eastAsia="de-DE" w:bidi="ar-SA"/>
        </w:rPr>
        <w:t>– transmission</w:t>
      </w:r>
      <w:r w:rsidR="007715B7" w:rsidRPr="0070585F">
        <w:rPr>
          <w:rFonts w:cs="Arial"/>
          <w:u w:val="single"/>
          <w:lang w:eastAsia="de-DE" w:bidi="ar-SA"/>
        </w:rPr>
        <w:t xml:space="preserve"> direct</w:t>
      </w:r>
      <w:r w:rsidRPr="0070585F">
        <w:rPr>
          <w:rFonts w:cs="Arial"/>
          <w:u w:val="single"/>
          <w:lang w:eastAsia="de-DE" w:bidi="ar-SA"/>
        </w:rPr>
        <w:t>e</w:t>
      </w:r>
    </w:p>
    <w:tbl>
      <w:tblPr>
        <w:tblW w:w="14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766"/>
        <w:gridCol w:w="4139"/>
        <w:gridCol w:w="3827"/>
        <w:gridCol w:w="3402"/>
        <w:gridCol w:w="992"/>
        <w:gridCol w:w="34"/>
      </w:tblGrid>
      <w:tr w:rsidR="007715B7" w:rsidRPr="0070585F" w14:paraId="6563ED0C" w14:textId="77777777" w:rsidTr="007715B7">
        <w:trPr>
          <w:gridAfter w:val="1"/>
          <w:wAfter w:w="34" w:type="dxa"/>
        </w:trPr>
        <w:tc>
          <w:tcPr>
            <w:tcW w:w="531" w:type="dxa"/>
            <w:shd w:val="clear" w:color="auto" w:fill="A6A6A6" w:themeFill="background1" w:themeFillShade="A6"/>
          </w:tcPr>
          <w:p w14:paraId="6EC2C2E8" w14:textId="0FA5E06D" w:rsidR="007715B7" w:rsidRPr="0070585F" w:rsidRDefault="007715B7" w:rsidP="007715B7">
            <w:pPr>
              <w:spacing w:before="120" w:after="120" w:line="240" w:lineRule="auto"/>
              <w:rPr>
                <w:rFonts w:cs="Arial"/>
                <w:sz w:val="16"/>
                <w:szCs w:val="16"/>
                <w:lang w:val="en-GB" w:eastAsia="de-DE" w:bidi="ar-SA"/>
              </w:rPr>
            </w:pPr>
            <w:r w:rsidRPr="0070585F">
              <w:rPr>
                <w:rFonts w:cs="Arial"/>
                <w:b/>
                <w:sz w:val="16"/>
                <w:szCs w:val="16"/>
                <w:lang w:val="en-US" w:eastAsia="de-DE" w:bidi="ar-SA"/>
              </w:rPr>
              <w:t>N</w:t>
            </w:r>
            <w:r w:rsidRPr="00BF42C5">
              <w:rPr>
                <w:rFonts w:cs="Arial"/>
                <w:b/>
                <w:sz w:val="16"/>
                <w:szCs w:val="16"/>
                <w:vertAlign w:val="superscript"/>
                <w:lang w:val="en-US" w:eastAsia="de-DE" w:bidi="ar-SA"/>
              </w:rPr>
              <w:t>o</w:t>
            </w:r>
            <w:r w:rsidRPr="0070585F">
              <w:rPr>
                <w:rFonts w:cs="Arial"/>
                <w:b/>
                <w:sz w:val="16"/>
                <w:szCs w:val="16"/>
                <w:lang w:val="en-US" w:eastAsia="de-DE" w:bidi="ar-SA"/>
              </w:rPr>
              <w:t>.</w:t>
            </w:r>
          </w:p>
        </w:tc>
        <w:tc>
          <w:tcPr>
            <w:tcW w:w="1766" w:type="dxa"/>
            <w:shd w:val="clear" w:color="auto" w:fill="A6A6A6" w:themeFill="background1" w:themeFillShade="A6"/>
          </w:tcPr>
          <w:p w14:paraId="40BC29A7" w14:textId="5A824B10" w:rsidR="007715B7" w:rsidRPr="0070585F" w:rsidRDefault="007715B7" w:rsidP="007715B7">
            <w:pPr>
              <w:spacing w:before="120" w:after="120" w:line="240" w:lineRule="auto"/>
              <w:rPr>
                <w:rFonts w:cs="Arial"/>
                <w:b/>
                <w:sz w:val="16"/>
                <w:szCs w:val="16"/>
                <w:lang w:val="en-GB" w:eastAsia="de-DE" w:bidi="ar-SA"/>
              </w:rPr>
            </w:pPr>
            <w:proofErr w:type="spellStart"/>
            <w:r w:rsidRPr="0070585F">
              <w:rPr>
                <w:rFonts w:cs="Arial"/>
                <w:b/>
                <w:sz w:val="16"/>
                <w:szCs w:val="16"/>
                <w:lang w:val="en-US" w:eastAsia="de-DE" w:bidi="ar-SA"/>
              </w:rPr>
              <w:t>Thème</w:t>
            </w:r>
            <w:proofErr w:type="spellEnd"/>
            <w:r w:rsidRPr="0070585F">
              <w:rPr>
                <w:rFonts w:cs="Arial"/>
                <w:b/>
                <w:sz w:val="16"/>
                <w:szCs w:val="16"/>
                <w:lang w:val="en-US" w:eastAsia="de-DE" w:bidi="ar-SA"/>
              </w:rPr>
              <w:t>:</w:t>
            </w:r>
          </w:p>
        </w:tc>
        <w:tc>
          <w:tcPr>
            <w:tcW w:w="4139" w:type="dxa"/>
            <w:shd w:val="clear" w:color="auto" w:fill="A6A6A6" w:themeFill="background1" w:themeFillShade="A6"/>
          </w:tcPr>
          <w:p w14:paraId="0D96D0C0" w14:textId="6F17F8B1" w:rsidR="007715B7" w:rsidRPr="00BF42C5" w:rsidRDefault="007715B7" w:rsidP="007715B7">
            <w:pPr>
              <w:spacing w:before="120" w:after="120" w:line="240" w:lineRule="auto"/>
              <w:rPr>
                <w:rFonts w:eastAsiaTheme="minorHAnsi" w:cs="Arial"/>
                <w:b/>
                <w:i/>
                <w:sz w:val="16"/>
                <w:szCs w:val="16"/>
                <w:lang w:eastAsia="en-US" w:bidi="ar-SA"/>
              </w:rPr>
            </w:pPr>
            <w:r w:rsidRPr="00BF42C5">
              <w:rPr>
                <w:rFonts w:eastAsiaTheme="minorHAnsi" w:cs="Arial"/>
                <w:b/>
                <w:sz w:val="16"/>
                <w:szCs w:val="16"/>
                <w:lang w:eastAsia="en-US" w:bidi="ar-SA"/>
              </w:rPr>
              <w:t>Procédures pour l'étendue d'audit "revue critique" :</w:t>
            </w:r>
          </w:p>
        </w:tc>
        <w:tc>
          <w:tcPr>
            <w:tcW w:w="3827" w:type="dxa"/>
            <w:shd w:val="clear" w:color="auto" w:fill="A6A6A6" w:themeFill="background1" w:themeFillShade="A6"/>
          </w:tcPr>
          <w:p w14:paraId="6DD30A7F" w14:textId="05AC7ED0" w:rsidR="007715B7" w:rsidRPr="00BF42C5" w:rsidRDefault="007715B7" w:rsidP="007715B7">
            <w:pPr>
              <w:spacing w:before="120" w:after="120" w:line="240" w:lineRule="auto"/>
              <w:ind w:left="33"/>
              <w:rPr>
                <w:rFonts w:cs="Arial"/>
                <w:b/>
                <w:sz w:val="16"/>
                <w:szCs w:val="16"/>
                <w:lang w:eastAsia="de-DE" w:bidi="ar-SA"/>
              </w:rPr>
            </w:pPr>
            <w:r w:rsidRPr="00BF42C5">
              <w:rPr>
                <w:rFonts w:cs="Arial"/>
                <w:b/>
                <w:sz w:val="16"/>
                <w:szCs w:val="16"/>
                <w:lang w:eastAsia="de-DE" w:bidi="ar-SA"/>
              </w:rPr>
              <w:t xml:space="preserve">Procédures </w:t>
            </w:r>
            <w:r w:rsidRPr="00BF42C5">
              <w:rPr>
                <w:rFonts w:cs="Arial"/>
                <w:b/>
                <w:sz w:val="16"/>
                <w:szCs w:val="16"/>
                <w:u w:val="single"/>
                <w:lang w:eastAsia="de-DE" w:bidi="ar-SA"/>
              </w:rPr>
              <w:t>supplémentaires</w:t>
            </w:r>
            <w:r w:rsidRPr="00BF42C5">
              <w:rPr>
                <w:rFonts w:cs="Arial"/>
                <w:b/>
                <w:sz w:val="16"/>
                <w:szCs w:val="16"/>
                <w:lang w:eastAsia="de-DE" w:bidi="ar-SA"/>
              </w:rPr>
              <w:t xml:space="preserve"> pour l'étendue d'audit "audit" :</w:t>
            </w:r>
          </w:p>
        </w:tc>
        <w:tc>
          <w:tcPr>
            <w:tcW w:w="3402" w:type="dxa"/>
            <w:shd w:val="clear" w:color="auto" w:fill="A6A6A6" w:themeFill="background1" w:themeFillShade="A6"/>
          </w:tcPr>
          <w:p w14:paraId="5446A58B" w14:textId="527E83F1" w:rsidR="007715B7" w:rsidRPr="00BF42C5" w:rsidRDefault="007715B7" w:rsidP="007715B7">
            <w:pPr>
              <w:spacing w:before="120" w:after="120" w:line="240" w:lineRule="auto"/>
              <w:rPr>
                <w:rFonts w:cs="Arial"/>
                <w:b/>
                <w:sz w:val="16"/>
                <w:szCs w:val="16"/>
                <w:lang w:eastAsia="de-DE" w:bidi="ar-SA"/>
              </w:rPr>
            </w:pPr>
            <w:r w:rsidRPr="00BF42C5">
              <w:rPr>
                <w:rFonts w:cs="Arial"/>
                <w:b/>
                <w:sz w:val="16"/>
                <w:szCs w:val="16"/>
                <w:lang w:eastAsia="de-DE" w:bidi="ar-SA"/>
              </w:rPr>
              <w:t xml:space="preserve">Procédures mises en </w:t>
            </w:r>
            <w:proofErr w:type="spellStart"/>
            <w:r w:rsidRPr="00BF42C5">
              <w:rPr>
                <w:rFonts w:cs="Arial"/>
                <w:b/>
                <w:sz w:val="16"/>
                <w:szCs w:val="16"/>
                <w:lang w:eastAsia="de-DE" w:bidi="ar-SA"/>
              </w:rPr>
              <w:t>oeuvre</w:t>
            </w:r>
            <w:proofErr w:type="spellEnd"/>
            <w:r w:rsidRPr="00BF42C5">
              <w:rPr>
                <w:rFonts w:cs="Arial"/>
                <w:b/>
                <w:sz w:val="16"/>
                <w:szCs w:val="16"/>
                <w:lang w:eastAsia="de-DE" w:bidi="ar-SA"/>
              </w:rPr>
              <w:t xml:space="preserve"> / Constatations</w:t>
            </w:r>
          </w:p>
        </w:tc>
        <w:tc>
          <w:tcPr>
            <w:tcW w:w="992" w:type="dxa"/>
            <w:shd w:val="clear" w:color="auto" w:fill="A6A6A6" w:themeFill="background1" w:themeFillShade="A6"/>
          </w:tcPr>
          <w:p w14:paraId="3549A5A1" w14:textId="147BBE67" w:rsidR="007715B7" w:rsidRPr="00BF42C5" w:rsidRDefault="007715B7" w:rsidP="007715B7">
            <w:pPr>
              <w:spacing w:before="120" w:after="120" w:line="240" w:lineRule="auto"/>
              <w:rPr>
                <w:b/>
                <w:lang w:val="en-GB" w:eastAsia="de-DE" w:bidi="ar-SA"/>
              </w:rPr>
            </w:pPr>
            <w:proofErr w:type="spellStart"/>
            <w:r w:rsidRPr="0070585F">
              <w:rPr>
                <w:rFonts w:cs="Arial"/>
                <w:b/>
                <w:sz w:val="16"/>
                <w:szCs w:val="16"/>
                <w:lang w:val="en-US" w:eastAsia="de-DE" w:bidi="ar-SA"/>
              </w:rPr>
              <w:t>Réf</w:t>
            </w:r>
            <w:proofErr w:type="spellEnd"/>
            <w:r w:rsidRPr="0070585F">
              <w:rPr>
                <w:rFonts w:cs="Arial"/>
                <w:b/>
                <w:sz w:val="16"/>
                <w:szCs w:val="16"/>
                <w:lang w:val="en-US" w:eastAsia="de-DE" w:bidi="ar-SA"/>
              </w:rPr>
              <w:t>. Doc. De travail</w:t>
            </w:r>
          </w:p>
        </w:tc>
      </w:tr>
      <w:tr w:rsidR="007715B7" w:rsidRPr="0070585F" w14:paraId="278993C4" w14:textId="77777777" w:rsidTr="007715B7">
        <w:tc>
          <w:tcPr>
            <w:tcW w:w="14691" w:type="dxa"/>
            <w:gridSpan w:val="7"/>
            <w:shd w:val="clear" w:color="auto" w:fill="D9D9D9" w:themeFill="background1" w:themeFillShade="D9"/>
          </w:tcPr>
          <w:p w14:paraId="4589E437" w14:textId="77777777" w:rsidR="007715B7" w:rsidRPr="00BF42C5" w:rsidRDefault="007715B7" w:rsidP="007715B7">
            <w:pPr>
              <w:spacing w:before="120" w:after="120" w:line="240" w:lineRule="auto"/>
              <w:rPr>
                <w:rFonts w:cs="Arial"/>
                <w:i/>
                <w:sz w:val="16"/>
                <w:szCs w:val="16"/>
                <w:lang w:val="en-GB" w:eastAsia="de-DE" w:bidi="ar-SA"/>
              </w:rPr>
            </w:pPr>
            <w:r w:rsidRPr="00BF42C5">
              <w:rPr>
                <w:rFonts w:cs="Arial"/>
                <w:i/>
                <w:sz w:val="16"/>
                <w:szCs w:val="16"/>
                <w:lang w:val="en-GB" w:eastAsia="de-DE" w:bidi="ar-SA"/>
              </w:rPr>
              <w:t>Confirmation that methods / processes for identification, measurement, management and monitoring of other risks in connection with compliance issues were adequate and, in case of the audit depth “audit”, were applied effectively.</w:t>
            </w:r>
          </w:p>
          <w:p w14:paraId="5604D950" w14:textId="77777777" w:rsidR="007715B7" w:rsidRPr="00BF42C5" w:rsidRDefault="007715B7" w:rsidP="007715B7">
            <w:pPr>
              <w:spacing w:before="120" w:after="120" w:line="240" w:lineRule="auto"/>
              <w:rPr>
                <w:bCs/>
                <w:i/>
                <w:sz w:val="16"/>
                <w:szCs w:val="16"/>
                <w:lang w:val="de-CH" w:eastAsia="de-DE" w:bidi="ar-SA"/>
              </w:rPr>
            </w:pPr>
            <w:r w:rsidRPr="00BF42C5">
              <w:rPr>
                <w:bCs/>
                <w:i/>
                <w:sz w:val="16"/>
                <w:szCs w:val="16"/>
                <w:lang w:val="de-CH" w:eastAsia="de-DE" w:bidi="ar-SA"/>
              </w:rPr>
              <w:t>Bestätigung, dass die Methoden / Prozesse zur Identifikation, Messung, Bewirtschaftung und Überwachung von anderen Risiken im Zusammenhang mit Compliance-Fragen Risiken angemessen waren und im Falle der Prüftiefe „Prüfung“ effektiv angewendet wurden.</w:t>
            </w:r>
          </w:p>
          <w:p w14:paraId="1311A8E8" w14:textId="1D07A982" w:rsidR="007715B7" w:rsidRPr="00BF42C5" w:rsidRDefault="007715B7" w:rsidP="007715B7">
            <w:pPr>
              <w:spacing w:before="120" w:after="120" w:line="240" w:lineRule="auto"/>
              <w:rPr>
                <w:lang w:eastAsia="de-DE" w:bidi="ar-SA"/>
              </w:rPr>
            </w:pPr>
            <w:r w:rsidRPr="00BF42C5">
              <w:rPr>
                <w:bCs/>
                <w:i/>
                <w:sz w:val="16"/>
                <w:szCs w:val="16"/>
                <w:lang w:eastAsia="de-DE" w:bidi="ar-SA"/>
              </w:rPr>
              <w:t>Confirmation que les méthodes / processus relatifs à l’identification, la mesure, la gestion et la surveillance des autres risques en lien avec les questions de compliance ont été appropriés et en cas d’étendue d’audit « audit </w:t>
            </w:r>
            <w:r w:rsidR="00F0172A">
              <w:rPr>
                <w:bCs/>
                <w:i/>
                <w:sz w:val="16"/>
                <w:szCs w:val="16"/>
              </w:rPr>
              <w:t>»</w:t>
            </w:r>
            <w:r w:rsidRPr="00BF42C5">
              <w:rPr>
                <w:bCs/>
                <w:i/>
                <w:sz w:val="16"/>
                <w:szCs w:val="16"/>
                <w:lang w:eastAsia="de-DE" w:bidi="ar-SA"/>
              </w:rPr>
              <w:t> ont été effectivement appliqués. »</w:t>
            </w:r>
          </w:p>
        </w:tc>
      </w:tr>
      <w:tr w:rsidR="007715B7" w:rsidRPr="0070585F" w14:paraId="016EDD3A" w14:textId="77777777" w:rsidTr="007715B7">
        <w:trPr>
          <w:gridAfter w:val="1"/>
          <w:wAfter w:w="34" w:type="dxa"/>
        </w:trPr>
        <w:tc>
          <w:tcPr>
            <w:tcW w:w="531" w:type="dxa"/>
            <w:shd w:val="clear" w:color="auto" w:fill="auto"/>
          </w:tcPr>
          <w:p w14:paraId="63F6849E" w14:textId="77777777" w:rsidR="007715B7" w:rsidRPr="0070585F" w:rsidRDefault="007715B7" w:rsidP="007715B7">
            <w:pPr>
              <w:spacing w:before="120" w:after="120" w:line="240" w:lineRule="auto"/>
              <w:rPr>
                <w:rFonts w:cs="Arial"/>
                <w:sz w:val="16"/>
                <w:szCs w:val="16"/>
                <w:lang w:eastAsia="de-DE" w:bidi="ar-SA"/>
              </w:rPr>
            </w:pPr>
          </w:p>
        </w:tc>
        <w:tc>
          <w:tcPr>
            <w:tcW w:w="1766" w:type="dxa"/>
            <w:shd w:val="clear" w:color="auto" w:fill="auto"/>
          </w:tcPr>
          <w:p w14:paraId="034A8701" w14:textId="1356620E" w:rsidR="007715B7" w:rsidRPr="00BF42C5" w:rsidRDefault="007715B7" w:rsidP="007715B7">
            <w:pPr>
              <w:spacing w:before="120" w:after="120" w:line="240" w:lineRule="auto"/>
              <w:rPr>
                <w:rFonts w:cs="Arial"/>
                <w:b/>
                <w:sz w:val="16"/>
                <w:szCs w:val="16"/>
                <w:lang w:eastAsia="de-DE" w:bidi="ar-SA"/>
              </w:rPr>
            </w:pPr>
            <w:r w:rsidRPr="00BF42C5">
              <w:rPr>
                <w:rFonts w:cs="Arial"/>
                <w:b/>
                <w:sz w:val="16"/>
                <w:szCs w:val="16"/>
                <w:lang w:eastAsia="de-DE" w:bidi="ar-SA"/>
              </w:rPr>
              <w:t xml:space="preserve">Respect de la </w:t>
            </w:r>
            <w:proofErr w:type="spellStart"/>
            <w:r w:rsidRPr="00BF42C5">
              <w:rPr>
                <w:rFonts w:cs="Arial"/>
                <w:b/>
                <w:sz w:val="16"/>
                <w:szCs w:val="16"/>
                <w:lang w:eastAsia="de-DE" w:bidi="ar-SA"/>
              </w:rPr>
              <w:t>Circ.-FINMA</w:t>
            </w:r>
            <w:proofErr w:type="spellEnd"/>
            <w:r w:rsidRPr="00BF42C5">
              <w:rPr>
                <w:rFonts w:cs="Arial"/>
                <w:b/>
                <w:sz w:val="16"/>
                <w:szCs w:val="16"/>
                <w:lang w:eastAsia="de-DE" w:bidi="ar-SA"/>
              </w:rPr>
              <w:t xml:space="preserve"> 17/6 </w:t>
            </w:r>
          </w:p>
        </w:tc>
        <w:tc>
          <w:tcPr>
            <w:tcW w:w="4139" w:type="dxa"/>
            <w:shd w:val="clear" w:color="auto" w:fill="auto"/>
          </w:tcPr>
          <w:p w14:paraId="5D29F087" w14:textId="2E5B6B1A" w:rsidR="007715B7" w:rsidRPr="00BF42C5" w:rsidRDefault="007715B7" w:rsidP="007715B7">
            <w:pPr>
              <w:spacing w:before="120" w:after="120" w:line="240" w:lineRule="auto"/>
              <w:rPr>
                <w:rFonts w:eastAsiaTheme="minorHAnsi" w:cs="Arial"/>
                <w:i/>
                <w:sz w:val="16"/>
                <w:szCs w:val="16"/>
                <w:lang w:eastAsia="en-US" w:bidi="ar-SA"/>
              </w:rPr>
            </w:pPr>
            <w:r w:rsidRPr="00BF42C5">
              <w:rPr>
                <w:rFonts w:eastAsiaTheme="minorHAnsi" w:cs="Arial"/>
                <w:i/>
                <w:sz w:val="16"/>
                <w:szCs w:val="16"/>
                <w:lang w:eastAsia="en-US" w:bidi="ar-SA"/>
              </w:rPr>
              <w:t>Evaluer le respect de</w:t>
            </w:r>
            <w:r w:rsidR="00787399" w:rsidRPr="00BF42C5">
              <w:rPr>
                <w:rFonts w:eastAsiaTheme="minorHAnsi" w:cs="Arial"/>
                <w:i/>
                <w:sz w:val="16"/>
                <w:szCs w:val="16"/>
                <w:lang w:eastAsia="en-US" w:bidi="ar-SA"/>
              </w:rPr>
              <w:t xml:space="preserve">s </w:t>
            </w:r>
            <w:r w:rsidRPr="00BF42C5">
              <w:rPr>
                <w:rFonts w:eastAsiaTheme="minorHAnsi" w:cs="Arial"/>
                <w:i/>
                <w:sz w:val="16"/>
                <w:szCs w:val="16"/>
                <w:lang w:eastAsia="en-US" w:bidi="ar-SA"/>
              </w:rPr>
              <w:t>exigence</w:t>
            </w:r>
            <w:r w:rsidR="00787399" w:rsidRPr="00BF42C5">
              <w:rPr>
                <w:rFonts w:eastAsiaTheme="minorHAnsi" w:cs="Arial"/>
                <w:i/>
                <w:sz w:val="16"/>
                <w:szCs w:val="16"/>
                <w:lang w:eastAsia="en-US" w:bidi="ar-SA"/>
              </w:rPr>
              <w:t>s</w:t>
            </w:r>
            <w:r w:rsidRPr="00BF42C5">
              <w:rPr>
                <w:rFonts w:eastAsiaTheme="minorHAnsi" w:cs="Arial"/>
                <w:i/>
                <w:sz w:val="16"/>
                <w:szCs w:val="16"/>
                <w:lang w:eastAsia="en-US" w:bidi="ar-SA"/>
              </w:rPr>
              <w:t xml:space="preserve"> de la circulaire dans le contexte de la transmission d'informations à des autor</w:t>
            </w:r>
            <w:r w:rsidR="00787399" w:rsidRPr="00BF42C5">
              <w:rPr>
                <w:rFonts w:eastAsiaTheme="minorHAnsi" w:cs="Arial"/>
                <w:i/>
                <w:sz w:val="16"/>
                <w:szCs w:val="16"/>
                <w:lang w:eastAsia="en-US" w:bidi="ar-SA"/>
              </w:rPr>
              <w:t>ités de surveillance étrangères et à d'autres services étrangers chargés de la surveillance,</w:t>
            </w:r>
            <w:r w:rsidRPr="00BF42C5">
              <w:rPr>
                <w:rFonts w:eastAsiaTheme="minorHAnsi" w:cs="Arial"/>
                <w:i/>
                <w:sz w:val="16"/>
                <w:szCs w:val="16"/>
                <w:lang w:eastAsia="en-US" w:bidi="ar-SA"/>
              </w:rPr>
              <w:t xml:space="preserve"> notamme</w:t>
            </w:r>
            <w:r w:rsidR="00764B45" w:rsidRPr="00764B45">
              <w:rPr>
                <w:rFonts w:eastAsiaTheme="minorHAnsi" w:cs="Arial"/>
                <w:i/>
                <w:sz w:val="16"/>
                <w:szCs w:val="16"/>
                <w:lang w:eastAsia="en-US" w:bidi="ar-SA"/>
              </w:rPr>
              <w:t>nt</w:t>
            </w:r>
            <w:r w:rsidRPr="00BF42C5">
              <w:rPr>
                <w:rFonts w:eastAsiaTheme="minorHAnsi" w:cs="Arial"/>
                <w:i/>
                <w:sz w:val="16"/>
                <w:szCs w:val="16"/>
                <w:lang w:eastAsia="en-US" w:bidi="ar-SA"/>
              </w:rPr>
              <w:t xml:space="preserve">: </w:t>
            </w:r>
          </w:p>
        </w:tc>
        <w:tc>
          <w:tcPr>
            <w:tcW w:w="3827" w:type="dxa"/>
            <w:shd w:val="clear" w:color="auto" w:fill="auto"/>
          </w:tcPr>
          <w:p w14:paraId="2CFD499B" w14:textId="77777777" w:rsidR="007715B7" w:rsidRPr="00BF42C5" w:rsidRDefault="007715B7" w:rsidP="007715B7">
            <w:pPr>
              <w:spacing w:before="120" w:after="120" w:line="240" w:lineRule="auto"/>
              <w:ind w:left="33"/>
              <w:rPr>
                <w:rFonts w:cs="Arial"/>
                <w:sz w:val="16"/>
                <w:szCs w:val="16"/>
                <w:lang w:eastAsia="de-DE" w:bidi="ar-SA"/>
              </w:rPr>
            </w:pPr>
          </w:p>
        </w:tc>
        <w:tc>
          <w:tcPr>
            <w:tcW w:w="3402" w:type="dxa"/>
            <w:shd w:val="clear" w:color="auto" w:fill="auto"/>
          </w:tcPr>
          <w:p w14:paraId="0BFD92A2" w14:textId="77777777" w:rsidR="007715B7" w:rsidRPr="00BF42C5" w:rsidRDefault="007715B7" w:rsidP="007715B7">
            <w:pPr>
              <w:spacing w:before="120" w:after="120" w:line="240" w:lineRule="auto"/>
              <w:rPr>
                <w:rFonts w:cs="Arial"/>
                <w:sz w:val="16"/>
                <w:szCs w:val="16"/>
                <w:lang w:eastAsia="de-DE" w:bidi="ar-SA"/>
              </w:rPr>
            </w:pPr>
          </w:p>
        </w:tc>
        <w:tc>
          <w:tcPr>
            <w:tcW w:w="992" w:type="dxa"/>
            <w:shd w:val="clear" w:color="auto" w:fill="auto"/>
          </w:tcPr>
          <w:p w14:paraId="19EF03BB" w14:textId="77777777" w:rsidR="007715B7" w:rsidRPr="00BF42C5" w:rsidRDefault="007715B7" w:rsidP="007715B7">
            <w:pPr>
              <w:spacing w:before="120" w:after="120" w:line="240" w:lineRule="auto"/>
              <w:rPr>
                <w:lang w:eastAsia="de-DE" w:bidi="ar-SA"/>
              </w:rPr>
            </w:pPr>
          </w:p>
        </w:tc>
      </w:tr>
      <w:tr w:rsidR="007715B7" w:rsidRPr="0070585F" w14:paraId="7E97A14E" w14:textId="77777777" w:rsidTr="007715B7">
        <w:trPr>
          <w:gridAfter w:val="1"/>
          <w:wAfter w:w="34" w:type="dxa"/>
        </w:trPr>
        <w:tc>
          <w:tcPr>
            <w:tcW w:w="531" w:type="dxa"/>
            <w:shd w:val="clear" w:color="auto" w:fill="auto"/>
          </w:tcPr>
          <w:p w14:paraId="1529A7B4" w14:textId="77777777" w:rsidR="007715B7" w:rsidRPr="00BF42C5" w:rsidRDefault="007715B7" w:rsidP="007715B7">
            <w:pPr>
              <w:spacing w:before="120" w:after="120" w:line="240" w:lineRule="auto"/>
              <w:rPr>
                <w:rFonts w:cs="Arial"/>
                <w:sz w:val="16"/>
                <w:szCs w:val="16"/>
                <w:lang w:eastAsia="de-DE" w:bidi="ar-SA"/>
              </w:rPr>
            </w:pPr>
          </w:p>
        </w:tc>
        <w:tc>
          <w:tcPr>
            <w:tcW w:w="1766" w:type="dxa"/>
            <w:shd w:val="clear" w:color="auto" w:fill="auto"/>
          </w:tcPr>
          <w:p w14:paraId="7A136F9E" w14:textId="77777777" w:rsidR="007715B7" w:rsidRPr="00BF42C5" w:rsidRDefault="007715B7" w:rsidP="007715B7">
            <w:pPr>
              <w:spacing w:before="120" w:after="120" w:line="240" w:lineRule="auto"/>
              <w:rPr>
                <w:rFonts w:cs="Arial"/>
                <w:b/>
                <w:sz w:val="16"/>
                <w:szCs w:val="16"/>
                <w:lang w:eastAsia="de-DE" w:bidi="ar-SA"/>
              </w:rPr>
            </w:pPr>
          </w:p>
        </w:tc>
        <w:tc>
          <w:tcPr>
            <w:tcW w:w="4139" w:type="dxa"/>
            <w:shd w:val="clear" w:color="auto" w:fill="auto"/>
          </w:tcPr>
          <w:p w14:paraId="56ADF3D3" w14:textId="4AC93610" w:rsidR="007715B7" w:rsidRPr="00BF42C5" w:rsidRDefault="007715B7" w:rsidP="007715B7">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 xml:space="preserve">Evaluer </w:t>
            </w:r>
            <w:r w:rsidR="00787399" w:rsidRPr="00BF42C5">
              <w:rPr>
                <w:rFonts w:eastAsiaTheme="minorHAnsi" w:cs="Arial"/>
                <w:sz w:val="16"/>
                <w:szCs w:val="16"/>
                <w:lang w:eastAsia="en-US" w:bidi="ar-SA"/>
              </w:rPr>
              <w:t xml:space="preserve">si la transmission est peu ou pas pertinente </w:t>
            </w:r>
            <w:r w:rsidR="00EC121A">
              <w:rPr>
                <w:rFonts w:eastAsiaTheme="minorHAnsi" w:cs="Arial"/>
                <w:sz w:val="16"/>
                <w:szCs w:val="16"/>
                <w:lang w:eastAsia="en-US" w:bidi="ar-SA"/>
              </w:rPr>
              <w:t xml:space="preserve">pour l’établissement </w:t>
            </w:r>
            <w:r w:rsidR="00787399" w:rsidRPr="00BF42C5">
              <w:rPr>
                <w:rFonts w:eastAsiaTheme="minorHAnsi" w:cs="Arial"/>
                <w:sz w:val="16"/>
                <w:szCs w:val="16"/>
                <w:lang w:eastAsia="en-US" w:bidi="ar-SA"/>
              </w:rPr>
              <w:t>:</w:t>
            </w:r>
          </w:p>
          <w:p w14:paraId="6A6FCBC7" w14:textId="760DF75D" w:rsidR="007715B7" w:rsidRPr="00BF42C5" w:rsidRDefault="007715B7" w:rsidP="007715B7">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Dans l</w:t>
            </w:r>
            <w:r w:rsidR="00787399" w:rsidRPr="00BF42C5">
              <w:rPr>
                <w:rFonts w:eastAsiaTheme="minorHAnsi" w:cs="Arial"/>
                <w:sz w:val="16"/>
                <w:szCs w:val="16"/>
                <w:lang w:eastAsia="en-US" w:bidi="ar-SA"/>
              </w:rPr>
              <w:t>'affirmative</w:t>
            </w:r>
            <w:r w:rsidRPr="00BF42C5">
              <w:rPr>
                <w:rFonts w:eastAsiaTheme="minorHAnsi" w:cs="Arial"/>
                <w:sz w:val="16"/>
                <w:szCs w:val="16"/>
                <w:lang w:eastAsia="en-US" w:bidi="ar-SA"/>
              </w:rPr>
              <w:t xml:space="preserve">, évaluer si l'établissement </w:t>
            </w:r>
            <w:r w:rsidR="00787399" w:rsidRPr="00BF42C5">
              <w:rPr>
                <w:rFonts w:eastAsiaTheme="minorHAnsi" w:cs="Arial"/>
                <w:sz w:val="16"/>
                <w:szCs w:val="16"/>
                <w:lang w:eastAsia="en-US" w:bidi="ar-SA"/>
              </w:rPr>
              <w:t>a implémenté des instructions afin de prévenir toute transmission directe avant la réalisation de mesures d'</w:t>
            </w:r>
            <w:proofErr w:type="spellStart"/>
            <w:r w:rsidR="00787399" w:rsidRPr="00BF42C5">
              <w:rPr>
                <w:rFonts w:eastAsiaTheme="minorHAnsi" w:cs="Arial"/>
                <w:sz w:val="16"/>
                <w:szCs w:val="16"/>
                <w:lang w:eastAsia="en-US" w:bidi="ar-SA"/>
              </w:rPr>
              <w:t>escalation</w:t>
            </w:r>
            <w:proofErr w:type="spellEnd"/>
            <w:r w:rsidR="00787399" w:rsidRPr="00BF42C5">
              <w:rPr>
                <w:rFonts w:eastAsiaTheme="minorHAnsi" w:cs="Arial"/>
                <w:sz w:val="16"/>
                <w:szCs w:val="16"/>
                <w:lang w:eastAsia="en-US" w:bidi="ar-SA"/>
              </w:rPr>
              <w:t xml:space="preserve"> et l'émission d'instructions, de </w:t>
            </w:r>
            <w:r w:rsidR="007706BB" w:rsidRPr="00BF42C5">
              <w:rPr>
                <w:rFonts w:eastAsiaTheme="minorHAnsi" w:cs="Arial"/>
                <w:sz w:val="16"/>
                <w:szCs w:val="16"/>
                <w:lang w:eastAsia="en-US" w:bidi="ar-SA"/>
              </w:rPr>
              <w:t>directives</w:t>
            </w:r>
            <w:r w:rsidR="00787399" w:rsidRPr="00BF42C5">
              <w:rPr>
                <w:rFonts w:eastAsiaTheme="minorHAnsi" w:cs="Arial"/>
                <w:sz w:val="16"/>
                <w:szCs w:val="16"/>
                <w:lang w:eastAsia="en-US" w:bidi="ar-SA"/>
              </w:rPr>
              <w:t xml:space="preserve"> internes et de processus formalisés. </w:t>
            </w:r>
          </w:p>
          <w:p w14:paraId="5DE9813C" w14:textId="4589A33D" w:rsidR="007715B7" w:rsidRPr="00BF42C5" w:rsidRDefault="007715B7" w:rsidP="009879DD">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Dans l</w:t>
            </w:r>
            <w:r w:rsidR="00787399" w:rsidRPr="00BF42C5">
              <w:rPr>
                <w:rFonts w:eastAsiaTheme="minorHAnsi" w:cs="Arial"/>
                <w:sz w:val="16"/>
                <w:szCs w:val="16"/>
                <w:lang w:eastAsia="en-US" w:bidi="ar-SA"/>
              </w:rPr>
              <w:t>a négative</w:t>
            </w:r>
            <w:r w:rsidRPr="00BF42C5">
              <w:rPr>
                <w:rFonts w:eastAsiaTheme="minorHAnsi" w:cs="Arial"/>
                <w:sz w:val="16"/>
                <w:szCs w:val="16"/>
                <w:lang w:eastAsia="en-US" w:bidi="ar-SA"/>
              </w:rPr>
              <w:t xml:space="preserve">, évaluer l'adéquation des instructions, directives internes et </w:t>
            </w:r>
            <w:r w:rsidR="00DA1A1B" w:rsidRPr="00BF42C5">
              <w:rPr>
                <w:rFonts w:eastAsiaTheme="minorHAnsi" w:cs="Arial"/>
                <w:sz w:val="16"/>
                <w:szCs w:val="16"/>
                <w:lang w:eastAsia="en-US" w:bidi="ar-SA"/>
              </w:rPr>
              <w:t>procédures</w:t>
            </w:r>
            <w:r w:rsidRPr="00BF42C5">
              <w:rPr>
                <w:rFonts w:eastAsiaTheme="minorHAnsi" w:cs="Arial"/>
                <w:sz w:val="16"/>
                <w:szCs w:val="16"/>
                <w:lang w:eastAsia="en-US" w:bidi="ar-SA"/>
              </w:rPr>
              <w:t xml:space="preserve"> formalisées dédiés à la transmission d'informations</w:t>
            </w:r>
            <w:r w:rsidR="007706BB" w:rsidRPr="0070585F">
              <w:t xml:space="preserve"> </w:t>
            </w:r>
            <w:r w:rsidR="007706BB" w:rsidRPr="0070585F">
              <w:rPr>
                <w:rFonts w:eastAsiaTheme="minorHAnsi" w:cs="Arial"/>
                <w:sz w:val="16"/>
                <w:szCs w:val="16"/>
                <w:lang w:eastAsia="en-US" w:bidi="ar-SA"/>
              </w:rPr>
              <w:t>à des autorités de surveillance étrangères et à d'autres services étrangers chargés de la surveillance</w:t>
            </w:r>
            <w:r w:rsidRPr="00BF42C5">
              <w:rPr>
                <w:rFonts w:eastAsiaTheme="minorHAnsi" w:cs="Arial"/>
                <w:sz w:val="16"/>
                <w:szCs w:val="16"/>
                <w:lang w:eastAsia="en-US" w:bidi="ar-SA"/>
              </w:rPr>
              <w:t xml:space="preserve"> </w:t>
            </w:r>
          </w:p>
        </w:tc>
        <w:tc>
          <w:tcPr>
            <w:tcW w:w="3827" w:type="dxa"/>
            <w:shd w:val="clear" w:color="auto" w:fill="auto"/>
          </w:tcPr>
          <w:p w14:paraId="620FC2DF" w14:textId="77777777" w:rsidR="007715B7" w:rsidRPr="00BF42C5" w:rsidRDefault="007715B7" w:rsidP="007715B7">
            <w:pPr>
              <w:spacing w:before="120" w:after="120" w:line="240" w:lineRule="auto"/>
              <w:ind w:left="33"/>
              <w:rPr>
                <w:rFonts w:cs="Arial"/>
                <w:sz w:val="16"/>
                <w:szCs w:val="16"/>
                <w:lang w:eastAsia="de-DE" w:bidi="ar-SA"/>
              </w:rPr>
            </w:pPr>
          </w:p>
        </w:tc>
        <w:tc>
          <w:tcPr>
            <w:tcW w:w="3402" w:type="dxa"/>
            <w:shd w:val="clear" w:color="auto" w:fill="auto"/>
          </w:tcPr>
          <w:p w14:paraId="11B3CA51" w14:textId="77777777" w:rsidR="007715B7" w:rsidRPr="00BF42C5" w:rsidRDefault="007715B7" w:rsidP="007715B7">
            <w:pPr>
              <w:spacing w:before="120" w:after="120" w:line="240" w:lineRule="auto"/>
              <w:rPr>
                <w:rFonts w:cs="Arial"/>
                <w:sz w:val="16"/>
                <w:szCs w:val="16"/>
                <w:lang w:eastAsia="de-DE" w:bidi="ar-SA"/>
              </w:rPr>
            </w:pPr>
          </w:p>
        </w:tc>
        <w:tc>
          <w:tcPr>
            <w:tcW w:w="992" w:type="dxa"/>
            <w:shd w:val="clear" w:color="auto" w:fill="auto"/>
          </w:tcPr>
          <w:p w14:paraId="39654F15" w14:textId="77777777" w:rsidR="007715B7" w:rsidRPr="00BF42C5" w:rsidRDefault="007715B7" w:rsidP="007715B7">
            <w:pPr>
              <w:spacing w:before="120" w:after="120" w:line="240" w:lineRule="auto"/>
              <w:rPr>
                <w:lang w:eastAsia="de-DE" w:bidi="ar-SA"/>
              </w:rPr>
            </w:pPr>
          </w:p>
        </w:tc>
      </w:tr>
      <w:tr w:rsidR="007715B7" w:rsidRPr="0070585F" w14:paraId="23D56CD8" w14:textId="77777777" w:rsidTr="007715B7">
        <w:trPr>
          <w:gridAfter w:val="1"/>
          <w:wAfter w:w="34" w:type="dxa"/>
        </w:trPr>
        <w:tc>
          <w:tcPr>
            <w:tcW w:w="531" w:type="dxa"/>
            <w:shd w:val="clear" w:color="auto" w:fill="auto"/>
          </w:tcPr>
          <w:p w14:paraId="1A1434E2" w14:textId="77777777" w:rsidR="007715B7" w:rsidRPr="00BF42C5" w:rsidRDefault="007715B7" w:rsidP="007715B7">
            <w:pPr>
              <w:spacing w:before="120" w:after="120" w:line="240" w:lineRule="auto"/>
              <w:rPr>
                <w:rFonts w:cs="Arial"/>
                <w:sz w:val="16"/>
                <w:szCs w:val="16"/>
                <w:lang w:eastAsia="de-DE" w:bidi="ar-SA"/>
              </w:rPr>
            </w:pPr>
          </w:p>
        </w:tc>
        <w:tc>
          <w:tcPr>
            <w:tcW w:w="1766" w:type="dxa"/>
            <w:shd w:val="clear" w:color="auto" w:fill="auto"/>
          </w:tcPr>
          <w:p w14:paraId="143D8C35" w14:textId="77777777" w:rsidR="007715B7" w:rsidRPr="00BF42C5" w:rsidRDefault="007715B7" w:rsidP="007715B7">
            <w:pPr>
              <w:spacing w:before="120" w:after="120" w:line="240" w:lineRule="auto"/>
              <w:rPr>
                <w:rFonts w:cs="Arial"/>
                <w:b/>
                <w:sz w:val="16"/>
                <w:szCs w:val="16"/>
                <w:lang w:eastAsia="de-DE" w:bidi="ar-SA"/>
              </w:rPr>
            </w:pPr>
          </w:p>
        </w:tc>
        <w:tc>
          <w:tcPr>
            <w:tcW w:w="4139" w:type="dxa"/>
            <w:shd w:val="clear" w:color="auto" w:fill="auto"/>
          </w:tcPr>
          <w:p w14:paraId="18389962" w14:textId="443DE331" w:rsidR="007715B7" w:rsidRPr="00BF42C5" w:rsidRDefault="00DA1A1B" w:rsidP="00F0172A">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 xml:space="preserve">Evaluer si la transmission d'informations non </w:t>
            </w:r>
            <w:r w:rsidR="00FA3258" w:rsidRPr="00BF42C5">
              <w:rPr>
                <w:rFonts w:eastAsiaTheme="minorHAnsi" w:cs="Arial"/>
                <w:sz w:val="16"/>
                <w:szCs w:val="16"/>
                <w:lang w:eastAsia="en-US" w:bidi="ar-SA"/>
              </w:rPr>
              <w:t>accessibles au public</w:t>
            </w:r>
            <w:r w:rsidRPr="00BF42C5">
              <w:rPr>
                <w:rFonts w:eastAsiaTheme="minorHAnsi" w:cs="Arial"/>
                <w:sz w:val="16"/>
                <w:szCs w:val="16"/>
                <w:lang w:eastAsia="en-US" w:bidi="ar-SA"/>
              </w:rPr>
              <w:t xml:space="preserve"> a pris en compte l</w:t>
            </w:r>
            <w:r w:rsidR="009879DD">
              <w:rPr>
                <w:rFonts w:eastAsiaTheme="minorHAnsi" w:cs="Arial"/>
                <w:sz w:val="16"/>
                <w:szCs w:val="16"/>
                <w:lang w:eastAsia="en-US" w:bidi="ar-SA"/>
              </w:rPr>
              <w:t>es</w:t>
            </w:r>
            <w:r w:rsidRPr="00BF42C5">
              <w:rPr>
                <w:rFonts w:eastAsiaTheme="minorHAnsi" w:cs="Arial"/>
                <w:sz w:val="16"/>
                <w:szCs w:val="16"/>
                <w:lang w:eastAsia="en-US" w:bidi="ar-SA"/>
              </w:rPr>
              <w:t xml:space="preserve"> </w:t>
            </w:r>
            <w:r w:rsidR="00764B45">
              <w:rPr>
                <w:rFonts w:eastAsiaTheme="minorHAnsi" w:cs="Arial"/>
                <w:sz w:val="16"/>
                <w:szCs w:val="16"/>
                <w:lang w:eastAsia="en-US" w:bidi="ar-SA"/>
              </w:rPr>
              <w:t>conditions</w:t>
            </w:r>
            <w:r w:rsidRPr="00BF42C5">
              <w:rPr>
                <w:rFonts w:eastAsiaTheme="minorHAnsi" w:cs="Arial"/>
                <w:sz w:val="16"/>
                <w:szCs w:val="16"/>
                <w:lang w:eastAsia="en-US" w:bidi="ar-SA"/>
              </w:rPr>
              <w:t xml:space="preserve"> préalable</w:t>
            </w:r>
            <w:r w:rsidR="009879DD">
              <w:rPr>
                <w:rFonts w:eastAsiaTheme="minorHAnsi" w:cs="Arial"/>
                <w:sz w:val="16"/>
                <w:szCs w:val="16"/>
                <w:lang w:eastAsia="en-US" w:bidi="ar-SA"/>
              </w:rPr>
              <w:t>s</w:t>
            </w:r>
            <w:r w:rsidRPr="00BF42C5">
              <w:rPr>
                <w:rFonts w:eastAsiaTheme="minorHAnsi" w:cs="Arial"/>
                <w:sz w:val="16"/>
                <w:szCs w:val="16"/>
                <w:lang w:eastAsia="en-US" w:bidi="ar-SA"/>
              </w:rPr>
              <w:t xml:space="preserve"> (Cm 19 </w:t>
            </w:r>
            <w:proofErr w:type="spellStart"/>
            <w:r w:rsidRPr="00BF42C5">
              <w:rPr>
                <w:rFonts w:eastAsiaTheme="minorHAnsi" w:cs="Arial"/>
                <w:sz w:val="16"/>
                <w:szCs w:val="16"/>
                <w:lang w:eastAsia="en-US" w:bidi="ar-SA"/>
              </w:rPr>
              <w:t>Circ.-FINMA</w:t>
            </w:r>
            <w:proofErr w:type="spellEnd"/>
            <w:r w:rsidRPr="00BF42C5">
              <w:rPr>
                <w:rFonts w:eastAsiaTheme="minorHAnsi" w:cs="Arial"/>
                <w:sz w:val="16"/>
                <w:szCs w:val="16"/>
                <w:lang w:eastAsia="en-US" w:bidi="ar-SA"/>
              </w:rPr>
              <w:t xml:space="preserve"> 17/6) ou, </w:t>
            </w:r>
            <w:r w:rsidR="00F0172A">
              <w:rPr>
                <w:rFonts w:eastAsiaTheme="minorHAnsi" w:cs="Arial"/>
                <w:sz w:val="16"/>
                <w:szCs w:val="16"/>
                <w:lang w:eastAsia="en-US" w:bidi="ar-SA"/>
              </w:rPr>
              <w:t>dans l'éventualité où</w:t>
            </w:r>
            <w:r w:rsidRPr="00BF42C5">
              <w:rPr>
                <w:rFonts w:eastAsiaTheme="minorHAnsi" w:cs="Arial"/>
                <w:sz w:val="16"/>
                <w:szCs w:val="16"/>
                <w:lang w:eastAsia="en-US" w:bidi="ar-SA"/>
              </w:rPr>
              <w:t xml:space="preserve"> l'autorité </w:t>
            </w:r>
            <w:r w:rsidR="00FA3258" w:rsidRPr="00BF42C5">
              <w:rPr>
                <w:rFonts w:eastAsiaTheme="minorHAnsi" w:cs="Arial"/>
                <w:sz w:val="16"/>
                <w:szCs w:val="16"/>
                <w:lang w:eastAsia="en-US" w:bidi="ar-SA"/>
              </w:rPr>
              <w:t>requérante</w:t>
            </w:r>
            <w:r w:rsidRPr="00BF42C5">
              <w:rPr>
                <w:rFonts w:eastAsiaTheme="minorHAnsi" w:cs="Arial"/>
                <w:sz w:val="16"/>
                <w:szCs w:val="16"/>
                <w:lang w:eastAsia="en-US" w:bidi="ar-SA"/>
              </w:rPr>
              <w:t xml:space="preserve"> ne remplit pas les conditions </w:t>
            </w:r>
            <w:r w:rsidR="009879DD">
              <w:rPr>
                <w:rFonts w:eastAsiaTheme="minorHAnsi" w:cs="Arial"/>
                <w:sz w:val="16"/>
                <w:szCs w:val="16"/>
                <w:lang w:eastAsia="en-US" w:bidi="ar-SA"/>
              </w:rPr>
              <w:t>applicables</w:t>
            </w:r>
            <w:r w:rsidRPr="00BF42C5">
              <w:rPr>
                <w:rFonts w:eastAsiaTheme="minorHAnsi" w:cs="Arial"/>
                <w:sz w:val="16"/>
                <w:szCs w:val="16"/>
                <w:lang w:eastAsia="en-US" w:bidi="ar-SA"/>
              </w:rPr>
              <w:t xml:space="preserve">, </w:t>
            </w:r>
            <w:r w:rsidR="009879DD">
              <w:rPr>
                <w:rFonts w:eastAsiaTheme="minorHAnsi" w:cs="Arial"/>
                <w:sz w:val="16"/>
                <w:szCs w:val="16"/>
                <w:lang w:eastAsia="en-US" w:bidi="ar-SA"/>
              </w:rPr>
              <w:t>si l’établissement</w:t>
            </w:r>
            <w:r w:rsidRPr="00BF42C5">
              <w:rPr>
                <w:rFonts w:eastAsiaTheme="minorHAnsi" w:cs="Arial"/>
                <w:sz w:val="16"/>
                <w:szCs w:val="16"/>
                <w:lang w:eastAsia="en-US" w:bidi="ar-SA"/>
              </w:rPr>
              <w:t xml:space="preserve"> a procédé à des </w:t>
            </w:r>
            <w:r w:rsidR="00FA3258" w:rsidRPr="00BF42C5">
              <w:rPr>
                <w:rFonts w:eastAsiaTheme="minorHAnsi" w:cs="Arial"/>
                <w:sz w:val="16"/>
                <w:szCs w:val="16"/>
                <w:lang w:eastAsia="en-US" w:bidi="ar-SA"/>
              </w:rPr>
              <w:t>vérifications</w:t>
            </w:r>
            <w:r w:rsidRPr="00BF42C5">
              <w:rPr>
                <w:rFonts w:eastAsiaTheme="minorHAnsi" w:cs="Arial"/>
                <w:sz w:val="16"/>
                <w:szCs w:val="16"/>
                <w:lang w:eastAsia="en-US" w:bidi="ar-SA"/>
              </w:rPr>
              <w:t xml:space="preserve"> </w:t>
            </w:r>
            <w:r w:rsidR="00FA3258" w:rsidRPr="00BF42C5">
              <w:rPr>
                <w:rFonts w:eastAsiaTheme="minorHAnsi" w:cs="Arial"/>
                <w:sz w:val="16"/>
                <w:szCs w:val="16"/>
                <w:lang w:eastAsia="en-US" w:bidi="ar-SA"/>
              </w:rPr>
              <w:t>supplémentaires</w:t>
            </w:r>
            <w:r w:rsidRPr="00BF42C5">
              <w:rPr>
                <w:rFonts w:eastAsiaTheme="minorHAnsi" w:cs="Arial"/>
                <w:sz w:val="16"/>
                <w:szCs w:val="16"/>
                <w:lang w:eastAsia="en-US" w:bidi="ar-SA"/>
              </w:rPr>
              <w:t xml:space="preserve"> (Cm 22 à 25 </w:t>
            </w:r>
            <w:proofErr w:type="spellStart"/>
            <w:r w:rsidRPr="00BF42C5">
              <w:rPr>
                <w:rFonts w:eastAsiaTheme="minorHAnsi" w:cs="Arial"/>
                <w:sz w:val="16"/>
                <w:szCs w:val="16"/>
                <w:lang w:eastAsia="en-US" w:bidi="ar-SA"/>
              </w:rPr>
              <w:t>Circ.-FINMA</w:t>
            </w:r>
            <w:proofErr w:type="spellEnd"/>
            <w:r w:rsidRPr="00BF42C5">
              <w:rPr>
                <w:rFonts w:eastAsiaTheme="minorHAnsi" w:cs="Arial"/>
                <w:sz w:val="16"/>
                <w:szCs w:val="16"/>
                <w:lang w:eastAsia="en-US" w:bidi="ar-SA"/>
              </w:rPr>
              <w:t xml:space="preserve"> 17/6) et a refusé la transmission en cas de doutes relatifs à la </w:t>
            </w:r>
            <w:r w:rsidR="00FA3258" w:rsidRPr="00BF42C5">
              <w:rPr>
                <w:rFonts w:eastAsiaTheme="minorHAnsi" w:cs="Arial"/>
                <w:sz w:val="16"/>
                <w:szCs w:val="16"/>
                <w:lang w:eastAsia="en-US" w:bidi="ar-SA"/>
              </w:rPr>
              <w:t>confidentialité</w:t>
            </w:r>
            <w:r w:rsidRPr="00BF42C5">
              <w:rPr>
                <w:rFonts w:eastAsiaTheme="minorHAnsi" w:cs="Arial"/>
                <w:sz w:val="16"/>
                <w:szCs w:val="16"/>
                <w:lang w:eastAsia="en-US" w:bidi="ar-SA"/>
              </w:rPr>
              <w:t xml:space="preserve"> et</w:t>
            </w:r>
            <w:r w:rsidR="00F0172A">
              <w:rPr>
                <w:rFonts w:eastAsiaTheme="minorHAnsi" w:cs="Arial"/>
                <w:sz w:val="16"/>
                <w:szCs w:val="16"/>
                <w:lang w:eastAsia="en-US" w:bidi="ar-SA"/>
              </w:rPr>
              <w:t xml:space="preserve"> à</w:t>
            </w:r>
            <w:r w:rsidRPr="00BF42C5">
              <w:rPr>
                <w:rFonts w:eastAsiaTheme="minorHAnsi" w:cs="Arial"/>
                <w:sz w:val="16"/>
                <w:szCs w:val="16"/>
                <w:lang w:eastAsia="en-US" w:bidi="ar-SA"/>
              </w:rPr>
              <w:t xml:space="preserve"> la spécialité (Cm 27 à 29 </w:t>
            </w:r>
            <w:proofErr w:type="spellStart"/>
            <w:r w:rsidRPr="00BF42C5">
              <w:rPr>
                <w:rFonts w:eastAsiaTheme="minorHAnsi" w:cs="Arial"/>
                <w:sz w:val="16"/>
                <w:szCs w:val="16"/>
                <w:lang w:eastAsia="en-US" w:bidi="ar-SA"/>
              </w:rPr>
              <w:t>Circ.-FINMA</w:t>
            </w:r>
            <w:proofErr w:type="spellEnd"/>
            <w:r w:rsidRPr="00BF42C5">
              <w:rPr>
                <w:rFonts w:eastAsiaTheme="minorHAnsi" w:cs="Arial"/>
                <w:sz w:val="16"/>
                <w:szCs w:val="16"/>
                <w:lang w:eastAsia="en-US" w:bidi="ar-SA"/>
              </w:rPr>
              <w:t xml:space="preserve"> 17/6). </w:t>
            </w:r>
          </w:p>
        </w:tc>
        <w:tc>
          <w:tcPr>
            <w:tcW w:w="3827" w:type="dxa"/>
            <w:shd w:val="clear" w:color="auto" w:fill="auto"/>
          </w:tcPr>
          <w:p w14:paraId="4E610D0F" w14:textId="3EEEBC47" w:rsidR="007715B7" w:rsidRPr="00BF42C5" w:rsidRDefault="00DA1A1B" w:rsidP="009879DD">
            <w:pPr>
              <w:spacing w:before="120" w:after="120" w:line="240" w:lineRule="auto"/>
              <w:rPr>
                <w:rFonts w:cs="Arial"/>
                <w:sz w:val="16"/>
                <w:szCs w:val="16"/>
                <w:lang w:eastAsia="de-DE" w:bidi="ar-SA"/>
              </w:rPr>
            </w:pPr>
            <w:r w:rsidRPr="00BF42C5">
              <w:rPr>
                <w:rFonts w:cs="Arial"/>
                <w:sz w:val="16"/>
                <w:szCs w:val="16"/>
                <w:lang w:eastAsia="de-DE" w:bidi="ar-SA"/>
              </w:rPr>
              <w:t xml:space="preserve">Tester au moyen d'un échantillon le respect des </w:t>
            </w:r>
            <w:r w:rsidR="009879DD">
              <w:rPr>
                <w:rFonts w:cs="Arial"/>
                <w:sz w:val="16"/>
                <w:szCs w:val="16"/>
                <w:lang w:eastAsia="de-DE" w:bidi="ar-SA"/>
              </w:rPr>
              <w:t>conditions préalables</w:t>
            </w:r>
            <w:r w:rsidRPr="00BF42C5">
              <w:rPr>
                <w:rFonts w:cs="Arial"/>
                <w:sz w:val="16"/>
                <w:szCs w:val="16"/>
                <w:lang w:eastAsia="de-DE" w:bidi="ar-SA"/>
              </w:rPr>
              <w:t xml:space="preserve"> (Cm 19 </w:t>
            </w:r>
            <w:proofErr w:type="spellStart"/>
            <w:r w:rsidRPr="00BF42C5">
              <w:rPr>
                <w:rFonts w:cs="Arial"/>
                <w:sz w:val="16"/>
                <w:szCs w:val="16"/>
                <w:lang w:eastAsia="de-DE" w:bidi="ar-SA"/>
              </w:rPr>
              <w:t>Circ.-FINMA</w:t>
            </w:r>
            <w:proofErr w:type="spellEnd"/>
            <w:r w:rsidRPr="00BF42C5">
              <w:rPr>
                <w:rFonts w:cs="Arial"/>
                <w:sz w:val="16"/>
                <w:szCs w:val="16"/>
                <w:lang w:eastAsia="de-DE" w:bidi="ar-SA"/>
              </w:rPr>
              <w:t xml:space="preserve"> 17/6), l'adéquation des </w:t>
            </w:r>
            <w:r w:rsidR="00FA3258" w:rsidRPr="00BF42C5">
              <w:rPr>
                <w:rFonts w:cs="Arial"/>
                <w:sz w:val="16"/>
                <w:szCs w:val="16"/>
                <w:lang w:eastAsia="de-DE" w:bidi="ar-SA"/>
              </w:rPr>
              <w:t>vérifications</w:t>
            </w:r>
            <w:r w:rsidRPr="00BF42C5">
              <w:rPr>
                <w:rFonts w:cs="Arial"/>
                <w:sz w:val="16"/>
                <w:szCs w:val="16"/>
                <w:lang w:eastAsia="de-DE" w:bidi="ar-SA"/>
              </w:rPr>
              <w:t xml:space="preserve"> supplémentaires requises (Cm 22 à 25 </w:t>
            </w:r>
            <w:proofErr w:type="spellStart"/>
            <w:r w:rsidRPr="00BF42C5">
              <w:rPr>
                <w:rFonts w:cs="Arial"/>
                <w:sz w:val="16"/>
                <w:szCs w:val="16"/>
                <w:lang w:eastAsia="de-DE" w:bidi="ar-SA"/>
              </w:rPr>
              <w:t>Circ.-FINMA</w:t>
            </w:r>
            <w:proofErr w:type="spellEnd"/>
            <w:r w:rsidRPr="00BF42C5">
              <w:rPr>
                <w:rFonts w:cs="Arial"/>
                <w:sz w:val="16"/>
                <w:szCs w:val="16"/>
                <w:lang w:eastAsia="de-DE" w:bidi="ar-SA"/>
              </w:rPr>
              <w:t xml:space="preserve"> 17/6) et enfin la </w:t>
            </w:r>
            <w:r w:rsidR="00FA3258" w:rsidRPr="00BF42C5">
              <w:rPr>
                <w:rFonts w:cs="Arial"/>
                <w:sz w:val="16"/>
                <w:szCs w:val="16"/>
                <w:lang w:eastAsia="de-DE" w:bidi="ar-SA"/>
              </w:rPr>
              <w:t>pertinence</w:t>
            </w:r>
            <w:r w:rsidRPr="00BF42C5">
              <w:rPr>
                <w:rFonts w:cs="Arial"/>
                <w:sz w:val="16"/>
                <w:szCs w:val="16"/>
                <w:lang w:eastAsia="de-DE" w:bidi="ar-SA"/>
              </w:rPr>
              <w:t xml:space="preserve"> de la transmission ou non-transmissi</w:t>
            </w:r>
            <w:r w:rsidR="00F0172A">
              <w:rPr>
                <w:rFonts w:cs="Arial"/>
                <w:sz w:val="16"/>
                <w:szCs w:val="16"/>
                <w:lang w:eastAsia="de-DE" w:bidi="ar-SA"/>
              </w:rPr>
              <w:t xml:space="preserve">on (Cm 27 à29 </w:t>
            </w:r>
            <w:proofErr w:type="spellStart"/>
            <w:r w:rsidR="00F0172A">
              <w:rPr>
                <w:rFonts w:cs="Arial"/>
                <w:sz w:val="16"/>
                <w:szCs w:val="16"/>
                <w:lang w:eastAsia="de-DE" w:bidi="ar-SA"/>
              </w:rPr>
              <w:t>Circ.-FINMA</w:t>
            </w:r>
            <w:proofErr w:type="spellEnd"/>
            <w:r w:rsidR="00F0172A">
              <w:rPr>
                <w:rFonts w:cs="Arial"/>
                <w:sz w:val="16"/>
                <w:szCs w:val="16"/>
                <w:lang w:eastAsia="de-DE" w:bidi="ar-SA"/>
              </w:rPr>
              <w:t xml:space="preserve"> 17/6).</w:t>
            </w:r>
            <w:r w:rsidR="007715B7" w:rsidRPr="00BF42C5">
              <w:rPr>
                <w:rFonts w:cs="Arial"/>
                <w:sz w:val="16"/>
                <w:szCs w:val="16"/>
                <w:lang w:eastAsia="de-DE" w:bidi="ar-SA"/>
              </w:rPr>
              <w:t xml:space="preserve"> </w:t>
            </w:r>
          </w:p>
        </w:tc>
        <w:tc>
          <w:tcPr>
            <w:tcW w:w="3402" w:type="dxa"/>
            <w:shd w:val="clear" w:color="auto" w:fill="auto"/>
          </w:tcPr>
          <w:p w14:paraId="7C3EC4B9" w14:textId="77777777" w:rsidR="007715B7" w:rsidRPr="00BF42C5" w:rsidRDefault="007715B7" w:rsidP="007715B7">
            <w:pPr>
              <w:spacing w:before="120" w:after="120" w:line="240" w:lineRule="auto"/>
              <w:rPr>
                <w:rFonts w:cs="Arial"/>
                <w:sz w:val="16"/>
                <w:szCs w:val="16"/>
                <w:lang w:eastAsia="de-DE" w:bidi="ar-SA"/>
              </w:rPr>
            </w:pPr>
          </w:p>
        </w:tc>
        <w:tc>
          <w:tcPr>
            <w:tcW w:w="992" w:type="dxa"/>
            <w:shd w:val="clear" w:color="auto" w:fill="auto"/>
          </w:tcPr>
          <w:p w14:paraId="0F0DE9F7" w14:textId="77777777" w:rsidR="007715B7" w:rsidRPr="00BF42C5" w:rsidRDefault="007715B7" w:rsidP="007715B7">
            <w:pPr>
              <w:spacing w:before="120" w:after="120" w:line="240" w:lineRule="auto"/>
              <w:rPr>
                <w:lang w:eastAsia="de-DE" w:bidi="ar-SA"/>
              </w:rPr>
            </w:pPr>
          </w:p>
        </w:tc>
      </w:tr>
      <w:tr w:rsidR="007715B7" w:rsidRPr="0070585F" w14:paraId="5795AE16" w14:textId="77777777" w:rsidTr="007715B7">
        <w:trPr>
          <w:gridAfter w:val="1"/>
          <w:wAfter w:w="34" w:type="dxa"/>
        </w:trPr>
        <w:tc>
          <w:tcPr>
            <w:tcW w:w="531" w:type="dxa"/>
            <w:shd w:val="clear" w:color="auto" w:fill="auto"/>
          </w:tcPr>
          <w:p w14:paraId="4DBD5237" w14:textId="77777777" w:rsidR="007715B7" w:rsidRPr="00BF42C5" w:rsidRDefault="007715B7" w:rsidP="007715B7">
            <w:pPr>
              <w:spacing w:before="120" w:after="120" w:line="240" w:lineRule="auto"/>
              <w:rPr>
                <w:rFonts w:cs="Arial"/>
                <w:sz w:val="16"/>
                <w:szCs w:val="16"/>
                <w:lang w:eastAsia="de-DE" w:bidi="ar-SA"/>
              </w:rPr>
            </w:pPr>
          </w:p>
        </w:tc>
        <w:tc>
          <w:tcPr>
            <w:tcW w:w="1766" w:type="dxa"/>
            <w:shd w:val="clear" w:color="auto" w:fill="auto"/>
          </w:tcPr>
          <w:p w14:paraId="7307E736" w14:textId="77777777" w:rsidR="007715B7" w:rsidRPr="00BF42C5" w:rsidRDefault="007715B7" w:rsidP="007715B7">
            <w:pPr>
              <w:spacing w:before="120" w:after="120" w:line="240" w:lineRule="auto"/>
              <w:rPr>
                <w:rFonts w:cs="Arial"/>
                <w:b/>
                <w:sz w:val="16"/>
                <w:szCs w:val="16"/>
                <w:lang w:eastAsia="de-DE" w:bidi="ar-SA"/>
              </w:rPr>
            </w:pPr>
          </w:p>
        </w:tc>
        <w:tc>
          <w:tcPr>
            <w:tcW w:w="4139" w:type="dxa"/>
            <w:shd w:val="clear" w:color="auto" w:fill="auto"/>
          </w:tcPr>
          <w:p w14:paraId="113DFDA7" w14:textId="240BB9C6" w:rsidR="007715B7" w:rsidRPr="00BF42C5" w:rsidRDefault="00DA1A1B" w:rsidP="00FA3258">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Evaluer si l'établissement respect</w:t>
            </w:r>
            <w:r w:rsidR="00FA3258" w:rsidRPr="00BF42C5">
              <w:rPr>
                <w:rFonts w:eastAsiaTheme="minorHAnsi" w:cs="Arial"/>
                <w:sz w:val="16"/>
                <w:szCs w:val="16"/>
                <w:lang w:eastAsia="en-US" w:bidi="ar-SA"/>
              </w:rPr>
              <w:t>e</w:t>
            </w:r>
            <w:r w:rsidRPr="00BF42C5">
              <w:rPr>
                <w:rFonts w:eastAsiaTheme="minorHAnsi" w:cs="Arial"/>
                <w:sz w:val="16"/>
                <w:szCs w:val="16"/>
                <w:lang w:eastAsia="en-US" w:bidi="ar-SA"/>
              </w:rPr>
              <w:t xml:space="preserve"> les prescriptions concernant la </w:t>
            </w:r>
            <w:r w:rsidR="00FA3258" w:rsidRPr="00BF42C5">
              <w:rPr>
                <w:rFonts w:eastAsiaTheme="minorHAnsi" w:cs="Arial"/>
                <w:sz w:val="16"/>
                <w:szCs w:val="16"/>
                <w:lang w:eastAsia="en-US" w:bidi="ar-SA"/>
              </w:rPr>
              <w:t>préservation</w:t>
            </w:r>
            <w:r w:rsidRPr="00BF42C5">
              <w:rPr>
                <w:rFonts w:eastAsiaTheme="minorHAnsi" w:cs="Arial"/>
                <w:sz w:val="16"/>
                <w:szCs w:val="16"/>
                <w:lang w:eastAsia="en-US" w:bidi="ar-SA"/>
              </w:rPr>
              <w:t xml:space="preserve"> des droits des clients et </w:t>
            </w:r>
            <w:r w:rsidR="00FA3258" w:rsidRPr="00BF42C5">
              <w:rPr>
                <w:rFonts w:eastAsiaTheme="minorHAnsi" w:cs="Arial"/>
                <w:sz w:val="16"/>
                <w:szCs w:val="16"/>
                <w:lang w:eastAsia="en-US" w:bidi="ar-SA"/>
              </w:rPr>
              <w:t>des tiers</w:t>
            </w:r>
            <w:r w:rsidRPr="00BF42C5">
              <w:rPr>
                <w:rFonts w:eastAsiaTheme="minorHAnsi" w:cs="Arial"/>
                <w:sz w:val="16"/>
                <w:szCs w:val="16"/>
                <w:lang w:eastAsia="en-US" w:bidi="ar-SA"/>
              </w:rPr>
              <w:t xml:space="preserve"> (Cm 30 à 31 </w:t>
            </w:r>
            <w:proofErr w:type="spellStart"/>
            <w:r w:rsidRPr="00BF42C5">
              <w:rPr>
                <w:rFonts w:eastAsiaTheme="minorHAnsi" w:cs="Arial"/>
                <w:sz w:val="16"/>
                <w:szCs w:val="16"/>
                <w:lang w:eastAsia="en-US" w:bidi="ar-SA"/>
              </w:rPr>
              <w:t>Circ.-FINMA</w:t>
            </w:r>
            <w:proofErr w:type="spellEnd"/>
            <w:r w:rsidRPr="00BF42C5">
              <w:rPr>
                <w:rFonts w:eastAsiaTheme="minorHAnsi" w:cs="Arial"/>
                <w:sz w:val="16"/>
                <w:szCs w:val="16"/>
                <w:lang w:eastAsia="en-US" w:bidi="ar-SA"/>
              </w:rPr>
              <w:t xml:space="preserve"> 17/6).</w:t>
            </w:r>
          </w:p>
        </w:tc>
        <w:tc>
          <w:tcPr>
            <w:tcW w:w="3827" w:type="dxa"/>
            <w:shd w:val="clear" w:color="auto" w:fill="auto"/>
          </w:tcPr>
          <w:p w14:paraId="1238AD0A" w14:textId="77777777" w:rsidR="007715B7" w:rsidRPr="00BF42C5" w:rsidRDefault="007715B7" w:rsidP="007715B7">
            <w:pPr>
              <w:spacing w:before="120" w:after="120" w:line="240" w:lineRule="auto"/>
              <w:ind w:left="33"/>
              <w:rPr>
                <w:rFonts w:cs="Arial"/>
                <w:sz w:val="16"/>
                <w:szCs w:val="16"/>
                <w:lang w:eastAsia="de-DE" w:bidi="ar-SA"/>
              </w:rPr>
            </w:pPr>
          </w:p>
        </w:tc>
        <w:tc>
          <w:tcPr>
            <w:tcW w:w="3402" w:type="dxa"/>
            <w:shd w:val="clear" w:color="auto" w:fill="auto"/>
          </w:tcPr>
          <w:p w14:paraId="2353030B" w14:textId="77777777" w:rsidR="007715B7" w:rsidRPr="00BF42C5" w:rsidRDefault="007715B7" w:rsidP="007715B7">
            <w:pPr>
              <w:spacing w:before="120" w:after="120" w:line="240" w:lineRule="auto"/>
              <w:rPr>
                <w:rFonts w:cs="Arial"/>
                <w:sz w:val="16"/>
                <w:szCs w:val="16"/>
                <w:lang w:eastAsia="de-DE" w:bidi="ar-SA"/>
              </w:rPr>
            </w:pPr>
          </w:p>
        </w:tc>
        <w:tc>
          <w:tcPr>
            <w:tcW w:w="992" w:type="dxa"/>
            <w:shd w:val="clear" w:color="auto" w:fill="auto"/>
          </w:tcPr>
          <w:p w14:paraId="42A88F7E" w14:textId="77777777" w:rsidR="007715B7" w:rsidRPr="00BF42C5" w:rsidRDefault="007715B7" w:rsidP="007715B7">
            <w:pPr>
              <w:spacing w:before="120" w:after="120" w:line="240" w:lineRule="auto"/>
              <w:rPr>
                <w:lang w:eastAsia="de-DE" w:bidi="ar-SA"/>
              </w:rPr>
            </w:pPr>
          </w:p>
        </w:tc>
      </w:tr>
      <w:tr w:rsidR="007715B7" w:rsidRPr="0070585F" w14:paraId="2378891A" w14:textId="77777777" w:rsidTr="007715B7">
        <w:trPr>
          <w:gridAfter w:val="1"/>
          <w:wAfter w:w="34" w:type="dxa"/>
        </w:trPr>
        <w:tc>
          <w:tcPr>
            <w:tcW w:w="531" w:type="dxa"/>
            <w:shd w:val="clear" w:color="auto" w:fill="auto"/>
          </w:tcPr>
          <w:p w14:paraId="24446F9D" w14:textId="77777777" w:rsidR="007715B7" w:rsidRPr="00BF42C5" w:rsidRDefault="007715B7" w:rsidP="007715B7">
            <w:pPr>
              <w:spacing w:before="120" w:after="120" w:line="240" w:lineRule="auto"/>
              <w:rPr>
                <w:rFonts w:cs="Arial"/>
                <w:sz w:val="16"/>
                <w:szCs w:val="16"/>
                <w:lang w:eastAsia="de-DE" w:bidi="ar-SA"/>
              </w:rPr>
            </w:pPr>
          </w:p>
        </w:tc>
        <w:tc>
          <w:tcPr>
            <w:tcW w:w="1766" w:type="dxa"/>
            <w:shd w:val="clear" w:color="auto" w:fill="auto"/>
          </w:tcPr>
          <w:p w14:paraId="707AA9E8" w14:textId="77777777" w:rsidR="007715B7" w:rsidRPr="00BF42C5" w:rsidRDefault="007715B7" w:rsidP="007715B7">
            <w:pPr>
              <w:spacing w:before="120" w:after="120" w:line="240" w:lineRule="auto"/>
              <w:rPr>
                <w:rFonts w:cs="Arial"/>
                <w:b/>
                <w:sz w:val="16"/>
                <w:szCs w:val="16"/>
                <w:lang w:eastAsia="de-DE" w:bidi="ar-SA"/>
              </w:rPr>
            </w:pPr>
          </w:p>
        </w:tc>
        <w:tc>
          <w:tcPr>
            <w:tcW w:w="4139" w:type="dxa"/>
            <w:shd w:val="clear" w:color="auto" w:fill="auto"/>
          </w:tcPr>
          <w:p w14:paraId="2CD51B40" w14:textId="25F126E1" w:rsidR="007715B7" w:rsidRPr="00BF42C5" w:rsidRDefault="00DA1A1B" w:rsidP="007706BB">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 xml:space="preserve">Evaluer si la transmission d'informations relatives aux opérations faites pour des clients et </w:t>
            </w:r>
            <w:r w:rsidR="007706BB" w:rsidRPr="00BF42C5">
              <w:rPr>
                <w:rFonts w:eastAsiaTheme="minorHAnsi" w:cs="Arial"/>
                <w:sz w:val="16"/>
                <w:szCs w:val="16"/>
                <w:lang w:eastAsia="en-US" w:bidi="ar-SA"/>
              </w:rPr>
              <w:t>des assujettis</w:t>
            </w:r>
            <w:r w:rsidRPr="00BF42C5">
              <w:rPr>
                <w:rFonts w:eastAsiaTheme="minorHAnsi" w:cs="Arial"/>
                <w:sz w:val="16"/>
                <w:szCs w:val="16"/>
                <w:lang w:eastAsia="en-US" w:bidi="ar-SA"/>
              </w:rPr>
              <w:t xml:space="preserve"> (en application de l'art. 42c al. 2 LFINMA) a porté uniquement sur des opérations faites par ces derniers (Cm 39 à 41 </w:t>
            </w:r>
            <w:proofErr w:type="spellStart"/>
            <w:r w:rsidRPr="00BF42C5">
              <w:rPr>
                <w:rFonts w:eastAsiaTheme="minorHAnsi" w:cs="Arial"/>
                <w:sz w:val="16"/>
                <w:szCs w:val="16"/>
                <w:lang w:eastAsia="en-US" w:bidi="ar-SA"/>
              </w:rPr>
              <w:t>Circ.-FINMA</w:t>
            </w:r>
            <w:proofErr w:type="spellEnd"/>
            <w:r w:rsidRPr="00BF42C5">
              <w:rPr>
                <w:rFonts w:eastAsiaTheme="minorHAnsi" w:cs="Arial"/>
                <w:sz w:val="16"/>
                <w:szCs w:val="16"/>
                <w:lang w:eastAsia="en-US" w:bidi="ar-SA"/>
              </w:rPr>
              <w:t xml:space="preserve"> 17/6).</w:t>
            </w:r>
          </w:p>
        </w:tc>
        <w:tc>
          <w:tcPr>
            <w:tcW w:w="3827" w:type="dxa"/>
            <w:shd w:val="clear" w:color="auto" w:fill="auto"/>
          </w:tcPr>
          <w:p w14:paraId="0683245F" w14:textId="03B29B56" w:rsidR="007715B7" w:rsidRPr="00BF42C5" w:rsidRDefault="00DA1A1B" w:rsidP="007715B7">
            <w:pPr>
              <w:spacing w:before="120" w:after="120" w:line="240" w:lineRule="auto"/>
              <w:ind w:left="33"/>
              <w:rPr>
                <w:rFonts w:cs="Arial"/>
                <w:sz w:val="16"/>
                <w:szCs w:val="16"/>
                <w:lang w:eastAsia="de-DE" w:bidi="ar-SA"/>
              </w:rPr>
            </w:pPr>
            <w:r w:rsidRPr="00BF42C5">
              <w:rPr>
                <w:rFonts w:cs="Arial"/>
                <w:sz w:val="16"/>
                <w:szCs w:val="16"/>
                <w:lang w:eastAsia="de-DE" w:bidi="ar-SA"/>
              </w:rPr>
              <w:t xml:space="preserve">Tester au moyen d'un échantillon le respect des prescriptions concernant la transmission d'informations (Cm 39 à 41 </w:t>
            </w:r>
            <w:proofErr w:type="spellStart"/>
            <w:r w:rsidRPr="00BF42C5">
              <w:rPr>
                <w:rFonts w:cs="Arial"/>
                <w:sz w:val="16"/>
                <w:szCs w:val="16"/>
                <w:lang w:eastAsia="de-DE" w:bidi="ar-SA"/>
              </w:rPr>
              <w:t>Circ.-FINMA</w:t>
            </w:r>
            <w:proofErr w:type="spellEnd"/>
            <w:r w:rsidRPr="00BF42C5">
              <w:rPr>
                <w:rFonts w:cs="Arial"/>
                <w:sz w:val="16"/>
                <w:szCs w:val="16"/>
                <w:lang w:eastAsia="de-DE" w:bidi="ar-SA"/>
              </w:rPr>
              <w:t xml:space="preserve"> 17/6)</w:t>
            </w:r>
            <w:r w:rsidR="00F0172A">
              <w:rPr>
                <w:rFonts w:cs="Arial"/>
                <w:sz w:val="16"/>
                <w:szCs w:val="16"/>
                <w:lang w:eastAsia="de-DE" w:bidi="ar-SA"/>
              </w:rPr>
              <w:t>.</w:t>
            </w:r>
          </w:p>
        </w:tc>
        <w:tc>
          <w:tcPr>
            <w:tcW w:w="3402" w:type="dxa"/>
            <w:shd w:val="clear" w:color="auto" w:fill="auto"/>
          </w:tcPr>
          <w:p w14:paraId="7016F3E0" w14:textId="77777777" w:rsidR="007715B7" w:rsidRPr="00BF42C5" w:rsidRDefault="007715B7" w:rsidP="007715B7">
            <w:pPr>
              <w:spacing w:before="120" w:after="120" w:line="240" w:lineRule="auto"/>
              <w:rPr>
                <w:rFonts w:cs="Arial"/>
                <w:sz w:val="16"/>
                <w:szCs w:val="16"/>
                <w:lang w:eastAsia="de-DE" w:bidi="ar-SA"/>
              </w:rPr>
            </w:pPr>
          </w:p>
        </w:tc>
        <w:tc>
          <w:tcPr>
            <w:tcW w:w="992" w:type="dxa"/>
            <w:shd w:val="clear" w:color="auto" w:fill="auto"/>
          </w:tcPr>
          <w:p w14:paraId="3B96CE63" w14:textId="77777777" w:rsidR="007715B7" w:rsidRPr="00BF42C5" w:rsidRDefault="007715B7" w:rsidP="007715B7">
            <w:pPr>
              <w:spacing w:before="120" w:after="120" w:line="240" w:lineRule="auto"/>
              <w:rPr>
                <w:lang w:eastAsia="de-DE" w:bidi="ar-SA"/>
              </w:rPr>
            </w:pPr>
          </w:p>
        </w:tc>
      </w:tr>
      <w:tr w:rsidR="007715B7" w:rsidRPr="00DA1A1B" w14:paraId="3FCF71EC" w14:textId="77777777" w:rsidTr="007715B7">
        <w:trPr>
          <w:gridAfter w:val="1"/>
          <w:wAfter w:w="34" w:type="dxa"/>
        </w:trPr>
        <w:tc>
          <w:tcPr>
            <w:tcW w:w="531" w:type="dxa"/>
            <w:shd w:val="clear" w:color="auto" w:fill="auto"/>
          </w:tcPr>
          <w:p w14:paraId="62307BD1" w14:textId="77777777" w:rsidR="007715B7" w:rsidRPr="00BF42C5" w:rsidRDefault="007715B7" w:rsidP="007715B7">
            <w:pPr>
              <w:spacing w:before="120" w:after="120" w:line="240" w:lineRule="auto"/>
              <w:rPr>
                <w:rFonts w:cs="Arial"/>
                <w:sz w:val="16"/>
                <w:szCs w:val="16"/>
                <w:lang w:eastAsia="de-DE" w:bidi="ar-SA"/>
              </w:rPr>
            </w:pPr>
          </w:p>
        </w:tc>
        <w:tc>
          <w:tcPr>
            <w:tcW w:w="1766" w:type="dxa"/>
            <w:shd w:val="clear" w:color="auto" w:fill="auto"/>
          </w:tcPr>
          <w:p w14:paraId="790AE4CD" w14:textId="77777777" w:rsidR="007715B7" w:rsidRPr="00BF42C5" w:rsidRDefault="007715B7" w:rsidP="007715B7">
            <w:pPr>
              <w:spacing w:before="120" w:after="120" w:line="240" w:lineRule="auto"/>
              <w:rPr>
                <w:rFonts w:cs="Arial"/>
                <w:b/>
                <w:sz w:val="16"/>
                <w:szCs w:val="16"/>
                <w:lang w:eastAsia="de-DE" w:bidi="ar-SA"/>
              </w:rPr>
            </w:pPr>
          </w:p>
        </w:tc>
        <w:tc>
          <w:tcPr>
            <w:tcW w:w="4139" w:type="dxa"/>
            <w:shd w:val="clear" w:color="auto" w:fill="auto"/>
          </w:tcPr>
          <w:p w14:paraId="31F8918C" w14:textId="79FFA192" w:rsidR="007715B7" w:rsidRPr="00BF42C5" w:rsidRDefault="00DA1A1B" w:rsidP="007715B7">
            <w:pPr>
              <w:spacing w:before="120" w:after="120" w:line="240" w:lineRule="auto"/>
              <w:rPr>
                <w:rFonts w:eastAsiaTheme="minorHAnsi" w:cs="Arial"/>
                <w:sz w:val="16"/>
                <w:szCs w:val="16"/>
                <w:lang w:eastAsia="en-US" w:bidi="ar-SA"/>
              </w:rPr>
            </w:pPr>
            <w:r w:rsidRPr="00BF42C5">
              <w:rPr>
                <w:rFonts w:eastAsiaTheme="minorHAnsi" w:cs="Arial"/>
                <w:sz w:val="16"/>
                <w:szCs w:val="16"/>
                <w:lang w:eastAsia="en-US" w:bidi="ar-SA"/>
              </w:rPr>
              <w:t xml:space="preserve">Evaluer si l'établissement respecte ses devoirs d'informations et de </w:t>
            </w:r>
            <w:proofErr w:type="spellStart"/>
            <w:r w:rsidRPr="00BF42C5">
              <w:rPr>
                <w:rFonts w:eastAsiaTheme="minorHAnsi" w:cs="Arial"/>
                <w:sz w:val="16"/>
                <w:szCs w:val="16"/>
                <w:lang w:eastAsia="en-US" w:bidi="ar-SA"/>
              </w:rPr>
              <w:t>reporting</w:t>
            </w:r>
            <w:proofErr w:type="spellEnd"/>
            <w:r w:rsidRPr="00BF42C5">
              <w:rPr>
                <w:rFonts w:eastAsiaTheme="minorHAnsi" w:cs="Arial"/>
                <w:sz w:val="16"/>
                <w:szCs w:val="16"/>
                <w:lang w:eastAsia="en-US" w:bidi="ar-SA"/>
              </w:rPr>
              <w:t xml:space="preserve"> à l'égard de la FINMA (Cm 43 à 57 </w:t>
            </w:r>
            <w:proofErr w:type="spellStart"/>
            <w:r w:rsidRPr="00BF42C5">
              <w:rPr>
                <w:rFonts w:eastAsiaTheme="minorHAnsi" w:cs="Arial"/>
                <w:sz w:val="16"/>
                <w:szCs w:val="16"/>
                <w:lang w:eastAsia="en-US" w:bidi="ar-SA"/>
              </w:rPr>
              <w:t>Circ.-FINMA</w:t>
            </w:r>
            <w:proofErr w:type="spellEnd"/>
            <w:r w:rsidRPr="00BF42C5">
              <w:rPr>
                <w:rFonts w:eastAsiaTheme="minorHAnsi" w:cs="Arial"/>
                <w:sz w:val="16"/>
                <w:szCs w:val="16"/>
                <w:lang w:eastAsia="en-US" w:bidi="ar-SA"/>
              </w:rPr>
              <w:t xml:space="preserve"> 17/6).</w:t>
            </w:r>
          </w:p>
        </w:tc>
        <w:tc>
          <w:tcPr>
            <w:tcW w:w="3827" w:type="dxa"/>
            <w:shd w:val="clear" w:color="auto" w:fill="auto"/>
          </w:tcPr>
          <w:p w14:paraId="27F4721D" w14:textId="18D13DCD" w:rsidR="007715B7" w:rsidRPr="00BF42C5" w:rsidRDefault="00DA1A1B" w:rsidP="007715B7">
            <w:pPr>
              <w:spacing w:before="120" w:after="120" w:line="240" w:lineRule="auto"/>
              <w:ind w:left="33"/>
              <w:rPr>
                <w:rFonts w:cs="Arial"/>
                <w:sz w:val="16"/>
                <w:szCs w:val="16"/>
                <w:lang w:eastAsia="de-DE" w:bidi="ar-SA"/>
              </w:rPr>
            </w:pPr>
            <w:r w:rsidRPr="00BF42C5">
              <w:rPr>
                <w:rFonts w:cs="Arial"/>
                <w:sz w:val="16"/>
                <w:szCs w:val="16"/>
                <w:lang w:eastAsia="de-DE" w:bidi="ar-SA"/>
              </w:rPr>
              <w:t xml:space="preserve">Tester au moyen d'un échantillon le </w:t>
            </w:r>
            <w:r w:rsidR="00FA3258" w:rsidRPr="00BF42C5">
              <w:rPr>
                <w:rFonts w:cs="Arial"/>
                <w:sz w:val="16"/>
                <w:szCs w:val="16"/>
                <w:lang w:eastAsia="de-DE" w:bidi="ar-SA"/>
              </w:rPr>
              <w:t>respect</w:t>
            </w:r>
            <w:r w:rsidRPr="00BF42C5">
              <w:rPr>
                <w:rFonts w:cs="Arial"/>
                <w:sz w:val="16"/>
                <w:szCs w:val="16"/>
                <w:lang w:eastAsia="de-DE" w:bidi="ar-SA"/>
              </w:rPr>
              <w:t xml:space="preserve"> des devoirs d'information et de </w:t>
            </w:r>
            <w:proofErr w:type="spellStart"/>
            <w:r w:rsidRPr="00BF42C5">
              <w:rPr>
                <w:rFonts w:cs="Arial"/>
                <w:sz w:val="16"/>
                <w:szCs w:val="16"/>
                <w:lang w:eastAsia="de-DE" w:bidi="ar-SA"/>
              </w:rPr>
              <w:t>reporting</w:t>
            </w:r>
            <w:proofErr w:type="spellEnd"/>
            <w:r w:rsidRPr="00BF42C5">
              <w:rPr>
                <w:rFonts w:cs="Arial"/>
                <w:sz w:val="16"/>
                <w:szCs w:val="16"/>
                <w:lang w:eastAsia="de-DE" w:bidi="ar-SA"/>
              </w:rPr>
              <w:t xml:space="preserve"> à l'égard de la FINMA (Cm 43 à 57 </w:t>
            </w:r>
            <w:proofErr w:type="spellStart"/>
            <w:r w:rsidRPr="00BF42C5">
              <w:rPr>
                <w:rFonts w:cs="Arial"/>
                <w:sz w:val="16"/>
                <w:szCs w:val="16"/>
                <w:lang w:eastAsia="de-DE" w:bidi="ar-SA"/>
              </w:rPr>
              <w:t>Circ.-FINMA</w:t>
            </w:r>
            <w:proofErr w:type="spellEnd"/>
            <w:r w:rsidRPr="00BF42C5">
              <w:rPr>
                <w:rFonts w:cs="Arial"/>
                <w:sz w:val="16"/>
                <w:szCs w:val="16"/>
                <w:lang w:eastAsia="de-DE" w:bidi="ar-SA"/>
              </w:rPr>
              <w:t xml:space="preserve"> 17/6).</w:t>
            </w:r>
          </w:p>
        </w:tc>
        <w:tc>
          <w:tcPr>
            <w:tcW w:w="3402" w:type="dxa"/>
            <w:shd w:val="clear" w:color="auto" w:fill="auto"/>
          </w:tcPr>
          <w:p w14:paraId="67CA9C99" w14:textId="77777777" w:rsidR="007715B7" w:rsidRPr="00BF42C5" w:rsidRDefault="007715B7" w:rsidP="007715B7">
            <w:pPr>
              <w:spacing w:before="120" w:after="120" w:line="240" w:lineRule="auto"/>
              <w:rPr>
                <w:rFonts w:cs="Arial"/>
                <w:sz w:val="16"/>
                <w:szCs w:val="16"/>
                <w:lang w:eastAsia="de-DE" w:bidi="ar-SA"/>
              </w:rPr>
            </w:pPr>
          </w:p>
        </w:tc>
        <w:tc>
          <w:tcPr>
            <w:tcW w:w="992" w:type="dxa"/>
            <w:shd w:val="clear" w:color="auto" w:fill="auto"/>
          </w:tcPr>
          <w:p w14:paraId="62E68028" w14:textId="77777777" w:rsidR="007715B7" w:rsidRPr="00BF42C5" w:rsidRDefault="007715B7" w:rsidP="007715B7">
            <w:pPr>
              <w:spacing w:before="120" w:after="120" w:line="240" w:lineRule="auto"/>
              <w:rPr>
                <w:lang w:eastAsia="de-DE" w:bidi="ar-SA"/>
              </w:rPr>
            </w:pPr>
          </w:p>
        </w:tc>
      </w:tr>
    </w:tbl>
    <w:p w14:paraId="14523A16" w14:textId="77777777" w:rsidR="007715B7" w:rsidRPr="00BF42C5" w:rsidRDefault="007715B7" w:rsidP="007715B7">
      <w:pPr>
        <w:spacing w:before="120" w:after="120" w:line="240" w:lineRule="auto"/>
        <w:rPr>
          <w:rFonts w:ascii="EYInterstate Light" w:hAnsi="EYInterstate Light"/>
          <w:lang w:eastAsia="de-DE" w:bidi="ar-SA"/>
        </w:rPr>
      </w:pPr>
    </w:p>
    <w:p w14:paraId="4AA7217B" w14:textId="32629592" w:rsidR="007715B7" w:rsidRDefault="007715B7" w:rsidP="008362E0">
      <w:pPr>
        <w:spacing w:before="120" w:after="120" w:line="240" w:lineRule="auto"/>
        <w:rPr>
          <w:rFonts w:ascii="EYInterstate Light" w:hAnsi="EYInterstate Light"/>
        </w:rPr>
      </w:pPr>
    </w:p>
    <w:p w14:paraId="0B10C939" w14:textId="77777777" w:rsidR="007715B7" w:rsidRPr="00183DC0" w:rsidRDefault="007715B7" w:rsidP="008362E0">
      <w:pPr>
        <w:spacing w:before="120" w:after="120" w:line="240" w:lineRule="auto"/>
        <w:rPr>
          <w:rFonts w:ascii="EYInterstate Light" w:hAnsi="EYInterstate Light"/>
        </w:rPr>
      </w:pPr>
    </w:p>
    <w:p w14:paraId="7683DC76" w14:textId="77777777" w:rsidR="00501862" w:rsidRDefault="00501862" w:rsidP="008362E0">
      <w:pPr>
        <w:spacing w:before="120" w:after="120" w:line="240" w:lineRule="auto"/>
        <w:jc w:val="center"/>
        <w:rPr>
          <w:rFonts w:cs="Arial"/>
        </w:rPr>
      </w:pPr>
      <w:r>
        <w:t>*********************************</w:t>
      </w:r>
    </w:p>
    <w:bookmarkEnd w:id="0"/>
    <w:p w14:paraId="0AE418BD" w14:textId="77777777" w:rsidR="002A48CF" w:rsidRPr="00797397" w:rsidRDefault="002A48CF" w:rsidP="00797397">
      <w:pPr>
        <w:spacing w:line="240" w:lineRule="auto"/>
        <w:rPr>
          <w:sz w:val="2"/>
        </w:rPr>
      </w:pPr>
    </w:p>
    <w:sectPr w:rsidR="002A48CF" w:rsidRPr="00797397" w:rsidSect="006D2440">
      <w:headerReference w:type="default" r:id="rId15"/>
      <w:footerReference w:type="default" r:id="rId16"/>
      <w:headerReference w:type="first" r:id="rId17"/>
      <w:footerReference w:type="first" r:id="rId18"/>
      <w:type w:val="continuous"/>
      <w:pgSz w:w="16838" w:h="11906" w:orient="landscape" w:code="9"/>
      <w:pgMar w:top="-1848" w:right="1134" w:bottom="1418" w:left="1701" w:header="144" w:footer="39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D5CCE" w14:textId="77777777" w:rsidR="004820D2" w:rsidRDefault="004820D2">
      <w:r>
        <w:separator/>
      </w:r>
    </w:p>
  </w:endnote>
  <w:endnote w:type="continuationSeparator" w:id="0">
    <w:p w14:paraId="2CB84EF5" w14:textId="77777777" w:rsidR="004820D2" w:rsidRDefault="004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2" w:type="pct"/>
      <w:tblCellMar>
        <w:right w:w="0" w:type="dxa"/>
      </w:tblCellMar>
      <w:tblLook w:val="04A0" w:firstRow="1" w:lastRow="0" w:firstColumn="1" w:lastColumn="0" w:noHBand="0" w:noVBand="1"/>
    </w:tblPr>
    <w:tblGrid>
      <w:gridCol w:w="14173"/>
      <w:gridCol w:w="7850"/>
      <w:gridCol w:w="2264"/>
    </w:tblGrid>
    <w:tr w:rsidR="00E862A9" w14:paraId="2551E41F" w14:textId="77777777" w:rsidTr="005131A0">
      <w:tc>
        <w:tcPr>
          <w:tcW w:w="2918" w:type="pct"/>
          <w:tcMar>
            <w:left w:w="0" w:type="dxa"/>
          </w:tcMar>
        </w:tcPr>
        <w:p w14:paraId="691327B2" w14:textId="1DECC4D8" w:rsidR="00E862A9" w:rsidRDefault="00E862A9" w:rsidP="005131A0">
          <w:pPr>
            <w:pStyle w:val="Fuzeile"/>
          </w:pPr>
          <w:r>
            <w:t xml:space="preserve">Procédures applicables au champ d'audit « Risques d'affaires – gestion des risques : autres risques en lien avec les questions de </w:t>
          </w:r>
          <w:r>
            <w:rPr>
              <w:i/>
            </w:rPr>
            <w:t>compliance </w:t>
          </w:r>
          <w:r>
            <w:t>» </w:t>
          </w:r>
        </w:p>
        <w:p w14:paraId="0F6F1F63" w14:textId="74E3E450" w:rsidR="00E862A9" w:rsidRPr="005D5015" w:rsidRDefault="00E862A9" w:rsidP="006D2440">
          <w:pPr>
            <w:pStyle w:val="Fuzeile"/>
            <w:tabs>
              <w:tab w:val="clear" w:pos="8618"/>
              <w:tab w:val="right" w:pos="13963"/>
            </w:tabs>
            <w:rPr>
              <w:szCs w:val="16"/>
            </w:rPr>
          </w:pPr>
          <w:r>
            <w:t xml:space="preserve">Version du </w:t>
          </w:r>
          <w:r w:rsidR="006D2440">
            <w:t>mars</w:t>
          </w:r>
          <w:r>
            <w:t xml:space="preserve"> </w:t>
          </w:r>
          <w:r w:rsidR="00494CB9">
            <w:t>2020</w:t>
          </w:r>
          <w:r>
            <w:t xml:space="preserve">, applicable dès </w:t>
          </w:r>
          <w:r w:rsidR="00494CB9">
            <w:t>la</w:t>
          </w:r>
          <w:r>
            <w:t xml:space="preserve"> période d'audit </w:t>
          </w:r>
          <w:r w:rsidR="00494CB9">
            <w:t>2020 (année d’audit débutant au plus tôt le 01.01.2020)</w:t>
          </w:r>
          <w:r w:rsidR="006D2440">
            <w:t xml:space="preserve">. </w:t>
          </w:r>
          <w:r>
            <w:tab/>
          </w:r>
          <w:sdt>
            <w:sdtPr>
              <w:id w:val="-1584903620"/>
              <w:docPartObj>
                <w:docPartGallery w:val="Page Numbers (Bottom of Page)"/>
                <w:docPartUnique/>
              </w:docPartObj>
            </w:sdtPr>
            <w:sdtEndPr>
              <w:rPr>
                <w:noProof/>
                <w:szCs w:val="16"/>
              </w:rPr>
            </w:sdtEndPr>
            <w:sdtContent>
              <w:r>
                <w:t xml:space="preserve">Page </w:t>
              </w:r>
              <w:r w:rsidRPr="00163FB7">
                <w:rPr>
                  <w:szCs w:val="16"/>
                </w:rPr>
                <w:fldChar w:fldCharType="begin"/>
              </w:r>
              <w:r w:rsidRPr="005D5015">
                <w:rPr>
                  <w:szCs w:val="16"/>
                </w:rPr>
                <w:instrText xml:space="preserve"> PAGE   \* MERGEFORMAT </w:instrText>
              </w:r>
              <w:r w:rsidRPr="00163FB7">
                <w:rPr>
                  <w:szCs w:val="16"/>
                </w:rPr>
                <w:fldChar w:fldCharType="separate"/>
              </w:r>
              <w:r w:rsidR="006D2440">
                <w:rPr>
                  <w:noProof/>
                  <w:szCs w:val="16"/>
                </w:rPr>
                <w:t>10</w:t>
              </w:r>
              <w:r w:rsidRPr="00163FB7">
                <w:rPr>
                  <w:noProof/>
                  <w:szCs w:val="16"/>
                </w:rPr>
                <w:fldChar w:fldCharType="end"/>
              </w:r>
            </w:sdtContent>
          </w:sdt>
        </w:p>
        <w:p w14:paraId="03AA1A9D" w14:textId="77777777" w:rsidR="00E862A9" w:rsidRPr="005131A0" w:rsidRDefault="00E862A9" w:rsidP="00455E44">
          <w:pPr>
            <w:pStyle w:val="Fuzeile"/>
            <w:tabs>
              <w:tab w:val="clear" w:pos="8618"/>
            </w:tabs>
          </w:pPr>
        </w:p>
      </w:tc>
      <w:tc>
        <w:tcPr>
          <w:tcW w:w="1616" w:type="pct"/>
          <w:tcMar>
            <w:left w:w="0" w:type="dxa"/>
          </w:tcMar>
        </w:tcPr>
        <w:p w14:paraId="2FCBAA30" w14:textId="77777777" w:rsidR="00E862A9" w:rsidRPr="005131A0" w:rsidRDefault="00E862A9" w:rsidP="00455E44">
          <w:pPr>
            <w:pStyle w:val="Fuzeile"/>
            <w:tabs>
              <w:tab w:val="clear" w:pos="8618"/>
            </w:tabs>
          </w:pPr>
        </w:p>
      </w:tc>
      <w:tc>
        <w:tcPr>
          <w:tcW w:w="466" w:type="pct"/>
          <w:tcMar>
            <w:left w:w="0" w:type="dxa"/>
          </w:tcMar>
        </w:tcPr>
        <w:p w14:paraId="334CD346" w14:textId="3592A47A" w:rsidR="00E862A9" w:rsidRPr="00D81961" w:rsidRDefault="00E862A9"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6D2440">
            <w:rPr>
              <w:noProof/>
              <w:sz w:val="15"/>
              <w:szCs w:val="15"/>
            </w:rPr>
            <w:t>10</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6D2440">
            <w:rPr>
              <w:noProof/>
              <w:sz w:val="15"/>
              <w:szCs w:val="15"/>
            </w:rPr>
            <w:t>17</w:t>
          </w:r>
          <w:r w:rsidRPr="00D81961">
            <w:rPr>
              <w:noProof/>
              <w:sz w:val="15"/>
              <w:szCs w:val="15"/>
            </w:rPr>
            <w:fldChar w:fldCharType="end"/>
          </w:r>
        </w:p>
      </w:tc>
    </w:tr>
  </w:tbl>
  <w:p w14:paraId="51A93BDF" w14:textId="77777777" w:rsidR="00E862A9" w:rsidRDefault="00E862A9" w:rsidP="00975547">
    <w:pPr>
      <w:pStyle w:val="Fuzeil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BAA" w14:textId="77777777" w:rsidR="00797397" w:rsidRDefault="00797397" w:rsidP="00797397">
    <w:pPr>
      <w:pStyle w:val="Fuzeile"/>
    </w:pPr>
    <w:r>
      <w:t xml:space="preserve">Procédures applicables au champ d'audit « Risques d'affaires – gestion des risques : autres risques en lien avec les questions de </w:t>
    </w:r>
    <w:r>
      <w:rPr>
        <w:i/>
      </w:rPr>
      <w:t>compliance </w:t>
    </w:r>
    <w:r>
      <w:t>» </w:t>
    </w:r>
  </w:p>
  <w:p w14:paraId="174CAE38" w14:textId="2204029C" w:rsidR="00797397" w:rsidRDefault="00797397" w:rsidP="00797397">
    <w:pPr>
      <w:pStyle w:val="Fuzeile"/>
      <w:tabs>
        <w:tab w:val="clear" w:pos="8618"/>
        <w:tab w:val="right" w:pos="13750"/>
      </w:tabs>
      <w:ind w:right="-1097"/>
    </w:pPr>
    <w:r>
      <w:t xml:space="preserve">Version du 31 mars 2020, applicable dès la période d'audit 2020 (année d’audit débutant au plus tôt le 01.01.2020) </w:t>
    </w:r>
    <w:r>
      <w:tab/>
    </w:r>
    <w:sdt>
      <w:sdtPr>
        <w:id w:val="-1949850240"/>
        <w:docPartObj>
          <w:docPartGallery w:val="Page Numbers (Bottom of Page)"/>
          <w:docPartUnique/>
        </w:docPartObj>
      </w:sdtPr>
      <w:sdtEndPr>
        <w:rPr>
          <w:noProof/>
          <w:szCs w:val="16"/>
        </w:rPr>
      </w:sdtEndPr>
      <w:sdtContent>
        <w:r>
          <w:t xml:space="preserve">Page </w:t>
        </w:r>
        <w:r w:rsidRPr="00163FB7">
          <w:rPr>
            <w:szCs w:val="16"/>
          </w:rPr>
          <w:fldChar w:fldCharType="begin"/>
        </w:r>
        <w:r w:rsidRPr="005D5015">
          <w:rPr>
            <w:szCs w:val="16"/>
          </w:rPr>
          <w:instrText xml:space="preserve"> PAGE   \* MERGEFORMAT </w:instrText>
        </w:r>
        <w:r w:rsidRPr="00163FB7">
          <w:rPr>
            <w:szCs w:val="16"/>
          </w:rPr>
          <w:fldChar w:fldCharType="separate"/>
        </w:r>
        <w:r w:rsidR="006D2440">
          <w:rPr>
            <w:noProof/>
            <w:szCs w:val="16"/>
          </w:rPr>
          <w:t>1</w:t>
        </w:r>
        <w:r w:rsidRPr="00163FB7">
          <w:rPr>
            <w:noProof/>
            <w:szCs w:val="16"/>
          </w:rPr>
          <w:fldChar w:fldCharType="end"/>
        </w:r>
      </w:sdtContent>
    </w:sdt>
  </w:p>
  <w:p w14:paraId="41C79A8D" w14:textId="4C7806FE" w:rsidR="00797397" w:rsidRPr="005D5015" w:rsidRDefault="00797397" w:rsidP="00797397">
    <w:pPr>
      <w:pStyle w:val="Fuzeile"/>
      <w:tabs>
        <w:tab w:val="clear" w:pos="8618"/>
        <w:tab w:val="right" w:pos="13750"/>
      </w:tabs>
      <w:ind w:right="-1097"/>
      <w:rPr>
        <w:szCs w:val="16"/>
      </w:rPr>
    </w:pPr>
  </w:p>
  <w:p w14:paraId="34D426B9" w14:textId="77777777" w:rsidR="00E862A9" w:rsidRPr="00F768F1" w:rsidRDefault="006D2440" w:rsidP="00F768F1">
    <w:pPr>
      <w:pStyle w:val="Fuzeile"/>
      <w:spacing w:line="240" w:lineRule="auto"/>
      <w:rPr>
        <w:sz w:val="2"/>
        <w:szCs w:val="2"/>
      </w:rPr>
    </w:pPr>
    <w:sdt>
      <w:sdtPr>
        <w:rPr>
          <w:rFonts w:cs="Arial"/>
          <w:sz w:val="12"/>
          <w:szCs w:val="12"/>
        </w:rPr>
        <w:alias w:val="docid"/>
        <w:tag w:val="docid"/>
        <w:id w:val="-1710867897"/>
        <w:showingPlcHdr/>
      </w:sdtPr>
      <w:sdtEndPr/>
      <w:sdtContent>
        <w:r w:rsidR="00E862A9">
          <w:rPr>
            <w:sz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391D" w14:textId="77777777" w:rsidR="004820D2" w:rsidRDefault="004820D2">
      <w:r>
        <w:separator/>
      </w:r>
    </w:p>
  </w:footnote>
  <w:footnote w:type="continuationSeparator" w:id="0">
    <w:p w14:paraId="3CCD4C18" w14:textId="77777777" w:rsidR="004820D2" w:rsidRDefault="004820D2">
      <w:r>
        <w:continuationSeparator/>
      </w:r>
    </w:p>
  </w:footnote>
  <w:footnote w:id="1">
    <w:p w14:paraId="7ECABF5E" w14:textId="4FEC45E3" w:rsidR="00E862A9" w:rsidRPr="00431C62" w:rsidRDefault="00E862A9">
      <w:pPr>
        <w:pStyle w:val="Funotentext"/>
        <w:rPr>
          <w:sz w:val="18"/>
          <w:szCs w:val="18"/>
        </w:rPr>
      </w:pPr>
      <w:r>
        <w:rPr>
          <w:rStyle w:val="Funotenzeichen"/>
        </w:rPr>
        <w:footnoteRef/>
      </w:r>
      <w:r>
        <w:t xml:space="preserve"> </w:t>
      </w:r>
      <w:proofErr w:type="spellStart"/>
      <w:r w:rsidR="005763DC" w:rsidRPr="005763DC">
        <w:rPr>
          <w:sz w:val="18"/>
          <w:szCs w:val="18"/>
        </w:rPr>
        <w:t>Circ.-FINMA</w:t>
      </w:r>
      <w:proofErr w:type="spellEnd"/>
      <w:r w:rsidR="005763DC" w:rsidRPr="005763DC">
        <w:rPr>
          <w:sz w:val="18"/>
          <w:szCs w:val="18"/>
        </w:rPr>
        <w:t xml:space="preserve"> 13/3, Cm 33 et 34.</w:t>
      </w:r>
    </w:p>
  </w:footnote>
  <w:footnote w:id="2">
    <w:p w14:paraId="78F3A8D8" w14:textId="2C6664AC" w:rsidR="00E862A9" w:rsidRPr="00431C62" w:rsidRDefault="00E862A9">
      <w:pPr>
        <w:pStyle w:val="Funotentext"/>
        <w:rPr>
          <w:sz w:val="18"/>
          <w:szCs w:val="18"/>
        </w:rPr>
      </w:pPr>
      <w:r>
        <w:rPr>
          <w:rStyle w:val="Funotenzeichen"/>
        </w:rPr>
        <w:footnoteRef/>
      </w:r>
      <w:r>
        <w:t xml:space="preserve"> </w:t>
      </w:r>
      <w:r w:rsidRPr="00431C62">
        <w:rPr>
          <w:sz w:val="16"/>
          <w:szCs w:val="16"/>
        </w:rPr>
        <w:t>Cet audit</w:t>
      </w:r>
      <w:r>
        <w:rPr>
          <w:sz w:val="16"/>
          <w:szCs w:val="16"/>
        </w:rPr>
        <w:t xml:space="preserve"> s’appuie sur une liste des changements légaux et réglementaires en Suisse et à l’étranger préparée par l’établissement ou par un tiers, qui sont pertinents et significatifs pour les activités de l’établissement audité.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8824"/>
    </w:tblGrid>
    <w:tr w:rsidR="00E862A9" w:rsidRPr="00AF6AA5" w14:paraId="3AF9C005" w14:textId="77777777" w:rsidTr="00431C62">
      <w:trPr>
        <w:trHeight w:val="901"/>
      </w:trPr>
      <w:tc>
        <w:tcPr>
          <w:tcW w:w="9214" w:type="dxa"/>
          <w:tcBorders>
            <w:top w:val="nil"/>
            <w:left w:val="nil"/>
            <w:bottom w:val="nil"/>
            <w:right w:val="nil"/>
          </w:tcBorders>
          <w:vAlign w:val="bottom"/>
        </w:tcPr>
        <w:p w14:paraId="51FA50DA" w14:textId="4C484568" w:rsidR="00F4685D" w:rsidRDefault="00E862A9" w:rsidP="00431C62">
          <w:pPr>
            <w:pStyle w:val="Kopfzeile"/>
            <w:tabs>
              <w:tab w:val="clear" w:pos="9072"/>
              <w:tab w:val="left" w:pos="4243"/>
              <w:tab w:val="right" w:pos="14317"/>
            </w:tabs>
            <w:rPr>
              <w:rFonts w:cs="Arial"/>
              <w:sz w:val="16"/>
              <w:szCs w:val="16"/>
            </w:rPr>
          </w:pPr>
          <w:r>
            <w:rPr>
              <w:b/>
              <w:sz w:val="16"/>
              <w:highlight w:val="yellow"/>
            </w:rPr>
            <w:t>[Etablissement XY]</w:t>
          </w:r>
          <w:r w:rsidR="00F4685D">
            <w:rPr>
              <w:b/>
              <w:sz w:val="16"/>
            </w:rPr>
            <w:tab/>
          </w:r>
          <w:r w:rsidR="00F4685D">
            <w:rPr>
              <w:sz w:val="16"/>
            </w:rPr>
            <w:t xml:space="preserve">Référence: </w:t>
          </w:r>
          <w:r w:rsidR="00F4685D">
            <w:rPr>
              <w:sz w:val="16"/>
              <w:highlight w:val="yellow"/>
            </w:rPr>
            <w:t>[ajouter la référence]</w:t>
          </w:r>
        </w:p>
        <w:p w14:paraId="2C44A7D8" w14:textId="0BF700F7" w:rsidR="00E862A9" w:rsidRPr="00431C62" w:rsidRDefault="00E862A9" w:rsidP="00431C62">
          <w:pPr>
            <w:tabs>
              <w:tab w:val="left" w:pos="4243"/>
            </w:tabs>
            <w:rPr>
              <w:sz w:val="16"/>
              <w:szCs w:val="16"/>
            </w:rPr>
          </w:pPr>
          <w:r w:rsidRPr="003A1F26">
            <w:rPr>
              <w:sz w:val="16"/>
              <w:szCs w:val="16"/>
            </w:rPr>
            <w:t>Période d'audit</w:t>
          </w:r>
          <w:r>
            <w:rPr>
              <w:sz w:val="16"/>
            </w:rPr>
            <w:t xml:space="preserve"> </w:t>
          </w:r>
          <w:r>
            <w:rPr>
              <w:sz w:val="16"/>
              <w:highlight w:val="yellow"/>
            </w:rPr>
            <w:t>20XX</w:t>
          </w:r>
          <w:r>
            <w:rPr>
              <w:b/>
              <w:sz w:val="32"/>
            </w:rPr>
            <w:t xml:space="preserve"> </w:t>
          </w:r>
          <w:r w:rsidR="00F4685D">
            <w:rPr>
              <w:b/>
            </w:rPr>
            <w:tab/>
          </w:r>
          <w:r w:rsidRPr="00431C62">
            <w:rPr>
              <w:b/>
              <w:sz w:val="16"/>
              <w:szCs w:val="16"/>
            </w:rPr>
            <w:t xml:space="preserve">Autres risques liés à des questions de </w:t>
          </w:r>
          <w:r w:rsidRPr="00431C62">
            <w:rPr>
              <w:b/>
              <w:i/>
              <w:sz w:val="16"/>
              <w:szCs w:val="16"/>
            </w:rPr>
            <w:t>compliance</w:t>
          </w:r>
        </w:p>
      </w:tc>
      <w:tc>
        <w:tcPr>
          <w:tcW w:w="8824" w:type="dxa"/>
          <w:tcBorders>
            <w:top w:val="nil"/>
            <w:left w:val="nil"/>
            <w:bottom w:val="nil"/>
            <w:right w:val="nil"/>
          </w:tcBorders>
        </w:tcPr>
        <w:p w14:paraId="60E7E2EE" w14:textId="25DECD89" w:rsidR="00E862A9" w:rsidRPr="00501862" w:rsidRDefault="00D82B31" w:rsidP="00F05C8A">
          <w:pPr>
            <w:tabs>
              <w:tab w:val="right" w:pos="9360"/>
            </w:tabs>
            <w:ind w:right="40"/>
          </w:pPr>
          <w:r>
            <w:rPr>
              <w:noProof/>
              <w:lang w:val="de-CH" w:eastAsia="de-CH" w:bidi="ar-SA"/>
            </w:rPr>
            <w:drawing>
              <wp:anchor distT="0" distB="0" distL="114300" distR="114300" simplePos="0" relativeHeight="251667456" behindDoc="0" locked="0" layoutInCell="1" allowOverlap="1" wp14:anchorId="6F7FD31D" wp14:editId="6F147828">
                <wp:simplePos x="0" y="0"/>
                <wp:positionH relativeFrom="column">
                  <wp:posOffset>712280</wp:posOffset>
                </wp:positionH>
                <wp:positionV relativeFrom="paragraph">
                  <wp:posOffset>1905</wp:posOffset>
                </wp:positionV>
                <wp:extent cx="1799590" cy="791845"/>
                <wp:effectExtent l="0" t="0" r="0" b="8255"/>
                <wp:wrapNone/>
                <wp:docPr id="27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r w:rsidR="00E862A9">
            <w:rPr>
              <w:noProof/>
              <w:lang w:val="de-CH" w:eastAsia="de-CH" w:bidi="ar-SA"/>
            </w:rPr>
            <w:drawing>
              <wp:anchor distT="0" distB="0" distL="114300" distR="114300" simplePos="0" relativeHeight="251665408" behindDoc="0" locked="0" layoutInCell="1" allowOverlap="1" wp14:anchorId="79A71896" wp14:editId="1A673E16">
                <wp:simplePos x="0" y="0"/>
                <wp:positionH relativeFrom="column">
                  <wp:posOffset>4516120</wp:posOffset>
                </wp:positionH>
                <wp:positionV relativeFrom="paragraph">
                  <wp:posOffset>396240</wp:posOffset>
                </wp:positionV>
                <wp:extent cx="1223645" cy="280670"/>
                <wp:effectExtent l="0" t="0" r="0" b="5080"/>
                <wp:wrapNone/>
                <wp:docPr id="272" name="Grafi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3645" cy="280670"/>
                        </a:xfrm>
                        <a:prstGeom prst="rect">
                          <a:avLst/>
                        </a:prstGeom>
                      </pic:spPr>
                    </pic:pic>
                  </a:graphicData>
                </a:graphic>
                <wp14:sizeRelH relativeFrom="page">
                  <wp14:pctWidth>0</wp14:pctWidth>
                </wp14:sizeRelH>
                <wp14:sizeRelV relativeFrom="page">
                  <wp14:pctHeight>0</wp14:pctHeight>
                </wp14:sizeRelV>
              </wp:anchor>
            </w:drawing>
          </w:r>
        </w:p>
      </w:tc>
    </w:tr>
  </w:tbl>
  <w:p w14:paraId="61E9D321" w14:textId="77777777" w:rsidR="00E862A9" w:rsidRPr="00110559" w:rsidRDefault="00E862A9"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98" w:type="dxa"/>
      <w:tblLook w:val="01E0" w:firstRow="1" w:lastRow="1" w:firstColumn="1" w:lastColumn="1" w:noHBand="0" w:noVBand="0"/>
    </w:tblPr>
    <w:tblGrid>
      <w:gridCol w:w="9356"/>
      <w:gridCol w:w="6042"/>
    </w:tblGrid>
    <w:tr w:rsidR="00E862A9" w:rsidRPr="00AF6AA5" w14:paraId="145CA8AD" w14:textId="77777777" w:rsidTr="00431C62">
      <w:trPr>
        <w:trHeight w:val="1789"/>
      </w:trPr>
      <w:tc>
        <w:tcPr>
          <w:tcW w:w="9356" w:type="dxa"/>
        </w:tcPr>
        <w:p w14:paraId="7E2ED404" w14:textId="7C5D5D5C" w:rsidR="004010B7" w:rsidRDefault="00E862A9" w:rsidP="00431C62">
          <w:pPr>
            <w:pStyle w:val="Kopfzeile"/>
            <w:tabs>
              <w:tab w:val="clear" w:pos="9072"/>
              <w:tab w:val="left" w:pos="5137"/>
              <w:tab w:val="right" w:pos="14317"/>
            </w:tabs>
            <w:rPr>
              <w:rFonts w:cs="Arial"/>
              <w:sz w:val="16"/>
              <w:szCs w:val="16"/>
            </w:rPr>
          </w:pPr>
          <w:r>
            <w:rPr>
              <w:b/>
              <w:sz w:val="32"/>
              <w:szCs w:val="32"/>
            </w:rPr>
            <w:br/>
          </w:r>
          <w:r>
            <w:rPr>
              <w:b/>
              <w:sz w:val="16"/>
              <w:highlight w:val="yellow"/>
            </w:rPr>
            <w:t>[Etablissement XY]</w:t>
          </w:r>
          <w:r w:rsidR="004010B7">
            <w:rPr>
              <w:sz w:val="16"/>
            </w:rPr>
            <w:t xml:space="preserve"> </w:t>
          </w:r>
          <w:r w:rsidR="004010B7">
            <w:rPr>
              <w:sz w:val="16"/>
            </w:rPr>
            <w:tab/>
          </w:r>
          <w:r w:rsidR="004010B7">
            <w:rPr>
              <w:sz w:val="16"/>
            </w:rPr>
            <w:tab/>
            <w:t xml:space="preserve">Référence: </w:t>
          </w:r>
          <w:r w:rsidR="004010B7">
            <w:rPr>
              <w:sz w:val="16"/>
              <w:highlight w:val="yellow"/>
            </w:rPr>
            <w:t>[ajouter la référence]</w:t>
          </w:r>
        </w:p>
        <w:p w14:paraId="3A01B6E5" w14:textId="6B6DF650" w:rsidR="00E862A9" w:rsidRPr="00431C62" w:rsidRDefault="00E862A9" w:rsidP="00797397">
          <w:pPr>
            <w:tabs>
              <w:tab w:val="left" w:pos="5137"/>
            </w:tabs>
            <w:rPr>
              <w:b/>
              <w:sz w:val="16"/>
              <w:szCs w:val="16"/>
            </w:rPr>
          </w:pPr>
          <w:r w:rsidRPr="003A1F26">
            <w:rPr>
              <w:sz w:val="16"/>
              <w:szCs w:val="16"/>
            </w:rPr>
            <w:t>Période d'audit</w:t>
          </w:r>
          <w:r>
            <w:rPr>
              <w:sz w:val="16"/>
            </w:rPr>
            <w:t xml:space="preserve"> </w:t>
          </w:r>
          <w:r>
            <w:rPr>
              <w:sz w:val="16"/>
              <w:highlight w:val="yellow"/>
            </w:rPr>
            <w:t>20XX</w:t>
          </w:r>
          <w:r>
            <w:rPr>
              <w:b/>
              <w:sz w:val="32"/>
            </w:rPr>
            <w:t xml:space="preserve"> </w:t>
          </w:r>
          <w:r w:rsidR="004010B7">
            <w:rPr>
              <w:b/>
            </w:rPr>
            <w:tab/>
          </w:r>
          <w:r w:rsidRPr="00431C62">
            <w:rPr>
              <w:b/>
              <w:sz w:val="16"/>
              <w:szCs w:val="16"/>
            </w:rPr>
            <w:t xml:space="preserve">Autres risques liés à des questions de </w:t>
          </w:r>
          <w:r w:rsidRPr="00431C62">
            <w:rPr>
              <w:b/>
              <w:i/>
              <w:sz w:val="16"/>
              <w:szCs w:val="16"/>
            </w:rPr>
            <w:t>compliance</w:t>
          </w:r>
        </w:p>
      </w:tc>
      <w:tc>
        <w:tcPr>
          <w:tcW w:w="6042" w:type="dxa"/>
        </w:tcPr>
        <w:p w14:paraId="6ED2498D" w14:textId="77777777" w:rsidR="00E862A9" w:rsidRPr="00501862" w:rsidRDefault="00E862A9" w:rsidP="00455E44">
          <w:r>
            <w:rPr>
              <w:noProof/>
              <w:lang w:val="de-CH" w:eastAsia="de-CH" w:bidi="ar-SA"/>
            </w:rPr>
            <w:drawing>
              <wp:anchor distT="0" distB="0" distL="114300" distR="114300" simplePos="0" relativeHeight="251663360" behindDoc="0" locked="0" layoutInCell="1" allowOverlap="1" wp14:anchorId="05C594C2" wp14:editId="052F3A85">
                <wp:simplePos x="0" y="0"/>
                <wp:positionH relativeFrom="column">
                  <wp:posOffset>682313</wp:posOffset>
                </wp:positionH>
                <wp:positionV relativeFrom="paragraph">
                  <wp:posOffset>132454</wp:posOffset>
                </wp:positionV>
                <wp:extent cx="1799590" cy="791845"/>
                <wp:effectExtent l="0" t="0" r="0" b="8255"/>
                <wp:wrapNone/>
                <wp:docPr id="273" name="Grafi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14:paraId="41BFB177" w14:textId="77777777" w:rsidR="00E862A9" w:rsidRPr="00501862" w:rsidRDefault="00E862A9" w:rsidP="00797397">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03E20BD"/>
    <w:multiLevelType w:val="multilevel"/>
    <w:tmpl w:val="545A961C"/>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95F682E"/>
    <w:multiLevelType w:val="hybridMultilevel"/>
    <w:tmpl w:val="DA3CB030"/>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0CD6"/>
    <w:multiLevelType w:val="hybridMultilevel"/>
    <w:tmpl w:val="5B8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2C3600"/>
    <w:multiLevelType w:val="hybridMultilevel"/>
    <w:tmpl w:val="BFB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65B109EC"/>
    <w:multiLevelType w:val="hybridMultilevel"/>
    <w:tmpl w:val="CA46856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7C65345"/>
    <w:multiLevelType w:val="hybridMultilevel"/>
    <w:tmpl w:val="81029E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367457"/>
    <w:multiLevelType w:val="hybridMultilevel"/>
    <w:tmpl w:val="C666CB00"/>
    <w:lvl w:ilvl="0" w:tplc="3F5AAEA6">
      <w:numFmt w:val="bullet"/>
      <w:lvlText w:val=""/>
      <w:lvlJc w:val="left"/>
      <w:pPr>
        <w:ind w:left="720" w:hanging="360"/>
      </w:pPr>
      <w:rPr>
        <w:rFonts w:ascii="Wingdings" w:eastAsia="Arial Unicode MS"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69FE97AE">
      <w:start w:val="1"/>
      <w:numFmt w:val="bullet"/>
      <w:lvlText w:val=""/>
      <w:lvlJc w:val="left"/>
      <w:pPr>
        <w:ind w:left="2880" w:hanging="360"/>
      </w:pPr>
      <w:rPr>
        <w:rFonts w:ascii="Symbol" w:hAnsi="Symbol" w:hint="default"/>
        <w:lang w:val="en-US"/>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7D38F8"/>
    <w:multiLevelType w:val="hybridMultilevel"/>
    <w:tmpl w:val="E8A0E6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B50ED1"/>
    <w:multiLevelType w:val="hybridMultilevel"/>
    <w:tmpl w:val="2092F4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90D382B"/>
    <w:multiLevelType w:val="hybridMultilevel"/>
    <w:tmpl w:val="2516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0"/>
  </w:num>
  <w:num w:numId="5">
    <w:abstractNumId w:val="5"/>
  </w:num>
  <w:num w:numId="6">
    <w:abstractNumId w:val="0"/>
  </w:num>
  <w:num w:numId="7">
    <w:abstractNumId w:val="12"/>
  </w:num>
  <w:num w:numId="8">
    <w:abstractNumId w:val="18"/>
  </w:num>
  <w:num w:numId="9">
    <w:abstractNumId w:val="7"/>
  </w:num>
  <w:num w:numId="10">
    <w:abstractNumId w:val="8"/>
  </w:num>
  <w:num w:numId="11">
    <w:abstractNumId w:val="21"/>
  </w:num>
  <w:num w:numId="12">
    <w:abstractNumId w:val="15"/>
  </w:num>
  <w:num w:numId="13">
    <w:abstractNumId w:val="6"/>
  </w:num>
  <w:num w:numId="14">
    <w:abstractNumId w:val="2"/>
  </w:num>
  <w:num w:numId="15">
    <w:abstractNumId w:val="9"/>
  </w:num>
  <w:num w:numId="16">
    <w:abstractNumId w:val="17"/>
  </w:num>
  <w:num w:numId="17">
    <w:abstractNumId w:val="13"/>
  </w:num>
  <w:num w:numId="18">
    <w:abstractNumId w:val="16"/>
  </w:num>
  <w:num w:numId="19">
    <w:abstractNumId w:val="20"/>
  </w:num>
  <w:num w:numId="20">
    <w:abstractNumId w:val="3"/>
  </w:num>
  <w:num w:numId="21">
    <w:abstractNumId w:val="4"/>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2">
    <w:abstractNumId w:val="18"/>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6" w:nlCheck="1" w:checkStyle="0"/>
  <w:activeWritingStyle w:appName="MSWord" w:lang="en-CA" w:vendorID="64" w:dllVersion="6" w:nlCheck="1" w:checkStyle="0"/>
  <w:activeWritingStyle w:appName="MSWord" w:lang="fr-CH" w:vendorID="64" w:dllVersion="0" w:nlCheck="1" w:checkStyle="0"/>
  <w:activeWritingStyle w:appName="MSWord" w:lang="de-CH"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b7c2dd74-0f88-4c30-8b29-6656f247378d&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BE6"/>
    <w:rsid w:val="00001DEA"/>
    <w:rsid w:val="0001718E"/>
    <w:rsid w:val="00017F57"/>
    <w:rsid w:val="000239AE"/>
    <w:rsid w:val="00024D4C"/>
    <w:rsid w:val="000259BF"/>
    <w:rsid w:val="000339C7"/>
    <w:rsid w:val="0003730B"/>
    <w:rsid w:val="00044074"/>
    <w:rsid w:val="00053141"/>
    <w:rsid w:val="00054651"/>
    <w:rsid w:val="000550D5"/>
    <w:rsid w:val="000572FE"/>
    <w:rsid w:val="000632D8"/>
    <w:rsid w:val="00070974"/>
    <w:rsid w:val="00070A8C"/>
    <w:rsid w:val="00075CE8"/>
    <w:rsid w:val="00077666"/>
    <w:rsid w:val="00081DBD"/>
    <w:rsid w:val="000822DF"/>
    <w:rsid w:val="000837C2"/>
    <w:rsid w:val="00084ED5"/>
    <w:rsid w:val="000904A3"/>
    <w:rsid w:val="00094E88"/>
    <w:rsid w:val="000A2EA6"/>
    <w:rsid w:val="000A3D9D"/>
    <w:rsid w:val="000A436A"/>
    <w:rsid w:val="000A4F31"/>
    <w:rsid w:val="000B4554"/>
    <w:rsid w:val="000B5284"/>
    <w:rsid w:val="000C04B5"/>
    <w:rsid w:val="000C2E06"/>
    <w:rsid w:val="000C66F6"/>
    <w:rsid w:val="000D10F4"/>
    <w:rsid w:val="000D337E"/>
    <w:rsid w:val="000D6C35"/>
    <w:rsid w:val="000E40E6"/>
    <w:rsid w:val="000E612D"/>
    <w:rsid w:val="00110559"/>
    <w:rsid w:val="001139E7"/>
    <w:rsid w:val="00115168"/>
    <w:rsid w:val="00122506"/>
    <w:rsid w:val="00133196"/>
    <w:rsid w:val="0013549E"/>
    <w:rsid w:val="0014461A"/>
    <w:rsid w:val="001479FA"/>
    <w:rsid w:val="00150782"/>
    <w:rsid w:val="00150E8B"/>
    <w:rsid w:val="00160388"/>
    <w:rsid w:val="00164BF6"/>
    <w:rsid w:val="001656C2"/>
    <w:rsid w:val="0017124A"/>
    <w:rsid w:val="001749D6"/>
    <w:rsid w:val="0018719C"/>
    <w:rsid w:val="00190D92"/>
    <w:rsid w:val="00193A93"/>
    <w:rsid w:val="001A0D35"/>
    <w:rsid w:val="001A758E"/>
    <w:rsid w:val="001B0BA4"/>
    <w:rsid w:val="001B4054"/>
    <w:rsid w:val="001B657D"/>
    <w:rsid w:val="001B76E5"/>
    <w:rsid w:val="001C25B1"/>
    <w:rsid w:val="001C2ADC"/>
    <w:rsid w:val="001C303F"/>
    <w:rsid w:val="001C5E3A"/>
    <w:rsid w:val="001E1F59"/>
    <w:rsid w:val="001E78B6"/>
    <w:rsid w:val="001F0E1C"/>
    <w:rsid w:val="001F2706"/>
    <w:rsid w:val="001F5F4A"/>
    <w:rsid w:val="001F6403"/>
    <w:rsid w:val="001F7678"/>
    <w:rsid w:val="002040C6"/>
    <w:rsid w:val="00204B23"/>
    <w:rsid w:val="0021274A"/>
    <w:rsid w:val="00217AA6"/>
    <w:rsid w:val="00221F14"/>
    <w:rsid w:val="00227FBC"/>
    <w:rsid w:val="002436E4"/>
    <w:rsid w:val="00245584"/>
    <w:rsid w:val="00245CAC"/>
    <w:rsid w:val="00246290"/>
    <w:rsid w:val="002476AC"/>
    <w:rsid w:val="00256539"/>
    <w:rsid w:val="00256FE8"/>
    <w:rsid w:val="00264805"/>
    <w:rsid w:val="00265230"/>
    <w:rsid w:val="002762D3"/>
    <w:rsid w:val="00282AA1"/>
    <w:rsid w:val="00283AA5"/>
    <w:rsid w:val="00284BA0"/>
    <w:rsid w:val="00284C59"/>
    <w:rsid w:val="002851F7"/>
    <w:rsid w:val="00286E08"/>
    <w:rsid w:val="00294A59"/>
    <w:rsid w:val="002A0835"/>
    <w:rsid w:val="002A48CF"/>
    <w:rsid w:val="002B0C66"/>
    <w:rsid w:val="002B137C"/>
    <w:rsid w:val="002B20EB"/>
    <w:rsid w:val="002B490E"/>
    <w:rsid w:val="002B4D96"/>
    <w:rsid w:val="002B7513"/>
    <w:rsid w:val="002C2BEB"/>
    <w:rsid w:val="002C32AE"/>
    <w:rsid w:val="002C46E7"/>
    <w:rsid w:val="002C5C51"/>
    <w:rsid w:val="002D5975"/>
    <w:rsid w:val="002E20C7"/>
    <w:rsid w:val="002E2B5D"/>
    <w:rsid w:val="002E4B22"/>
    <w:rsid w:val="002E6021"/>
    <w:rsid w:val="002E6B63"/>
    <w:rsid w:val="002F1A39"/>
    <w:rsid w:val="003051D1"/>
    <w:rsid w:val="00313B60"/>
    <w:rsid w:val="00315E34"/>
    <w:rsid w:val="00316E19"/>
    <w:rsid w:val="00324EEA"/>
    <w:rsid w:val="00330C32"/>
    <w:rsid w:val="0033442E"/>
    <w:rsid w:val="00336E1C"/>
    <w:rsid w:val="00346326"/>
    <w:rsid w:val="00346735"/>
    <w:rsid w:val="00355146"/>
    <w:rsid w:val="0037152B"/>
    <w:rsid w:val="0039072C"/>
    <w:rsid w:val="0039235E"/>
    <w:rsid w:val="00392743"/>
    <w:rsid w:val="003979F8"/>
    <w:rsid w:val="003A1F26"/>
    <w:rsid w:val="003A7B8B"/>
    <w:rsid w:val="003B08C0"/>
    <w:rsid w:val="003B65E4"/>
    <w:rsid w:val="003B702C"/>
    <w:rsid w:val="003C6003"/>
    <w:rsid w:val="003C79A3"/>
    <w:rsid w:val="003D247A"/>
    <w:rsid w:val="003D3866"/>
    <w:rsid w:val="003D4AA3"/>
    <w:rsid w:val="003D7D00"/>
    <w:rsid w:val="003E231A"/>
    <w:rsid w:val="003E3CDF"/>
    <w:rsid w:val="003E495A"/>
    <w:rsid w:val="003E5765"/>
    <w:rsid w:val="003F0C61"/>
    <w:rsid w:val="003F2BD8"/>
    <w:rsid w:val="003F7E52"/>
    <w:rsid w:val="004010B7"/>
    <w:rsid w:val="004040EA"/>
    <w:rsid w:val="004118FB"/>
    <w:rsid w:val="00413781"/>
    <w:rsid w:val="00413E4A"/>
    <w:rsid w:val="00424136"/>
    <w:rsid w:val="0042417D"/>
    <w:rsid w:val="00431C62"/>
    <w:rsid w:val="00433182"/>
    <w:rsid w:val="00434D41"/>
    <w:rsid w:val="00434E66"/>
    <w:rsid w:val="00437412"/>
    <w:rsid w:val="00437BEE"/>
    <w:rsid w:val="004512B0"/>
    <w:rsid w:val="00455E44"/>
    <w:rsid w:val="004576AD"/>
    <w:rsid w:val="004622A6"/>
    <w:rsid w:val="00463F41"/>
    <w:rsid w:val="004653AF"/>
    <w:rsid w:val="00481503"/>
    <w:rsid w:val="004820D2"/>
    <w:rsid w:val="00483662"/>
    <w:rsid w:val="00490FFE"/>
    <w:rsid w:val="00494CB9"/>
    <w:rsid w:val="00496E97"/>
    <w:rsid w:val="004A246D"/>
    <w:rsid w:val="004A5CA4"/>
    <w:rsid w:val="004A60F3"/>
    <w:rsid w:val="004A6911"/>
    <w:rsid w:val="004A6E1E"/>
    <w:rsid w:val="004A7D92"/>
    <w:rsid w:val="004B2A5D"/>
    <w:rsid w:val="004E0524"/>
    <w:rsid w:val="004E0892"/>
    <w:rsid w:val="004E1F00"/>
    <w:rsid w:val="004E607E"/>
    <w:rsid w:val="004F0AAC"/>
    <w:rsid w:val="00500041"/>
    <w:rsid w:val="00501862"/>
    <w:rsid w:val="00506263"/>
    <w:rsid w:val="005129AF"/>
    <w:rsid w:val="005131A0"/>
    <w:rsid w:val="00522BD0"/>
    <w:rsid w:val="00524470"/>
    <w:rsid w:val="005270D9"/>
    <w:rsid w:val="0053429C"/>
    <w:rsid w:val="0053454C"/>
    <w:rsid w:val="00560231"/>
    <w:rsid w:val="00562E3C"/>
    <w:rsid w:val="00564295"/>
    <w:rsid w:val="005763DC"/>
    <w:rsid w:val="00577C59"/>
    <w:rsid w:val="00591E6F"/>
    <w:rsid w:val="00592FF3"/>
    <w:rsid w:val="0059311E"/>
    <w:rsid w:val="00593545"/>
    <w:rsid w:val="005A7056"/>
    <w:rsid w:val="005D1EBE"/>
    <w:rsid w:val="005D5B0E"/>
    <w:rsid w:val="005D6470"/>
    <w:rsid w:val="005D6615"/>
    <w:rsid w:val="005D6D65"/>
    <w:rsid w:val="005E54C6"/>
    <w:rsid w:val="005E5E1B"/>
    <w:rsid w:val="005E60B5"/>
    <w:rsid w:val="005E7938"/>
    <w:rsid w:val="00611174"/>
    <w:rsid w:val="00612B14"/>
    <w:rsid w:val="00615BBC"/>
    <w:rsid w:val="00620145"/>
    <w:rsid w:val="00623792"/>
    <w:rsid w:val="0063696E"/>
    <w:rsid w:val="0064776F"/>
    <w:rsid w:val="00650307"/>
    <w:rsid w:val="00663F13"/>
    <w:rsid w:val="00666DEC"/>
    <w:rsid w:val="0067305E"/>
    <w:rsid w:val="0067414F"/>
    <w:rsid w:val="00680FFB"/>
    <w:rsid w:val="00681A03"/>
    <w:rsid w:val="0068364B"/>
    <w:rsid w:val="00690971"/>
    <w:rsid w:val="0069568B"/>
    <w:rsid w:val="0069682B"/>
    <w:rsid w:val="006B79C7"/>
    <w:rsid w:val="006D2440"/>
    <w:rsid w:val="006D2EED"/>
    <w:rsid w:val="006D6960"/>
    <w:rsid w:val="006E437D"/>
    <w:rsid w:val="007019DC"/>
    <w:rsid w:val="00704500"/>
    <w:rsid w:val="00704539"/>
    <w:rsid w:val="0070585F"/>
    <w:rsid w:val="00713930"/>
    <w:rsid w:val="007143F3"/>
    <w:rsid w:val="00717ED2"/>
    <w:rsid w:val="007247D6"/>
    <w:rsid w:val="00726BF6"/>
    <w:rsid w:val="00734124"/>
    <w:rsid w:val="00735F1E"/>
    <w:rsid w:val="00737AE2"/>
    <w:rsid w:val="00743E6C"/>
    <w:rsid w:val="00746B4B"/>
    <w:rsid w:val="00753103"/>
    <w:rsid w:val="0075484F"/>
    <w:rsid w:val="00757485"/>
    <w:rsid w:val="007616DB"/>
    <w:rsid w:val="00764B45"/>
    <w:rsid w:val="007706BB"/>
    <w:rsid w:val="00770DD1"/>
    <w:rsid w:val="007715B7"/>
    <w:rsid w:val="0078347C"/>
    <w:rsid w:val="00787399"/>
    <w:rsid w:val="00792048"/>
    <w:rsid w:val="00793A68"/>
    <w:rsid w:val="007959C0"/>
    <w:rsid w:val="00797397"/>
    <w:rsid w:val="0079791A"/>
    <w:rsid w:val="007D125C"/>
    <w:rsid w:val="007E6551"/>
    <w:rsid w:val="007E67C6"/>
    <w:rsid w:val="007F3A3E"/>
    <w:rsid w:val="007F726C"/>
    <w:rsid w:val="0080672E"/>
    <w:rsid w:val="00810864"/>
    <w:rsid w:val="00811A09"/>
    <w:rsid w:val="00812FC1"/>
    <w:rsid w:val="0081331F"/>
    <w:rsid w:val="008134A1"/>
    <w:rsid w:val="00816E00"/>
    <w:rsid w:val="00821DC3"/>
    <w:rsid w:val="00822FD8"/>
    <w:rsid w:val="00833A93"/>
    <w:rsid w:val="008340E6"/>
    <w:rsid w:val="008362E0"/>
    <w:rsid w:val="00837421"/>
    <w:rsid w:val="008407CC"/>
    <w:rsid w:val="0084189A"/>
    <w:rsid w:val="00841CE7"/>
    <w:rsid w:val="008513BA"/>
    <w:rsid w:val="00852539"/>
    <w:rsid w:val="00853200"/>
    <w:rsid w:val="008532AA"/>
    <w:rsid w:val="008620D4"/>
    <w:rsid w:val="00865782"/>
    <w:rsid w:val="0086701C"/>
    <w:rsid w:val="0086720C"/>
    <w:rsid w:val="00880A2C"/>
    <w:rsid w:val="00890536"/>
    <w:rsid w:val="00890BCB"/>
    <w:rsid w:val="008929EC"/>
    <w:rsid w:val="00892C1C"/>
    <w:rsid w:val="008A50A3"/>
    <w:rsid w:val="008D051F"/>
    <w:rsid w:val="008D1152"/>
    <w:rsid w:val="008D43E0"/>
    <w:rsid w:val="008D5F59"/>
    <w:rsid w:val="008D7B74"/>
    <w:rsid w:val="008E1FE5"/>
    <w:rsid w:val="008E3C27"/>
    <w:rsid w:val="00902740"/>
    <w:rsid w:val="0090503F"/>
    <w:rsid w:val="009127DB"/>
    <w:rsid w:val="009130E9"/>
    <w:rsid w:val="00925A13"/>
    <w:rsid w:val="0093350E"/>
    <w:rsid w:val="009448DA"/>
    <w:rsid w:val="00945528"/>
    <w:rsid w:val="00947854"/>
    <w:rsid w:val="0095032D"/>
    <w:rsid w:val="0095322B"/>
    <w:rsid w:val="009549EA"/>
    <w:rsid w:val="00963726"/>
    <w:rsid w:val="00966ABD"/>
    <w:rsid w:val="0097124B"/>
    <w:rsid w:val="00973CB9"/>
    <w:rsid w:val="00974C5A"/>
    <w:rsid w:val="00975547"/>
    <w:rsid w:val="0097764B"/>
    <w:rsid w:val="00980458"/>
    <w:rsid w:val="0098479B"/>
    <w:rsid w:val="00986438"/>
    <w:rsid w:val="009867E7"/>
    <w:rsid w:val="009879DD"/>
    <w:rsid w:val="009922AF"/>
    <w:rsid w:val="00995791"/>
    <w:rsid w:val="00995A1B"/>
    <w:rsid w:val="0099609A"/>
    <w:rsid w:val="009A248F"/>
    <w:rsid w:val="009B3A2C"/>
    <w:rsid w:val="009C519A"/>
    <w:rsid w:val="009D04F8"/>
    <w:rsid w:val="009D4673"/>
    <w:rsid w:val="009E6880"/>
    <w:rsid w:val="009F5DD4"/>
    <w:rsid w:val="009F7A84"/>
    <w:rsid w:val="00A00EE2"/>
    <w:rsid w:val="00A05608"/>
    <w:rsid w:val="00A31916"/>
    <w:rsid w:val="00A359AF"/>
    <w:rsid w:val="00A42E51"/>
    <w:rsid w:val="00A44519"/>
    <w:rsid w:val="00A45466"/>
    <w:rsid w:val="00A57519"/>
    <w:rsid w:val="00A61F4F"/>
    <w:rsid w:val="00A67C00"/>
    <w:rsid w:val="00A739E8"/>
    <w:rsid w:val="00A75767"/>
    <w:rsid w:val="00A81D10"/>
    <w:rsid w:val="00AA710D"/>
    <w:rsid w:val="00AB2652"/>
    <w:rsid w:val="00AB3066"/>
    <w:rsid w:val="00AB4C14"/>
    <w:rsid w:val="00AB7B8E"/>
    <w:rsid w:val="00AC4CA5"/>
    <w:rsid w:val="00AD0E41"/>
    <w:rsid w:val="00AD20F6"/>
    <w:rsid w:val="00AD31A1"/>
    <w:rsid w:val="00AD76C4"/>
    <w:rsid w:val="00AE3F6D"/>
    <w:rsid w:val="00AE5E7B"/>
    <w:rsid w:val="00AE7F86"/>
    <w:rsid w:val="00AF10E0"/>
    <w:rsid w:val="00AF4DE5"/>
    <w:rsid w:val="00AF6669"/>
    <w:rsid w:val="00AF6AA5"/>
    <w:rsid w:val="00B234D8"/>
    <w:rsid w:val="00B25686"/>
    <w:rsid w:val="00B2749D"/>
    <w:rsid w:val="00B307D3"/>
    <w:rsid w:val="00B32F56"/>
    <w:rsid w:val="00B33285"/>
    <w:rsid w:val="00B36C2C"/>
    <w:rsid w:val="00B36D96"/>
    <w:rsid w:val="00B406E3"/>
    <w:rsid w:val="00B618EC"/>
    <w:rsid w:val="00B8153D"/>
    <w:rsid w:val="00B820E5"/>
    <w:rsid w:val="00B850AE"/>
    <w:rsid w:val="00B87DEA"/>
    <w:rsid w:val="00B9114E"/>
    <w:rsid w:val="00BA17F9"/>
    <w:rsid w:val="00BA1EE6"/>
    <w:rsid w:val="00BB402D"/>
    <w:rsid w:val="00BB4DD3"/>
    <w:rsid w:val="00BB6FAF"/>
    <w:rsid w:val="00BB73D3"/>
    <w:rsid w:val="00BB7A46"/>
    <w:rsid w:val="00BC1A89"/>
    <w:rsid w:val="00BE1352"/>
    <w:rsid w:val="00BE1601"/>
    <w:rsid w:val="00BE3929"/>
    <w:rsid w:val="00BE6BAB"/>
    <w:rsid w:val="00BE6BDC"/>
    <w:rsid w:val="00BE6D9C"/>
    <w:rsid w:val="00BF426A"/>
    <w:rsid w:val="00BF42C5"/>
    <w:rsid w:val="00C008CD"/>
    <w:rsid w:val="00C027CB"/>
    <w:rsid w:val="00C03B9A"/>
    <w:rsid w:val="00C109AC"/>
    <w:rsid w:val="00C11981"/>
    <w:rsid w:val="00C24659"/>
    <w:rsid w:val="00C24948"/>
    <w:rsid w:val="00C405EB"/>
    <w:rsid w:val="00C40E27"/>
    <w:rsid w:val="00C50442"/>
    <w:rsid w:val="00C516D5"/>
    <w:rsid w:val="00C56743"/>
    <w:rsid w:val="00C5701C"/>
    <w:rsid w:val="00C57E63"/>
    <w:rsid w:val="00C63247"/>
    <w:rsid w:val="00C67FD9"/>
    <w:rsid w:val="00C70711"/>
    <w:rsid w:val="00C76617"/>
    <w:rsid w:val="00C82116"/>
    <w:rsid w:val="00C82807"/>
    <w:rsid w:val="00C97F05"/>
    <w:rsid w:val="00CA3978"/>
    <w:rsid w:val="00CA4DC9"/>
    <w:rsid w:val="00CA6C7F"/>
    <w:rsid w:val="00CB349B"/>
    <w:rsid w:val="00CB49B0"/>
    <w:rsid w:val="00CB606F"/>
    <w:rsid w:val="00CC1787"/>
    <w:rsid w:val="00CC3C9E"/>
    <w:rsid w:val="00CC3EC5"/>
    <w:rsid w:val="00CC3F01"/>
    <w:rsid w:val="00CC4905"/>
    <w:rsid w:val="00CD2D3D"/>
    <w:rsid w:val="00CD54EF"/>
    <w:rsid w:val="00CD55EB"/>
    <w:rsid w:val="00CD6272"/>
    <w:rsid w:val="00CD77C8"/>
    <w:rsid w:val="00CE1FE0"/>
    <w:rsid w:val="00CE31DA"/>
    <w:rsid w:val="00CE4AC6"/>
    <w:rsid w:val="00CE6751"/>
    <w:rsid w:val="00D23A8C"/>
    <w:rsid w:val="00D30EB9"/>
    <w:rsid w:val="00D35EE7"/>
    <w:rsid w:val="00D373FA"/>
    <w:rsid w:val="00D40DE0"/>
    <w:rsid w:val="00D464C3"/>
    <w:rsid w:val="00D46B6D"/>
    <w:rsid w:val="00D64927"/>
    <w:rsid w:val="00D720D7"/>
    <w:rsid w:val="00D81961"/>
    <w:rsid w:val="00D82B31"/>
    <w:rsid w:val="00D832AB"/>
    <w:rsid w:val="00D86FD6"/>
    <w:rsid w:val="00D87DBC"/>
    <w:rsid w:val="00D91816"/>
    <w:rsid w:val="00D923FD"/>
    <w:rsid w:val="00DA1A1B"/>
    <w:rsid w:val="00DA53FB"/>
    <w:rsid w:val="00DC7FE0"/>
    <w:rsid w:val="00DD2F77"/>
    <w:rsid w:val="00DD76F5"/>
    <w:rsid w:val="00DE6DEA"/>
    <w:rsid w:val="00DF0C3B"/>
    <w:rsid w:val="00DF37EB"/>
    <w:rsid w:val="00DF495F"/>
    <w:rsid w:val="00DF574D"/>
    <w:rsid w:val="00E012B3"/>
    <w:rsid w:val="00E0267C"/>
    <w:rsid w:val="00E159AC"/>
    <w:rsid w:val="00E23797"/>
    <w:rsid w:val="00E2573D"/>
    <w:rsid w:val="00E30017"/>
    <w:rsid w:val="00E34E0D"/>
    <w:rsid w:val="00E41223"/>
    <w:rsid w:val="00E41B7A"/>
    <w:rsid w:val="00E64FFD"/>
    <w:rsid w:val="00E71FC5"/>
    <w:rsid w:val="00E76066"/>
    <w:rsid w:val="00E77764"/>
    <w:rsid w:val="00E862A9"/>
    <w:rsid w:val="00E86E5D"/>
    <w:rsid w:val="00E870F8"/>
    <w:rsid w:val="00EB262A"/>
    <w:rsid w:val="00EB2F65"/>
    <w:rsid w:val="00EC121A"/>
    <w:rsid w:val="00EC6C49"/>
    <w:rsid w:val="00ED4C87"/>
    <w:rsid w:val="00ED79E4"/>
    <w:rsid w:val="00ED7C06"/>
    <w:rsid w:val="00EF73D2"/>
    <w:rsid w:val="00F0172A"/>
    <w:rsid w:val="00F018A5"/>
    <w:rsid w:val="00F03866"/>
    <w:rsid w:val="00F05C8A"/>
    <w:rsid w:val="00F0628B"/>
    <w:rsid w:val="00F0725C"/>
    <w:rsid w:val="00F17892"/>
    <w:rsid w:val="00F24906"/>
    <w:rsid w:val="00F31890"/>
    <w:rsid w:val="00F32C28"/>
    <w:rsid w:val="00F3344A"/>
    <w:rsid w:val="00F37A04"/>
    <w:rsid w:val="00F444DA"/>
    <w:rsid w:val="00F4685D"/>
    <w:rsid w:val="00F56F44"/>
    <w:rsid w:val="00F655EE"/>
    <w:rsid w:val="00F7199A"/>
    <w:rsid w:val="00F73EFE"/>
    <w:rsid w:val="00F75CB4"/>
    <w:rsid w:val="00F76057"/>
    <w:rsid w:val="00F768F1"/>
    <w:rsid w:val="00F8430C"/>
    <w:rsid w:val="00F905EB"/>
    <w:rsid w:val="00F968B0"/>
    <w:rsid w:val="00F9773B"/>
    <w:rsid w:val="00FA142A"/>
    <w:rsid w:val="00FA3258"/>
    <w:rsid w:val="00FA4FC1"/>
    <w:rsid w:val="00FB12A7"/>
    <w:rsid w:val="00FB1AAC"/>
    <w:rsid w:val="00FB4118"/>
    <w:rsid w:val="00FC1DC6"/>
    <w:rsid w:val="00FC26D9"/>
    <w:rsid w:val="00FC2C37"/>
    <w:rsid w:val="00FC34F9"/>
    <w:rsid w:val="00FC59FA"/>
    <w:rsid w:val="00FD7B4C"/>
    <w:rsid w:val="00FE3758"/>
    <w:rsid w:val="00FE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168124"/>
  <w15:docId w15:val="{768F9A58-4FB7-491E-8F59-AD941CDE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uiPriority w:val="9"/>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fr-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fr-CH" w:eastAsia="fr-CH" w:bidi="fr-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uiPriority w:val="99"/>
    <w:rsid w:val="00D87DBC"/>
    <w:pPr>
      <w:tabs>
        <w:tab w:val="right" w:pos="8618"/>
      </w:tabs>
    </w:pPr>
    <w:rPr>
      <w:sz w:val="16"/>
    </w:rPr>
  </w:style>
  <w:style w:type="character" w:customStyle="1" w:styleId="FuzeileZchn">
    <w:name w:val="Fußzeile Zchn"/>
    <w:aliases w:val="FINMA Fußzeile Zchn"/>
    <w:basedOn w:val="Absatz-Standardschriftart"/>
    <w:link w:val="Fuzeile"/>
    <w:uiPriority w:val="99"/>
    <w:rsid w:val="00D87DBC"/>
    <w:rPr>
      <w:rFonts w:ascii="Arial" w:hAnsi="Arial"/>
      <w:sz w:val="16"/>
      <w:lang w:eastAsia="fr-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fr-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fr-CH" w:eastAsia="fr-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501862"/>
    <w:pPr>
      <w:spacing w:before="60" w:after="60" w:line="276" w:lineRule="auto"/>
      <w:ind w:left="720"/>
      <w:contextualSpacing/>
    </w:pPr>
    <w:rPr>
      <w:rFonts w:eastAsiaTheme="minorHAnsi" w:cstheme="minorBidi"/>
      <w:szCs w:val="22"/>
    </w:rPr>
  </w:style>
  <w:style w:type="paragraph" w:customStyle="1" w:styleId="Bullet">
    <w:name w:val="Bullet"/>
    <w:basedOn w:val="Listenabsatz"/>
    <w:qFormat/>
    <w:rsid w:val="00501862"/>
    <w:pPr>
      <w:numPr>
        <w:numId w:val="8"/>
      </w:numPr>
      <w:spacing w:line="240" w:lineRule="auto"/>
      <w:contextualSpacing w:val="0"/>
    </w:pPr>
    <w:rPr>
      <w:rFonts w:cs="Arial"/>
      <w:sz w:val="16"/>
      <w:szCs w:val="16"/>
    </w:rPr>
  </w:style>
  <w:style w:type="paragraph" w:customStyle="1" w:styleId="EGABox1">
    <w:name w:val="EGA Box1"/>
    <w:basedOn w:val="Standard"/>
    <w:qFormat/>
    <w:rsid w:val="00501862"/>
    <w:pPr>
      <w:keepLines/>
      <w:tabs>
        <w:tab w:val="left" w:pos="27571"/>
        <w:tab w:val="left" w:pos="27996"/>
      </w:tabs>
      <w:autoSpaceDE w:val="0"/>
      <w:autoSpaceDN w:val="0"/>
      <w:adjustRightInd w:val="0"/>
      <w:spacing w:before="60" w:after="140" w:line="240" w:lineRule="atLeast"/>
      <w:ind w:left="357" w:hanging="357"/>
    </w:pPr>
    <w:rPr>
      <w:rFonts w:ascii="Georgia" w:eastAsia="Arial Unicode MS" w:hAnsi="Georgia" w:cs="Arial"/>
    </w:rPr>
  </w:style>
  <w:style w:type="numbering" w:customStyle="1" w:styleId="ListePP">
    <w:name w:val="Liste PP"/>
    <w:uiPriority w:val="99"/>
    <w:rsid w:val="005131A0"/>
    <w:pPr>
      <w:numPr>
        <w:numId w:val="20"/>
      </w:numPr>
    </w:pPr>
  </w:style>
  <w:style w:type="character" w:styleId="Kommentarzeichen">
    <w:name w:val="annotation reference"/>
    <w:basedOn w:val="Absatz-Standardschriftart"/>
    <w:semiHidden/>
    <w:unhideWhenUsed/>
    <w:rsid w:val="00AD20F6"/>
    <w:rPr>
      <w:sz w:val="16"/>
      <w:szCs w:val="16"/>
    </w:rPr>
  </w:style>
  <w:style w:type="paragraph" w:styleId="Kommentartext">
    <w:name w:val="annotation text"/>
    <w:basedOn w:val="Standard"/>
    <w:link w:val="KommentartextZchn"/>
    <w:semiHidden/>
    <w:unhideWhenUsed/>
    <w:rsid w:val="00AD20F6"/>
    <w:pPr>
      <w:spacing w:line="240" w:lineRule="auto"/>
    </w:pPr>
  </w:style>
  <w:style w:type="character" w:customStyle="1" w:styleId="KommentartextZchn">
    <w:name w:val="Kommentartext Zchn"/>
    <w:basedOn w:val="Absatz-Standardschriftart"/>
    <w:link w:val="Kommentartext"/>
    <w:semiHidden/>
    <w:rsid w:val="00AD20F6"/>
    <w:rPr>
      <w:rFonts w:ascii="Arial" w:hAnsi="Arial"/>
    </w:rPr>
  </w:style>
  <w:style w:type="paragraph" w:styleId="Kommentarthema">
    <w:name w:val="annotation subject"/>
    <w:basedOn w:val="Kommentartext"/>
    <w:next w:val="Kommentartext"/>
    <w:link w:val="KommentarthemaZchn"/>
    <w:semiHidden/>
    <w:unhideWhenUsed/>
    <w:rsid w:val="00AD20F6"/>
    <w:rPr>
      <w:b/>
      <w:bCs/>
    </w:rPr>
  </w:style>
  <w:style w:type="character" w:customStyle="1" w:styleId="KommentarthemaZchn">
    <w:name w:val="Kommentarthema Zchn"/>
    <w:basedOn w:val="KommentartextZchn"/>
    <w:link w:val="Kommentarthema"/>
    <w:semiHidden/>
    <w:rsid w:val="00AD20F6"/>
    <w:rPr>
      <w:rFonts w:ascii="Arial" w:hAnsi="Arial"/>
      <w:b/>
      <w:bCs/>
    </w:rPr>
  </w:style>
  <w:style w:type="paragraph" w:styleId="Funotentext">
    <w:name w:val="footnote text"/>
    <w:basedOn w:val="Standard"/>
    <w:link w:val="FunotentextZchn"/>
    <w:semiHidden/>
    <w:unhideWhenUsed/>
    <w:rsid w:val="007715B7"/>
    <w:pPr>
      <w:spacing w:line="240" w:lineRule="auto"/>
    </w:pPr>
  </w:style>
  <w:style w:type="character" w:customStyle="1" w:styleId="FunotentextZchn">
    <w:name w:val="Fußnotentext Zchn"/>
    <w:basedOn w:val="Absatz-Standardschriftart"/>
    <w:link w:val="Funotentext"/>
    <w:semiHidden/>
    <w:rsid w:val="007715B7"/>
    <w:rPr>
      <w:rFonts w:ascii="Arial" w:hAnsi="Arial"/>
    </w:rPr>
  </w:style>
  <w:style w:type="character" w:styleId="Funotenzeichen">
    <w:name w:val="footnote reference"/>
    <w:basedOn w:val="Absatz-Standardschriftart"/>
    <w:semiHidden/>
    <w:unhideWhenUsed/>
    <w:rsid w:val="007715B7"/>
    <w:rPr>
      <w:vertAlign w:val="superscript"/>
    </w:rPr>
  </w:style>
  <w:style w:type="paragraph" w:styleId="Textkrper">
    <w:name w:val="Body Text"/>
    <w:basedOn w:val="Standard"/>
    <w:link w:val="TextkrperZchn"/>
    <w:semiHidden/>
    <w:unhideWhenUsed/>
    <w:rsid w:val="007715B7"/>
    <w:pPr>
      <w:spacing w:after="120"/>
    </w:pPr>
  </w:style>
  <w:style w:type="character" w:customStyle="1" w:styleId="TextkrperZchn">
    <w:name w:val="Textkörper Zchn"/>
    <w:basedOn w:val="Absatz-Standardschriftart"/>
    <w:link w:val="Textkrper"/>
    <w:semiHidden/>
    <w:rsid w:val="007715B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93423">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e41ec083-eb60-4400-a1ca-8b175769cd15">b164912-0047905</_dlc_DocId>
    <TaxCatchAll xmlns="e41ec083-eb60-4400-a1ca-8b175769cd15">
      <Value>1</Value>
    </TaxCatchAll>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_dlc_DocIdUrl xmlns="e41ec083-eb60-4400-a1ca-8b175769cd15">
      <Url>http://dms.finma.ch/containers/164912/_layouts/DocIdRedir.aspx?ID=b164912-0047905</Url>
      <Description>b164912-0047905</Description>
    </_dlc_DocIdUrl>
    <Aktionswert xmlns="e41ec083-eb60-4400-a1ca-8b175769cd15" xsi:nil="true"/>
    <FinmaPasswordProtected xmlns="e41ec083-eb60-4400-a1ca-8b175769cd15">false</FinmaPasswordProtected>
    <FinmaValidationDate xmlns="e41ec083-eb60-4400-a1ca-8b175769cd15">2020-04-02T05:56:58+00:00</FinmaValidationDate>
    <FinmaDocumentDate xmlns="e41ec083-eb60-4400-a1ca-8b175769cd15">2020-04-02T05:42:08+00:00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2.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c6d588-e963-47ff-a8de-5cb02962fb18" ContentTypeId="0x0101004F8CB72C5020684296180AE4B309ADAF" PreviousValue="false"/>
</file>

<file path=customXml/item4.xml><?xml version="1.0" encoding="utf-8"?>
<docugate xmlns="http://www.docugate.com/2014/dgxml" ResetInterfaceCacheAfterDocCreation="false" FreeDocumentSelection="true">
  <template doclanguage="Deutsch" id="" workflowdocumentid="b7c2dd74-0f88-4c30-8b29-6656f247378d">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5.xml><?xml version="1.0" encoding="utf-8"?>
<?mso-contentType ?>
<FormTemplates xmlns="http://schemas.microsoft.com/sharepoint/v3/contenttype/forms">
  <Display>DocumentLibraryForm</Display>
  <Edit>EditFinmaDocumentProperties.aspx</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document xmlns="http://www.docugate.com/2015/docugatedatastorexml">
  <snapins xmlns=""/>
</document>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6E84-322E-40EB-AF70-E34A312DC064}"/>
</file>

<file path=customXml/itemProps2.xml><?xml version="1.0" encoding="utf-8"?>
<ds:datastoreItem xmlns:ds="http://schemas.openxmlformats.org/officeDocument/2006/customXml" ds:itemID="{E252907B-083D-4C20-BD70-0445A95B5D55}"/>
</file>

<file path=customXml/itemProps3.xml><?xml version="1.0" encoding="utf-8"?>
<ds:datastoreItem xmlns:ds="http://schemas.openxmlformats.org/officeDocument/2006/customXml" ds:itemID="{43DA69AF-BDB3-41BB-8D55-DDE9B3421C10}"/>
</file>

<file path=customXml/itemProps4.xml><?xml version="1.0" encoding="utf-8"?>
<ds:datastoreItem xmlns:ds="http://schemas.openxmlformats.org/officeDocument/2006/customXml" ds:itemID="{6E662E59-6E23-4309-9696-D239F9E725C2}"/>
</file>

<file path=customXml/itemProps5.xml><?xml version="1.0" encoding="utf-8"?>
<ds:datastoreItem xmlns:ds="http://schemas.openxmlformats.org/officeDocument/2006/customXml" ds:itemID="{483E4219-BE1A-4512-A095-C3569D978D7D}"/>
</file>

<file path=customXml/itemProps6.xml><?xml version="1.0" encoding="utf-8"?>
<ds:datastoreItem xmlns:ds="http://schemas.openxmlformats.org/officeDocument/2006/customXml" ds:itemID="{E7779F88-999B-4E1D-B093-F546FFAAABEC}"/>
</file>

<file path=customXml/itemProps7.xml><?xml version="1.0" encoding="utf-8"?>
<ds:datastoreItem xmlns:ds="http://schemas.openxmlformats.org/officeDocument/2006/customXml" ds:itemID="{549F0439-3EAB-40D2-928F-4162FA4B562E}"/>
</file>

<file path=customXml/itemProps8.xml><?xml version="1.0" encoding="utf-8"?>
<ds:datastoreItem xmlns:ds="http://schemas.openxmlformats.org/officeDocument/2006/customXml" ds:itemID="{845063B0-B396-4E05-BDCF-1305FC7E07A4}"/>
</file>

<file path=docProps/app.xml><?xml version="1.0" encoding="utf-8"?>
<Properties xmlns="http://schemas.openxmlformats.org/officeDocument/2006/extended-properties" xmlns:vt="http://schemas.openxmlformats.org/officeDocument/2006/docPropsVTypes">
  <Template>Normal.dotm</Template>
  <TotalTime>0</TotalTime>
  <Pages>17</Pages>
  <Words>4140</Words>
  <Characters>24466</Characters>
  <Application>Microsoft Office Word</Application>
  <DocSecurity>0</DocSecurity>
  <Lines>203</Lines>
  <Paragraphs>57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Suitability</vt:lpstr>
      <vt:lpstr>Suitability</vt:lpstr>
      <vt:lpstr>Suitability</vt:lpstr>
    </vt:vector>
  </TitlesOfParts>
  <Company>FINMA</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Grüninger Isabel</dc:creator>
  <cp:lastModifiedBy>Gatschet Marcel</cp:lastModifiedBy>
  <cp:revision>3</cp:revision>
  <cp:lastPrinted>2012-09-13T13:44:00Z</cp:lastPrinted>
  <dcterms:created xsi:type="dcterms:W3CDTF">2020-04-02T05:42:00Z</dcterms:created>
  <dcterms:modified xsi:type="dcterms:W3CDTF">2020-04-02T05:55:00Z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lagwort">
    <vt:lpwstr/>
  </property>
  <property fmtid="{D5CDD505-2E9C-101B-9397-08002B2CF9AE}" pid="3" name="Ordnungsposition">
    <vt:lpwstr>18</vt:lpwstr>
  </property>
  <property fmtid="{D5CDD505-2E9C-101B-9397-08002B2CF9AE}" pid="4" name="Schlagwort_SPPSTextValue">
    <vt:lpwstr/>
  </property>
  <property fmtid="{D5CDD505-2E9C-101B-9397-08002B2CF9AE}" pid="5" name="Kategorie_SPPSTextValue">
    <vt:lpwstr/>
  </property>
  <property fmtid="{D5CDD505-2E9C-101B-9397-08002B2CF9AE}" pid="6" name="firma_adresse1">
    <vt:lpwstr>Laupenstrasse 27</vt:lpwstr>
  </property>
  <property fmtid="{D5CDD505-2E9C-101B-9397-08002B2CF9AE}" pid="7" name="firma_beschreibung">
    <vt:lpwstr>Eidgenössische Finanzmarktaufsicht FINMA (Bern)</vt:lpwstr>
  </property>
  <property fmtid="{D5CDD505-2E9C-101B-9397-08002B2CF9AE}" pid="8" name="firma_mail">
    <vt:lpwstr>info@finma.ch</vt:lpwstr>
  </property>
  <property fmtid="{D5CDD505-2E9C-101B-9397-08002B2CF9AE}" pid="9" name="firma_sourceid">
    <vt:lpwstr>2</vt:lpwstr>
  </property>
  <property fmtid="{D5CDD505-2E9C-101B-9397-08002B2CF9AE}" pid="10" name="firma_internet">
    <vt:lpwstr>www.finma.ch</vt:lpwstr>
  </property>
  <property fmtid="{D5CDD505-2E9C-101B-9397-08002B2CF9AE}" pid="11" name="firma_logo">
    <vt:lpwstr>Logo.jpg</vt:lpwstr>
  </property>
  <property fmtid="{D5CDD505-2E9C-101B-9397-08002B2CF9AE}" pid="12" name="firma_name_de">
    <vt:lpwstr>Eidgenössische Finanzmarktaufsicht FINMA</vt:lpwstr>
  </property>
  <property fmtid="{D5CDD505-2E9C-101B-9397-08002B2CF9AE}" pid="13" name="firma_name_en">
    <vt:lpwstr>Swiss Financial Market Supervisory Authority FINMA</vt:lpwstr>
  </property>
  <property fmtid="{D5CDD505-2E9C-101B-9397-08002B2CF9AE}" pid="14" name="firma_name_fr">
    <vt:lpwstr>Autorité fédérale de surveillance des marchés financiers FINMA</vt:lpwstr>
  </property>
  <property fmtid="{D5CDD505-2E9C-101B-9397-08002B2CF9AE}" pid="15" name="firma_name_it">
    <vt:lpwstr>Autorità federale di vigilanza sui mercati finanziari FINMA</vt:lpwstr>
  </property>
  <property fmtid="{D5CDD505-2E9C-101B-9397-08002B2CF9AE}" pid="16" name="firma_ort_fr">
    <vt:lpwstr>Berne</vt:lpwstr>
  </property>
  <property fmtid="{D5CDD505-2E9C-101B-9397-08002B2CF9AE}" pid="17" name="firma_ort_en">
    <vt:lpwstr>Bern</vt:lpwstr>
  </property>
  <property fmtid="{D5CDD505-2E9C-101B-9397-08002B2CF9AE}" pid="18" name="firma_ort_de">
    <vt:lpwstr>Bern</vt:lpwstr>
  </property>
  <property fmtid="{D5CDD505-2E9C-101B-9397-08002B2CF9AE}" pid="19" name="firma_ort_it">
    <vt:lpwstr>Berna</vt:lpwstr>
  </property>
  <property fmtid="{D5CDD505-2E9C-101B-9397-08002B2CF9AE}" pid="20" name="firma_plz">
    <vt:lpwstr>3003</vt:lpwstr>
  </property>
  <property fmtid="{D5CDD505-2E9C-101B-9397-08002B2CF9AE}" pid="21" name="firma_telefax">
    <vt:lpwstr>+41 (0)31 327 91 01</vt:lpwstr>
  </property>
  <property fmtid="{D5CDD505-2E9C-101B-9397-08002B2CF9AE}" pid="22" name="firma_telefon">
    <vt:lpwstr>+41 (0)31 327 91 00</vt:lpwstr>
  </property>
  <property fmtid="{D5CDD505-2E9C-101B-9397-08002B2CF9AE}" pid="23" name="firma_adresse2">
    <vt:lpwstr/>
  </property>
  <property fmtid="{D5CDD505-2E9C-101B-9397-08002B2CF9AE}" pid="24" name="firma_adresse3">
    <vt:lpwstr/>
  </property>
  <property fmtid="{D5CDD505-2E9C-101B-9397-08002B2CF9AE}" pid="25" name="interfacelanguage">
    <vt:lpwstr>Deutsch</vt:lpwstr>
  </property>
  <property fmtid="{D5CDD505-2E9C-101B-9397-08002B2CF9AE}" pid="26" name="saveaslocation">
    <vt:lpwstr>https://org.finma.ch/sites/8010-T/Dossiers/Suitability/Neue Prüfprogramme Suitability</vt:lpwstr>
  </property>
  <property fmtid="{D5CDD505-2E9C-101B-9397-08002B2CF9AE}" pid="27" name="dossier_id">
    <vt:lpwstr>8010-T-2-9515</vt:lpwstr>
  </property>
  <property fmtid="{D5CDD505-2E9C-101B-9397-08002B2CF9AE}" pid="28" name="dossier_titel">
    <vt:lpwstr>Suitability</vt:lpwstr>
  </property>
  <property fmtid="{D5CDD505-2E9C-101B-9397-08002B2CF9AE}" pid="29" name="dossier_aktenzeichen">
    <vt:lpwstr>8010-T-2-9515 - 00 Allgemeines</vt:lpwstr>
  </property>
  <property fmtid="{D5CDD505-2E9C-101B-9397-08002B2CF9AE}" pid="30" name="dossier_osp_nr">
    <vt:lpwstr>00</vt:lpwstr>
  </property>
  <property fmtid="{D5CDD505-2E9C-101B-9397-08002B2CF9AE}" pid="31" name="dossier_kategorie">
    <vt:lpwstr/>
  </property>
  <property fmtid="{D5CDD505-2E9C-101B-9397-08002B2CF9AE}" pid="32" name="geschaeft_id">
    <vt:lpwstr/>
  </property>
  <property fmtid="{D5CDD505-2E9C-101B-9397-08002B2CF9AE}" pid="33" name="geschaeft_federfuehrende_oe">
    <vt:lpwstr>M-GWS</vt:lpwstr>
  </property>
  <property fmtid="{D5CDD505-2E9C-101B-9397-08002B2CF9AE}" pid="34" name="geschaeft_datum_eroeffnen">
    <vt:lpwstr/>
  </property>
  <property fmtid="{D5CDD505-2E9C-101B-9397-08002B2CF9AE}" pid="35" name="aktionsname">
    <vt:lpwstr/>
  </property>
  <property fmtid="{D5CDD505-2E9C-101B-9397-08002B2CF9AE}" pid="36" name="aktionswert">
    <vt:lpwstr/>
  </property>
  <property fmtid="{D5CDD505-2E9C-101B-9397-08002B2CF9AE}" pid="37" name="addresses">
    <vt:lpwstr/>
  </property>
  <property fmtid="{D5CDD505-2E9C-101B-9397-08002B2CF9AE}" pid="38" name="interfacetemplates">
    <vt:lpwstr>False</vt:lpwstr>
  </property>
  <property fmtid="{D5CDD505-2E9C-101B-9397-08002B2CF9AE}" pid="39" name="dginterfacecreated">
    <vt:lpwstr>1</vt:lpwstr>
  </property>
  <property fmtid="{D5CDD505-2E9C-101B-9397-08002B2CF9AE}" pid="40" name="interfacename">
    <vt:lpwstr/>
  </property>
  <property fmtid="{D5CDD505-2E9C-101B-9397-08002B2CF9AE}" pid="41" name="convertername">
    <vt:lpwstr/>
  </property>
  <property fmtid="{D5CDD505-2E9C-101B-9397-08002B2CF9AE}" pid="42" name="templateid">
    <vt:lpwstr>6ba43420-4e17-4865-99bd-44e472444406</vt:lpwstr>
  </property>
  <property fmtid="{D5CDD505-2E9C-101B-9397-08002B2CF9AE}" pid="43" name="templateexternalid">
    <vt:lpwstr>6ba43420-4e17-4865-99bd-44e472444406</vt:lpwstr>
  </property>
  <property fmtid="{D5CDD505-2E9C-101B-9397-08002B2CF9AE}" pid="44" name="languagekey">
    <vt:lpwstr>DE</vt:lpwstr>
  </property>
  <property fmtid="{D5CDD505-2E9C-101B-9397-08002B2CF9AE}" pid="45" name="taskpaneguid">
    <vt:lpwstr>2de89ae7-5aab-4be9-9c5f-f8fe0e0c947d</vt:lpwstr>
  </property>
  <property fmtid="{D5CDD505-2E9C-101B-9397-08002B2CF9AE}" pid="46" name="taskpaneenablemanually">
    <vt:lpwstr>Manually</vt:lpwstr>
  </property>
  <property fmtid="{D5CDD505-2E9C-101B-9397-08002B2CF9AE}" pid="47" name="templatename">
    <vt:lpwstr>Neutral quer</vt:lpwstr>
  </property>
  <property fmtid="{D5CDD505-2E9C-101B-9397-08002B2CF9AE}" pid="48" name="docugatedocumenthasdatastore">
    <vt:lpwstr>True</vt:lpwstr>
  </property>
  <property fmtid="{D5CDD505-2E9C-101B-9397-08002B2CF9AE}" pid="49" name="templatedisplayname">
    <vt:lpwstr>Neutral quer</vt:lpwstr>
  </property>
  <property fmtid="{D5CDD505-2E9C-101B-9397-08002B2CF9AE}" pid="50" name="bkmod_000">
    <vt:lpwstr>0e86ee05-0a94-44ec-b57c-710f6e481b4b</vt:lpwstr>
  </property>
  <property fmtid="{D5CDD505-2E9C-101B-9397-08002B2CF9AE}" pid="51" name="tcg_mtc_000">
    <vt:lpwstr>0e86ee05-0a94-44ec-b57c-710f6e481b4b</vt:lpwstr>
  </property>
  <property fmtid="{D5CDD505-2E9C-101B-9397-08002B2CF9AE}" pid="52" name="dgworkflowid">
    <vt:lpwstr>e2769e15-985b-41da-ad62-5d0fe9377c4d</vt:lpwstr>
  </property>
  <property fmtid="{D5CDD505-2E9C-101B-9397-08002B2CF9AE}" pid="53" name="docugatedocumentversion">
    <vt:lpwstr>5.9.18.1</vt:lpwstr>
  </property>
  <property fmtid="{D5CDD505-2E9C-101B-9397-08002B2CF9AE}" pid="54" name="docugatedocumentcreationpath">
    <vt:lpwstr>C:\Users\F11208\AppData\Local\Temp\Docugate\Documents\efbzcbfy.docx</vt:lpwstr>
  </property>
  <property fmtid="{D5CDD505-2E9C-101B-9397-08002B2CF9AE}" pid="55" name="Title">
    <vt:lpwstr>Suitability</vt:lpwstr>
  </property>
  <property fmtid="{D5CDD505-2E9C-101B-9397-08002B2CF9AE}" pid="56" name="Ordnungssystemposition">
    <vt:lpwstr>8010-T-2-9515 - 00 Allgemeines</vt:lpwstr>
  </property>
  <property fmtid="{D5CDD505-2E9C-101B-9397-08002B2CF9AE}" pid="57" name="Dossier ID">
    <vt:lpwstr>8010-T-2-9515</vt:lpwstr>
  </property>
  <property fmtid="{D5CDD505-2E9C-101B-9397-08002B2CF9AE}" pid="58" name="Dossier Titel">
    <vt:lpwstr>Suitability</vt:lpwstr>
  </property>
  <property fmtid="{D5CDD505-2E9C-101B-9397-08002B2CF9AE}" pid="59" name="Eröffnungsdatum">
    <vt:lpwstr/>
  </property>
  <property fmtid="{D5CDD505-2E9C-101B-9397-08002B2CF9AE}" pid="60" name="Aktenzeichen">
    <vt:lpwstr>8010-T-2-9515 - 00 Allgemeines</vt:lpwstr>
  </property>
  <property fmtid="{D5CDD505-2E9C-101B-9397-08002B2CF9AE}" pid="61" name="Dossier Bezeichnung">
    <vt:lpwstr>Suitability</vt:lpwstr>
  </property>
  <property fmtid="{D5CDD505-2E9C-101B-9397-08002B2CF9AE}" pid="62" name="Aktivität">
    <vt:lpwstr>&lt;NotFound&gt;</vt:lpwstr>
  </property>
  <property fmtid="{D5CDD505-2E9C-101B-9397-08002B2CF9AE}" pid="63" name="Aktenzeichen_SPPSTextValue">
    <vt:lpwstr>8010-T-2-9515 - 00 Allgemeines</vt:lpwstr>
  </property>
  <property fmtid="{D5CDD505-2E9C-101B-9397-08002B2CF9AE}" pid="64" name="Aktionswert_SPPSTextValue">
    <vt:lpwstr/>
  </property>
  <property fmtid="{D5CDD505-2E9C-101B-9397-08002B2CF9AE}" pid="65" name="Dossier Titel_SPPSTextValue">
    <vt:lpwstr>Suitability</vt:lpwstr>
  </property>
  <property fmtid="{D5CDD505-2E9C-101B-9397-08002B2CF9AE}" pid="66" name="Aktionsname_SPPSTextValue">
    <vt:lpwstr/>
  </property>
  <property fmtid="{D5CDD505-2E9C-101B-9397-08002B2CF9AE}" pid="67" name="Dossier Bezeichnung_SPPSTextValue">
    <vt:lpwstr>Suitability</vt:lpwstr>
  </property>
  <property fmtid="{D5CDD505-2E9C-101B-9397-08002B2CF9AE}" pid="68" name="Eröffnungsdatum_SPPSTextValue">
    <vt:lpwstr>01.01.1900 01:00:00</vt:lpwstr>
  </property>
  <property fmtid="{D5CDD505-2E9C-101B-9397-08002B2CF9AE}" pid="69" name="Dossier ID_SPPSTextValue">
    <vt:lpwstr>8010-T-2-9515</vt:lpwstr>
  </property>
  <property fmtid="{D5CDD505-2E9C-101B-9397-08002B2CF9AE}" pid="70" name="Document ID Value_SPPSTextValue">
    <vt:lpwstr>b1004961-0000568</vt:lpwstr>
  </property>
  <property fmtid="{D5CDD505-2E9C-101B-9397-08002B2CF9AE}" pid="71" name="Dokumentendatum_SPPSTextValue">
    <vt:lpwstr>01.01.1900 15:48:50</vt:lpwstr>
  </property>
  <property fmtid="{D5CDD505-2E9C-101B-9397-08002B2CF9AE}" pid="72" name="SharePointDocumentID">
    <vt:lpwstr>b164912-0047905</vt:lpwstr>
  </property>
  <property fmtid="{D5CDD505-2E9C-101B-9397-08002B2CF9AE}" pid="73" name="BolFax">
    <vt:lpwstr>False</vt:lpwstr>
  </property>
  <property fmtid="{D5CDD505-2E9C-101B-9397-08002B2CF9AE}" pid="74" name="DgAlreadyRemovedParagraph">
    <vt:lpwstr>true</vt:lpwstr>
  </property>
  <property fmtid="{D5CDD505-2E9C-101B-9397-08002B2CF9AE}" pid="75" name="FirstRefresh">
    <vt:lpwstr>false</vt:lpwstr>
  </property>
  <property fmtid="{D5CDD505-2E9C-101B-9397-08002B2CF9AE}" pid="76" name="DokumentErstelltVon">
    <vt:lpwstr>F11006</vt:lpwstr>
  </property>
  <property fmtid="{D5CDD505-2E9C-101B-9397-08002B2CF9AE}" pid="77" name="SPDocumentName">
    <vt:lpwstr>Prüfprogramm Crossborder Banken Format neu</vt:lpwstr>
  </property>
  <property fmtid="{D5CDD505-2E9C-101B-9397-08002B2CF9AE}" pid="78" name="Topic">
    <vt:lpwstr/>
  </property>
  <property fmtid="{D5CDD505-2E9C-101B-9397-08002B2CF9AE}" pid="79" name="ContentTypeId">
    <vt:lpwstr>0x0101003A499141982C43AFAF241BDE541C18D500F5B3EB93A2E6FC40BDA27E9A03F99C52</vt:lpwstr>
  </property>
  <property fmtid="{D5CDD505-2E9C-101B-9397-08002B2CF9AE}" pid="80" name="OSP">
    <vt:lpwstr>11;#00 Allgemeines|ec390d6f-5dc3-43a1-99fe-743e116d27aa</vt:lpwstr>
  </property>
  <property fmtid="{D5CDD505-2E9C-101B-9397-08002B2CF9AE}" pid="81" name="OU">
    <vt:lpwstr>2;#M-GWS|f1a4773a-4f93-4b0d-ac51-280efb004d81</vt:lpwstr>
  </property>
  <property fmtid="{D5CDD505-2E9C-101B-9397-08002B2CF9AE}" pid="82" name="_dlc_DocIdItemGuid">
    <vt:lpwstr>e9972b2d-1db8-4158-b25d-e43340309323</vt:lpwstr>
  </property>
  <property fmtid="{D5CDD505-2E9C-101B-9397-08002B2CF9AE}" pid="83" name="DocumentDate">
    <vt:filetime>2016-11-16T14:05:43Z</vt:filetime>
  </property>
  <property fmtid="{D5CDD505-2E9C-101B-9397-08002B2CF9AE}" pid="84" name="savedonSP">
    <vt:lpwstr>True</vt:lpwstr>
  </property>
  <property fmtid="{D5CDD505-2E9C-101B-9397-08002B2CF9AE}" pid="85" name="DossierStatus_Note">
    <vt:lpwstr/>
  </property>
  <property fmtid="{D5CDD505-2E9C-101B-9397-08002B2CF9AE}" pid="86" name="Schlagwort KategorieTaxHTField0">
    <vt:lpwstr/>
  </property>
  <property fmtid="{D5CDD505-2E9C-101B-9397-08002B2CF9AE}" pid="87" name="Kategorie">
    <vt:lpwstr/>
  </property>
  <property fmtid="{D5CDD505-2E9C-101B-9397-08002B2CF9AE}" pid="88" name="FinmaCrmEntityIDs">
    <vt:lpwstr/>
  </property>
  <property fmtid="{D5CDD505-2E9C-101B-9397-08002B2CF9AE}" pid="89" name="FinmaCategory">
    <vt:lpwstr/>
  </property>
  <property fmtid="{D5CDD505-2E9C-101B-9397-08002B2CF9AE}" pid="90" name="FinmaCatchphrases">
    <vt:lpwstr/>
  </property>
  <property fmtid="{D5CDD505-2E9C-101B-9397-08002B2CF9AE}" pid="91" name="FinmaCaseStatus">
    <vt:lpwstr>1;#Aktiv|7439e81f-a110-4e88-a7af-acf8d4806223</vt:lpwstr>
  </property>
</Properties>
</file>